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4EC74A" w14:textId="54973026" w:rsidR="001C196D" w:rsidRPr="00F729DA" w:rsidRDefault="00F208BE" w:rsidP="00F729DA">
      <w:pPr>
        <w:spacing w:line="480" w:lineRule="auto"/>
        <w:jc w:val="left"/>
        <w:rPr>
          <w:rFonts w:ascii="Times New Roman" w:hAnsi="Times New Roman" w:cs="Times New Roman"/>
        </w:rPr>
      </w:pPr>
      <w:r>
        <w:rPr>
          <w:rFonts w:ascii="Times New Roman" w:hAnsi="Times New Roman" w:cs="Times New Roman"/>
        </w:rPr>
        <w:t>Additional file</w:t>
      </w:r>
      <w:r w:rsidRPr="00556682">
        <w:rPr>
          <w:rFonts w:ascii="Times New Roman" w:hAnsi="Times New Roman" w:cs="Times New Roman"/>
        </w:rPr>
        <w:t xml:space="preserve"> </w:t>
      </w:r>
      <w:r>
        <w:rPr>
          <w:rFonts w:ascii="Times New Roman" w:hAnsi="Times New Roman" w:cs="Times New Roman"/>
        </w:rPr>
        <w:t>1</w:t>
      </w:r>
      <w:r w:rsidR="003A226A">
        <w:rPr>
          <w:rFonts w:ascii="Times New Roman" w:hAnsi="Times New Roman" w:cs="Times New Roman"/>
        </w:rPr>
        <w:t>.</w:t>
      </w:r>
      <w:r w:rsidR="00761E5F">
        <w:rPr>
          <w:rFonts w:ascii="Times New Roman" w:hAnsi="Times New Roman" w:cs="Times New Roman" w:hint="eastAsia"/>
        </w:rPr>
        <w:t xml:space="preserve"> </w:t>
      </w:r>
      <w:r w:rsidR="001C196D" w:rsidRPr="00F729DA">
        <w:rPr>
          <w:rFonts w:ascii="Times New Roman" w:hAnsi="Times New Roman" w:cs="Times New Roman"/>
        </w:rPr>
        <w:t>Statistical analysis</w:t>
      </w:r>
    </w:p>
    <w:p w14:paraId="15401F1A" w14:textId="77777777" w:rsidR="001C196D" w:rsidRPr="00F729DA" w:rsidRDefault="001C196D" w:rsidP="00F729DA">
      <w:pPr>
        <w:spacing w:line="480" w:lineRule="auto"/>
        <w:jc w:val="left"/>
        <w:rPr>
          <w:rFonts w:ascii="Times New Roman" w:hAnsi="Times New Roman" w:cs="Times New Roman"/>
        </w:rPr>
      </w:pPr>
    </w:p>
    <w:p w14:paraId="57F5EB48" w14:textId="77777777" w:rsidR="001C196D" w:rsidRPr="00F729DA" w:rsidRDefault="001C196D" w:rsidP="00F729DA">
      <w:pPr>
        <w:spacing w:line="480" w:lineRule="auto"/>
        <w:jc w:val="left"/>
        <w:rPr>
          <w:rFonts w:ascii="Times New Roman" w:hAnsi="Times New Roman" w:cs="Times New Roman"/>
        </w:rPr>
      </w:pPr>
      <w:r w:rsidRPr="00F729DA">
        <w:rPr>
          <w:rFonts w:ascii="Times New Roman" w:hAnsi="Times New Roman" w:cs="Times New Roman"/>
        </w:rPr>
        <w:t>Propensity score matching</w:t>
      </w:r>
    </w:p>
    <w:p w14:paraId="105003E6" w14:textId="53346D91" w:rsidR="001C196D" w:rsidRPr="00F729DA" w:rsidRDefault="001C196D" w:rsidP="00F729DA">
      <w:pPr>
        <w:spacing w:line="480" w:lineRule="auto"/>
        <w:ind w:firstLine="960"/>
        <w:jc w:val="left"/>
        <w:rPr>
          <w:rFonts w:ascii="Times New Roman" w:hAnsi="Times New Roman" w:cs="Times New Roman"/>
        </w:rPr>
      </w:pPr>
      <w:r w:rsidRPr="00F729DA">
        <w:rPr>
          <w:rFonts w:ascii="Times New Roman" w:hAnsi="Times New Roman" w:cs="Times New Roman"/>
        </w:rPr>
        <w:t xml:space="preserve">Propensity score matching was used to obtain subsets of the antithrombotic drug group and the control group with negligible difference in distribution of covariates. The propensity score was calculated as the predicted probability of having received </w:t>
      </w:r>
      <w:r w:rsidR="00F01458">
        <w:rPr>
          <w:rFonts w:ascii="Times New Roman" w:hAnsi="Times New Roman" w:cs="Times New Roman"/>
        </w:rPr>
        <w:t>antithrombotic (</w:t>
      </w:r>
      <w:r w:rsidRPr="00F729DA">
        <w:rPr>
          <w:rFonts w:ascii="Times New Roman" w:hAnsi="Times New Roman" w:cs="Times New Roman"/>
        </w:rPr>
        <w:t>AT</w:t>
      </w:r>
      <w:r w:rsidR="00F01458">
        <w:rPr>
          <w:rFonts w:ascii="Times New Roman" w:hAnsi="Times New Roman" w:cs="Times New Roman"/>
        </w:rPr>
        <w:t>)</w:t>
      </w:r>
      <w:r w:rsidRPr="00F729DA">
        <w:rPr>
          <w:rFonts w:ascii="Times New Roman" w:hAnsi="Times New Roman" w:cs="Times New Roman"/>
        </w:rPr>
        <w:t xml:space="preserve"> drugs preoperatively using a logistic regression model, with all covariates listed in Table 1 and </w:t>
      </w:r>
      <w:r w:rsidR="00F01458" w:rsidRPr="00F01458">
        <w:rPr>
          <w:rFonts w:ascii="Times New Roman" w:hAnsi="Times New Roman" w:cs="Times New Roman"/>
        </w:rPr>
        <w:t>Additional file 4.</w:t>
      </w:r>
      <w:r w:rsidRPr="00F729DA">
        <w:rPr>
          <w:rFonts w:ascii="Times New Roman" w:hAnsi="Times New Roman" w:cs="Times New Roman"/>
        </w:rPr>
        <w:t xml:space="preserve"> as independent variables, on the entire analysis dataset. Assuming that a balance in the type of procedure and coagulopathy is of particular importance, exact matching was applied to stratify patients by these variables, followed by nearest neighbor matching within each subgroup, with a caliper of standard deviation of the propensity score multiplied by 0.25. Matching was evaluated and optimized using the standardized difference as the primary measure of covariate balance, without disclosing any intraoperative and postoperative outcomes in the two groups. For categorical variables with three or more levels, Yang and Dalton's extension of standardized difference was used</w:t>
      </w:r>
      <w:r w:rsidRPr="00F729DA">
        <w:rPr>
          <w:rFonts w:ascii="Times New Roman" w:hAnsi="Times New Roman" w:cs="Times New Roman"/>
          <w:noProof/>
          <w:vertAlign w:val="superscript"/>
        </w:rPr>
        <w:t>1</w:t>
      </w:r>
      <w:r w:rsidRPr="00F729DA">
        <w:rPr>
          <w:rFonts w:ascii="Times New Roman" w:hAnsi="Times New Roman" w:cs="Times New Roman"/>
        </w:rPr>
        <w:t>.</w:t>
      </w:r>
    </w:p>
    <w:p w14:paraId="68B240C1" w14:textId="77777777" w:rsidR="001C196D" w:rsidRPr="00F729DA" w:rsidRDefault="001C196D" w:rsidP="00F729DA">
      <w:pPr>
        <w:spacing w:line="480" w:lineRule="auto"/>
        <w:jc w:val="left"/>
        <w:rPr>
          <w:rFonts w:ascii="Times New Roman" w:hAnsi="Times New Roman" w:cs="Times New Roman"/>
        </w:rPr>
      </w:pPr>
    </w:p>
    <w:p w14:paraId="196B20C8" w14:textId="77777777" w:rsidR="001C196D" w:rsidRPr="00F729DA" w:rsidRDefault="001C196D" w:rsidP="00F729DA">
      <w:pPr>
        <w:spacing w:line="480" w:lineRule="auto"/>
        <w:jc w:val="left"/>
        <w:rPr>
          <w:rFonts w:ascii="Times New Roman" w:hAnsi="Times New Roman" w:cs="Times New Roman"/>
        </w:rPr>
      </w:pPr>
      <w:r w:rsidRPr="00F729DA">
        <w:rPr>
          <w:rFonts w:ascii="Times New Roman" w:hAnsi="Times New Roman" w:cs="Times New Roman"/>
        </w:rPr>
        <w:t>Regression-adjusted relationship of AT drugs and intraoperative blood loss</w:t>
      </w:r>
    </w:p>
    <w:p w14:paraId="3DD54504" w14:textId="77777777" w:rsidR="001C196D" w:rsidRPr="00F729DA" w:rsidRDefault="001C196D" w:rsidP="00F729DA">
      <w:pPr>
        <w:pStyle w:val="a4"/>
        <w:spacing w:line="480" w:lineRule="auto"/>
        <w:ind w:firstLine="840"/>
        <w:rPr>
          <w:rFonts w:ascii="Times New Roman" w:hAnsi="Times New Roman" w:cs="Times New Roman"/>
        </w:rPr>
      </w:pPr>
      <w:r w:rsidRPr="00F729DA">
        <w:rPr>
          <w:rFonts w:ascii="Times New Roman" w:hAnsi="Times New Roman" w:cs="Times New Roman"/>
        </w:rPr>
        <w:lastRenderedPageBreak/>
        <w:t>Multivariable regression was applied in the matched cohort to estimate the relationship of the use of AT drugs and intraoperative blood loss, adjusted for other covariates. Since intraoperative blood loss had a right-skewed distribution, it was log-transformed before being used as the dependent variable. The use of AT drugs and all covariates were used as independent variables. Using log-transformation of intraoperative blood loss, the ratio between AT drug and control groups, adjusted for other covariates, was obtained.</w:t>
      </w:r>
    </w:p>
    <w:p w14:paraId="39C5724F" w14:textId="77777777" w:rsidR="001C196D" w:rsidRPr="00F729DA" w:rsidRDefault="001C196D" w:rsidP="00F729DA">
      <w:pPr>
        <w:spacing w:line="480" w:lineRule="auto"/>
        <w:ind w:firstLine="960"/>
        <w:jc w:val="left"/>
        <w:rPr>
          <w:rFonts w:ascii="Times New Roman" w:hAnsi="Times New Roman" w:cs="Times New Roman"/>
        </w:rPr>
      </w:pPr>
    </w:p>
    <w:p w14:paraId="66BF21F4" w14:textId="77777777" w:rsidR="001C196D" w:rsidRPr="00F729DA" w:rsidRDefault="001C196D" w:rsidP="00F729DA">
      <w:pPr>
        <w:spacing w:line="480" w:lineRule="auto"/>
        <w:jc w:val="left"/>
        <w:rPr>
          <w:rFonts w:ascii="Times New Roman" w:hAnsi="Times New Roman" w:cs="Times New Roman"/>
        </w:rPr>
      </w:pPr>
      <w:r w:rsidRPr="00F729DA">
        <w:rPr>
          <w:rFonts w:ascii="Times New Roman" w:hAnsi="Times New Roman" w:cs="Times New Roman"/>
        </w:rPr>
        <w:t xml:space="preserve">Variable importance </w:t>
      </w:r>
    </w:p>
    <w:p w14:paraId="4D868500" w14:textId="77777777" w:rsidR="001C196D" w:rsidRPr="00F729DA" w:rsidRDefault="001C196D" w:rsidP="00F729DA">
      <w:pPr>
        <w:spacing w:line="480" w:lineRule="auto"/>
        <w:ind w:firstLine="960"/>
        <w:jc w:val="left"/>
        <w:rPr>
          <w:rFonts w:ascii="Times New Roman" w:hAnsi="Times New Roman" w:cs="Times New Roman"/>
        </w:rPr>
      </w:pPr>
      <w:r w:rsidRPr="00F729DA">
        <w:rPr>
          <w:rFonts w:ascii="Times New Roman" w:hAnsi="Times New Roman" w:cs="Times New Roman"/>
        </w:rPr>
        <w:t>Variable importance measures based on a random forest model were used to examine relative importance of AT drugs in determining the intraoperative blood loss compared to other covariates</w:t>
      </w:r>
      <w:r w:rsidRPr="00F729DA">
        <w:rPr>
          <w:rFonts w:ascii="Times New Roman" w:hAnsi="Times New Roman" w:cs="Times New Roman"/>
          <w:noProof/>
          <w:vertAlign w:val="superscript"/>
        </w:rPr>
        <w:t>2</w:t>
      </w:r>
      <w:r w:rsidRPr="00F729DA">
        <w:rPr>
          <w:rFonts w:ascii="Times New Roman" w:hAnsi="Times New Roman" w:cs="Times New Roman"/>
        </w:rPr>
        <w:t xml:space="preserve">. Random forest is an ensemble learning method, which combines numerous decision trees, with well-studied properties, and is often more accurate than a linear regression model. When compared to interpreting coefficients of a linear regression model without interaction terms, use of variable importance measures based on a random forest model has the advantage of requiring less stringent assumptions, as random forest handles non-normal distributions, non-linear correlations, and effect interactions well given sufficient number of observations. </w:t>
      </w:r>
      <w:r w:rsidRPr="00F729DA">
        <w:rPr>
          <w:rFonts w:ascii="Times New Roman" w:hAnsi="Times New Roman" w:cs="Times New Roman"/>
        </w:rPr>
        <w:lastRenderedPageBreak/>
        <w:t xml:space="preserve">Permutation variable importance, defined as a decrease in model accuracy caused by permutation of each independent variable, was calculated to examine the relative importance of AT drugs in determining intraoperative blood loss compared to other covariates </w:t>
      </w:r>
      <w:r w:rsidRPr="00F729DA">
        <w:rPr>
          <w:rFonts w:ascii="Times New Roman" w:hAnsi="Times New Roman" w:cs="Times New Roman"/>
          <w:noProof/>
          <w:vertAlign w:val="superscript"/>
        </w:rPr>
        <w:t>2, 3</w:t>
      </w:r>
      <w:r w:rsidRPr="00F729DA">
        <w:rPr>
          <w:rFonts w:ascii="Times New Roman" w:hAnsi="Times New Roman" w:cs="Times New Roman"/>
        </w:rPr>
        <w:t xml:space="preserve">. A random forest model with 1,000 trees using all independent variables was fitted for log-transformed intraoperative blood loss (ml), with zero (0) replaced with one (1). "Number of variables to possibly split at in each node" and "minimal node size" were optimized through grid search to minimize the out-of-bag Gini index. </w:t>
      </w:r>
    </w:p>
    <w:p w14:paraId="3CA93867" w14:textId="77777777" w:rsidR="001C196D" w:rsidRPr="00F729DA" w:rsidRDefault="001C196D" w:rsidP="00F729DA">
      <w:pPr>
        <w:spacing w:line="480" w:lineRule="auto"/>
        <w:ind w:firstLine="960"/>
        <w:jc w:val="left"/>
        <w:rPr>
          <w:rFonts w:ascii="Times New Roman" w:hAnsi="Times New Roman" w:cs="Times New Roman"/>
        </w:rPr>
      </w:pPr>
      <w:r w:rsidRPr="00F729DA">
        <w:rPr>
          <w:rFonts w:ascii="Times New Roman" w:hAnsi="Times New Roman" w:cs="Times New Roman"/>
        </w:rPr>
        <w:t xml:space="preserve">Appropriate interpretation of variable importance measures employed here requires understanding of their nature, as with any other analysis method. Particularly, it should be noted that a variable’s importance receives a lower score when the variable is correlated with any other variable examined in the analysis. Due to this, the importance of antithrombotic drugs may have been underestimated. However, this issue is common among virtually all model-based approaches for understanding the relative importance of a variable in determining an outcome, including multivariable regression. </w:t>
      </w:r>
    </w:p>
    <w:p w14:paraId="42E5945F" w14:textId="77777777" w:rsidR="001C196D" w:rsidRPr="00F729DA" w:rsidRDefault="001C196D" w:rsidP="00F729DA">
      <w:pPr>
        <w:spacing w:line="480" w:lineRule="auto"/>
        <w:ind w:firstLine="960"/>
        <w:jc w:val="left"/>
        <w:rPr>
          <w:rFonts w:ascii="Times New Roman" w:hAnsi="Times New Roman" w:cs="Times New Roman"/>
        </w:rPr>
      </w:pPr>
    </w:p>
    <w:p w14:paraId="7C79C8E4" w14:textId="77777777" w:rsidR="001C196D" w:rsidRPr="00F729DA" w:rsidRDefault="001C196D" w:rsidP="00F729DA">
      <w:pPr>
        <w:spacing w:line="480" w:lineRule="auto"/>
        <w:ind w:firstLine="960"/>
        <w:jc w:val="left"/>
        <w:rPr>
          <w:rFonts w:ascii="Times New Roman" w:hAnsi="Times New Roman" w:cs="Times New Roman"/>
        </w:rPr>
      </w:pPr>
      <w:r w:rsidRPr="00F729DA">
        <w:rPr>
          <w:rFonts w:ascii="Times New Roman" w:hAnsi="Times New Roman" w:cs="Times New Roman"/>
        </w:rPr>
        <w:t>Statistical analysis was performed using R software (version 4.0.2, 2020; R Foundation for Statistical Computing, Vienna, Austria) with the following major packages: "</w:t>
      </w:r>
      <w:proofErr w:type="spellStart"/>
      <w:r w:rsidRPr="00F729DA">
        <w:rPr>
          <w:rFonts w:ascii="Times New Roman" w:hAnsi="Times New Roman" w:cs="Times New Roman"/>
        </w:rPr>
        <w:t>MatchIt</w:t>
      </w:r>
      <w:proofErr w:type="spellEnd"/>
      <w:r w:rsidRPr="00F729DA">
        <w:rPr>
          <w:rFonts w:ascii="Times New Roman" w:hAnsi="Times New Roman" w:cs="Times New Roman"/>
        </w:rPr>
        <w:t xml:space="preserve">" version 3.0.2 for propensity score matching, and “ranger” version </w:t>
      </w:r>
      <w:r w:rsidRPr="00F729DA">
        <w:rPr>
          <w:rFonts w:ascii="Times New Roman" w:hAnsi="Times New Roman" w:cs="Times New Roman"/>
        </w:rPr>
        <w:lastRenderedPageBreak/>
        <w:t>0.12.1 for calculating variable importance measures. JMP®︎ Pro software version 15.2.0 was also used for comparison of variables between groups (SAS Institute Inc., USA, 2020). All p-values were two-sided and p-values less than 0.05 were considered statistically significant.</w:t>
      </w:r>
    </w:p>
    <w:p w14:paraId="671CBE7F" w14:textId="77777777" w:rsidR="001C196D" w:rsidRPr="00F729DA" w:rsidRDefault="001C196D" w:rsidP="00F729DA">
      <w:pPr>
        <w:spacing w:line="480" w:lineRule="auto"/>
        <w:rPr>
          <w:rFonts w:ascii="Times New Roman" w:hAnsi="Times New Roman" w:cs="Times New Roman"/>
        </w:rPr>
      </w:pPr>
    </w:p>
    <w:p w14:paraId="54C50F16" w14:textId="77777777" w:rsidR="001C196D" w:rsidRPr="00F729DA" w:rsidRDefault="001C196D" w:rsidP="00F729DA">
      <w:pPr>
        <w:widowControl/>
        <w:spacing w:line="480" w:lineRule="auto"/>
        <w:jc w:val="left"/>
        <w:rPr>
          <w:rFonts w:ascii="Times New Roman" w:hAnsi="Times New Roman" w:cs="Times New Roman"/>
        </w:rPr>
      </w:pPr>
      <w:r w:rsidRPr="00F729DA">
        <w:rPr>
          <w:rFonts w:ascii="Times New Roman" w:hAnsi="Times New Roman" w:cs="Times New Roman"/>
        </w:rPr>
        <w:br w:type="page"/>
      </w:r>
    </w:p>
    <w:p w14:paraId="26E0AFFC" w14:textId="77777777" w:rsidR="001C196D" w:rsidRPr="00F729DA" w:rsidRDefault="001C196D" w:rsidP="00F729DA">
      <w:pPr>
        <w:spacing w:line="480" w:lineRule="auto"/>
        <w:rPr>
          <w:rFonts w:ascii="Times New Roman" w:hAnsi="Times New Roman" w:cs="Times New Roman"/>
        </w:rPr>
      </w:pPr>
      <w:r w:rsidRPr="00F729DA">
        <w:rPr>
          <w:rFonts w:ascii="Times New Roman" w:hAnsi="Times New Roman" w:cs="Times New Roman"/>
        </w:rPr>
        <w:lastRenderedPageBreak/>
        <w:t xml:space="preserve">References </w:t>
      </w:r>
    </w:p>
    <w:p w14:paraId="14CC2D18" w14:textId="77777777" w:rsidR="001C196D" w:rsidRPr="00F729DA" w:rsidRDefault="001C196D" w:rsidP="00F729DA">
      <w:pPr>
        <w:pStyle w:val="EndNoteBibliography"/>
        <w:spacing w:line="480" w:lineRule="auto"/>
        <w:ind w:left="720" w:hanging="720"/>
        <w:rPr>
          <w:rFonts w:ascii="Times New Roman" w:hAnsi="Times New Roman" w:cs="Times New Roman"/>
          <w:noProof/>
        </w:rPr>
      </w:pPr>
      <w:r w:rsidRPr="00F729DA">
        <w:rPr>
          <w:rFonts w:ascii="Times New Roman" w:hAnsi="Times New Roman" w:cs="Times New Roman"/>
          <w:noProof/>
        </w:rPr>
        <w:t>1.</w:t>
      </w:r>
      <w:r w:rsidRPr="00F729DA">
        <w:rPr>
          <w:rFonts w:ascii="Times New Roman" w:hAnsi="Times New Roman" w:cs="Times New Roman"/>
          <w:noProof/>
        </w:rPr>
        <w:tab/>
        <w:t>Yang D-S, Jarrod E Dalton. A unified approach to measuring the effect size between two groups using SAS®. 2012.</w:t>
      </w:r>
    </w:p>
    <w:p w14:paraId="77EA9D53" w14:textId="77777777" w:rsidR="001C196D" w:rsidRPr="00F729DA" w:rsidRDefault="001C196D" w:rsidP="00F729DA">
      <w:pPr>
        <w:pStyle w:val="EndNoteBibliography"/>
        <w:spacing w:line="480" w:lineRule="auto"/>
        <w:ind w:left="720" w:hanging="720"/>
        <w:rPr>
          <w:rFonts w:ascii="Times New Roman" w:hAnsi="Times New Roman" w:cs="Times New Roman"/>
          <w:noProof/>
        </w:rPr>
      </w:pPr>
      <w:r w:rsidRPr="00F729DA">
        <w:rPr>
          <w:rFonts w:ascii="Times New Roman" w:hAnsi="Times New Roman" w:cs="Times New Roman"/>
          <w:noProof/>
        </w:rPr>
        <w:t>2.</w:t>
      </w:r>
      <w:r w:rsidRPr="00F729DA">
        <w:rPr>
          <w:rFonts w:ascii="Times New Roman" w:hAnsi="Times New Roman" w:cs="Times New Roman"/>
          <w:noProof/>
        </w:rPr>
        <w:tab/>
        <w:t>Breiman. L. Random forests. Machine Learning. 2001;45:5-32.</w:t>
      </w:r>
    </w:p>
    <w:p w14:paraId="7EA26E69" w14:textId="77777777" w:rsidR="001C196D" w:rsidRPr="00F729DA" w:rsidRDefault="001C196D" w:rsidP="00F729DA">
      <w:pPr>
        <w:pStyle w:val="EndNoteBibliography"/>
        <w:spacing w:line="480" w:lineRule="auto"/>
        <w:ind w:left="720" w:hanging="720"/>
        <w:rPr>
          <w:rFonts w:ascii="Times New Roman" w:hAnsi="Times New Roman" w:cs="Times New Roman"/>
          <w:noProof/>
        </w:rPr>
      </w:pPr>
      <w:r w:rsidRPr="00F729DA">
        <w:rPr>
          <w:rFonts w:ascii="Times New Roman" w:hAnsi="Times New Roman" w:cs="Times New Roman"/>
          <w:noProof/>
        </w:rPr>
        <w:t>3.</w:t>
      </w:r>
      <w:r w:rsidRPr="00F729DA">
        <w:rPr>
          <w:rFonts w:ascii="Times New Roman" w:hAnsi="Times New Roman" w:cs="Times New Roman"/>
          <w:noProof/>
        </w:rPr>
        <w:tab/>
        <w:t>Altmann A, Tolosi L, Sander O, et al. Permutation importance: a corrected feature importance measure. Bioinformatics. 2010;26:1340-1347.</w:t>
      </w:r>
    </w:p>
    <w:p w14:paraId="3872BCB0" w14:textId="77777777" w:rsidR="001C196D" w:rsidRPr="00F729DA" w:rsidRDefault="001C196D" w:rsidP="00F729DA">
      <w:pPr>
        <w:spacing w:line="480" w:lineRule="auto"/>
        <w:rPr>
          <w:rFonts w:ascii="Times New Roman" w:hAnsi="Times New Roman" w:cs="Times New Roman"/>
        </w:rPr>
      </w:pPr>
    </w:p>
    <w:p w14:paraId="24BD803C" w14:textId="77777777" w:rsidR="00940FE2" w:rsidRPr="00F729DA" w:rsidRDefault="00F01458" w:rsidP="00F729DA">
      <w:pPr>
        <w:spacing w:line="480" w:lineRule="auto"/>
        <w:rPr>
          <w:rFonts w:ascii="Times New Roman" w:hAnsi="Times New Roman" w:cs="Times New Roman"/>
        </w:rPr>
      </w:pPr>
    </w:p>
    <w:sectPr w:rsidR="00940FE2" w:rsidRPr="00F729DA" w:rsidSect="005457B8">
      <w:pgSz w:w="11900" w:h="16840"/>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1"/>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1C196D"/>
    <w:rsid w:val="00021E74"/>
    <w:rsid w:val="000D454F"/>
    <w:rsid w:val="001C196D"/>
    <w:rsid w:val="002062A9"/>
    <w:rsid w:val="002540EA"/>
    <w:rsid w:val="002855E6"/>
    <w:rsid w:val="002A00E5"/>
    <w:rsid w:val="002D1F55"/>
    <w:rsid w:val="00373EDB"/>
    <w:rsid w:val="003876C3"/>
    <w:rsid w:val="003A226A"/>
    <w:rsid w:val="003B0EFD"/>
    <w:rsid w:val="003D3D2A"/>
    <w:rsid w:val="00414C5C"/>
    <w:rsid w:val="0043259B"/>
    <w:rsid w:val="00447CFF"/>
    <w:rsid w:val="004718F6"/>
    <w:rsid w:val="005457B8"/>
    <w:rsid w:val="005816F6"/>
    <w:rsid w:val="006861CE"/>
    <w:rsid w:val="00690973"/>
    <w:rsid w:val="00761E5F"/>
    <w:rsid w:val="007C710F"/>
    <w:rsid w:val="007E36BC"/>
    <w:rsid w:val="00805C9F"/>
    <w:rsid w:val="00817DE1"/>
    <w:rsid w:val="00833329"/>
    <w:rsid w:val="009F0809"/>
    <w:rsid w:val="00A63C81"/>
    <w:rsid w:val="00B934A0"/>
    <w:rsid w:val="00BD54C5"/>
    <w:rsid w:val="00C32966"/>
    <w:rsid w:val="00D2772F"/>
    <w:rsid w:val="00DB0A71"/>
    <w:rsid w:val="00E521F4"/>
    <w:rsid w:val="00E55A5C"/>
    <w:rsid w:val="00EE5E79"/>
    <w:rsid w:val="00F01458"/>
    <w:rsid w:val="00F208BE"/>
    <w:rsid w:val="00F729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2D6ADFD"/>
  <w15:chartTrackingRefBased/>
  <w15:docId w15:val="{3E406C0B-6A6B-A046-AC40-FC034A3F6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C196D"/>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1C196D"/>
    <w:rPr>
      <w:sz w:val="18"/>
      <w:szCs w:val="18"/>
    </w:rPr>
  </w:style>
  <w:style w:type="paragraph" w:styleId="a4">
    <w:name w:val="annotation text"/>
    <w:basedOn w:val="a"/>
    <w:link w:val="a5"/>
    <w:uiPriority w:val="99"/>
    <w:unhideWhenUsed/>
    <w:rsid w:val="001C196D"/>
    <w:pPr>
      <w:jc w:val="left"/>
    </w:pPr>
  </w:style>
  <w:style w:type="character" w:customStyle="1" w:styleId="a5">
    <w:name w:val="コメント文字列 (文字)"/>
    <w:basedOn w:val="a0"/>
    <w:link w:val="a4"/>
    <w:uiPriority w:val="99"/>
    <w:rsid w:val="001C196D"/>
    <w:rPr>
      <w:sz w:val="24"/>
    </w:rPr>
  </w:style>
  <w:style w:type="paragraph" w:customStyle="1" w:styleId="EndNoteBibliographyTitle">
    <w:name w:val="EndNote Bibliography Title"/>
    <w:basedOn w:val="a"/>
    <w:link w:val="EndNoteBibliographyTitle0"/>
    <w:rsid w:val="001C196D"/>
    <w:pPr>
      <w:jc w:val="center"/>
    </w:pPr>
    <w:rPr>
      <w:rFonts w:ascii="游明朝" w:eastAsia="游明朝" w:hAnsi="游明朝"/>
    </w:rPr>
  </w:style>
  <w:style w:type="character" w:customStyle="1" w:styleId="EndNoteBibliographyTitle0">
    <w:name w:val="EndNote Bibliography Title (文字)"/>
    <w:basedOn w:val="a0"/>
    <w:link w:val="EndNoteBibliographyTitle"/>
    <w:rsid w:val="001C196D"/>
    <w:rPr>
      <w:rFonts w:ascii="游明朝" w:eastAsia="游明朝" w:hAnsi="游明朝"/>
      <w:sz w:val="24"/>
    </w:rPr>
  </w:style>
  <w:style w:type="paragraph" w:customStyle="1" w:styleId="EndNoteBibliography">
    <w:name w:val="EndNote Bibliography"/>
    <w:basedOn w:val="a"/>
    <w:link w:val="EndNoteBibliography0"/>
    <w:rsid w:val="001C196D"/>
    <w:rPr>
      <w:rFonts w:ascii="游明朝" w:eastAsia="游明朝" w:hAnsi="游明朝"/>
    </w:rPr>
  </w:style>
  <w:style w:type="character" w:customStyle="1" w:styleId="EndNoteBibliography0">
    <w:name w:val="EndNote Bibliography (文字)"/>
    <w:basedOn w:val="a0"/>
    <w:link w:val="EndNoteBibliography"/>
    <w:rsid w:val="001C196D"/>
    <w:rPr>
      <w:rFonts w:ascii="游明朝" w:eastAsia="游明朝" w:hAnsi="游明朝"/>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675</Words>
  <Characters>3853</Characters>
  <Application>Microsoft Office Word</Application>
  <DocSecurity>0</DocSecurity>
  <Lines>32</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松岡 義</dc:creator>
  <cp:keywords/>
  <dc:description/>
  <cp:lastModifiedBy>松岡 義</cp:lastModifiedBy>
  <cp:revision>4</cp:revision>
  <dcterms:created xsi:type="dcterms:W3CDTF">2021-04-08T15:40:00Z</dcterms:created>
  <dcterms:modified xsi:type="dcterms:W3CDTF">2021-04-08T16:13:00Z</dcterms:modified>
</cp:coreProperties>
</file>