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07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0"/>
        <w:gridCol w:w="3416"/>
        <w:gridCol w:w="1377"/>
        <w:gridCol w:w="135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exact"/>
          <w:tblHeader/>
        </w:trPr>
        <w:tc>
          <w:tcPr>
            <w:tcW w:w="1930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Indicators</w:t>
            </w:r>
          </w:p>
        </w:tc>
        <w:tc>
          <w:tcPr>
            <w:tcW w:w="3416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Category</w:t>
            </w:r>
          </w:p>
        </w:tc>
        <w:tc>
          <w:tcPr>
            <w:tcW w:w="1377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Frequency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Proportion (%)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exact"/>
        </w:trPr>
        <w:tc>
          <w:tcPr>
            <w:tcW w:w="193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Sex</w:t>
            </w:r>
          </w:p>
        </w:tc>
        <w:tc>
          <w:tcPr>
            <w:tcW w:w="3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Male</w:t>
            </w:r>
          </w:p>
        </w:tc>
        <w:tc>
          <w:tcPr>
            <w:tcW w:w="13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740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66.19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Female</w:t>
            </w:r>
          </w:p>
        </w:tc>
        <w:tc>
          <w:tcPr>
            <w:tcW w:w="13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378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33.81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Age (years)</w:t>
            </w:r>
          </w:p>
        </w:tc>
        <w:tc>
          <w:tcPr>
            <w:tcW w:w="3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25–35 </w:t>
            </w:r>
          </w:p>
        </w:tc>
        <w:tc>
          <w:tcPr>
            <w:tcW w:w="1377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18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1.61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36–45 </w:t>
            </w:r>
          </w:p>
        </w:tc>
        <w:tc>
          <w:tcPr>
            <w:tcW w:w="1377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100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8.94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46–55 </w:t>
            </w:r>
          </w:p>
        </w:tc>
        <w:tc>
          <w:tcPr>
            <w:tcW w:w="1377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322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28.80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56–65 </w:t>
            </w:r>
          </w:p>
        </w:tc>
        <w:tc>
          <w:tcPr>
            <w:tcW w:w="1377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494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44.19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66–75</w:t>
            </w:r>
          </w:p>
        </w:tc>
        <w:tc>
          <w:tcPr>
            <w:tcW w:w="1377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184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16.46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rStyle w:val="8"/>
                <w:rFonts w:hint="default" w:ascii="Times New Roman" w:hAnsi="Times New Roman"/>
                <w:bCs/>
                <w:sz w:val="18"/>
                <w:szCs w:val="18"/>
              </w:rPr>
              <w:t>Education level</w:t>
            </w:r>
          </w:p>
        </w:tc>
        <w:tc>
          <w:tcPr>
            <w:tcW w:w="3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Below primary school</w:t>
            </w:r>
          </w:p>
        </w:tc>
        <w:tc>
          <w:tcPr>
            <w:tcW w:w="13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299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26.74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Primary school</w:t>
            </w:r>
          </w:p>
        </w:tc>
        <w:tc>
          <w:tcPr>
            <w:tcW w:w="13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241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21.56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Junior high school</w:t>
            </w:r>
          </w:p>
        </w:tc>
        <w:tc>
          <w:tcPr>
            <w:tcW w:w="13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341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30.50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High school and technical secondary school</w:t>
            </w:r>
          </w:p>
        </w:tc>
        <w:tc>
          <w:tcPr>
            <w:tcW w:w="13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117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10.47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College degree or above</w:t>
            </w:r>
          </w:p>
        </w:tc>
        <w:tc>
          <w:tcPr>
            <w:tcW w:w="13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110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9.84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rStyle w:val="8"/>
                <w:rFonts w:hint="default" w:ascii="Times New Roman" w:hAnsi="Times New Roman"/>
                <w:bCs/>
                <w:sz w:val="18"/>
                <w:szCs w:val="18"/>
              </w:rPr>
              <w:t>Number of plots (block)</w:t>
            </w:r>
          </w:p>
        </w:tc>
        <w:tc>
          <w:tcPr>
            <w:tcW w:w="3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1–3</w:t>
            </w:r>
          </w:p>
        </w:tc>
        <w:tc>
          <w:tcPr>
            <w:tcW w:w="1377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792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70.84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5–10</w:t>
            </w:r>
          </w:p>
        </w:tc>
        <w:tc>
          <w:tcPr>
            <w:tcW w:w="1377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306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27.37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More than 10</w:t>
            </w:r>
          </w:p>
        </w:tc>
        <w:tc>
          <w:tcPr>
            <w:tcW w:w="1377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20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1.79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Planting scale (Mu)</w:t>
            </w:r>
          </w:p>
        </w:tc>
        <w:tc>
          <w:tcPr>
            <w:tcW w:w="341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Below 3</w:t>
            </w:r>
          </w:p>
        </w:tc>
        <w:tc>
          <w:tcPr>
            <w:tcW w:w="137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446</w:t>
            </w:r>
          </w:p>
        </w:tc>
        <w:tc>
          <w:tcPr>
            <w:tcW w:w="135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39.89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3–10 </w:t>
            </w:r>
          </w:p>
        </w:tc>
        <w:tc>
          <w:tcPr>
            <w:tcW w:w="137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374</w:t>
            </w:r>
          </w:p>
        </w:tc>
        <w:tc>
          <w:tcPr>
            <w:tcW w:w="135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33.45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More than 10</w:t>
            </w:r>
          </w:p>
        </w:tc>
        <w:tc>
          <w:tcPr>
            <w:tcW w:w="137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298</w:t>
            </w:r>
          </w:p>
        </w:tc>
        <w:tc>
          <w:tcPr>
            <w:tcW w:w="135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26.65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Below 5</w:t>
            </w:r>
          </w:p>
        </w:tc>
        <w:tc>
          <w:tcPr>
            <w:tcW w:w="137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20</w:t>
            </w:r>
          </w:p>
        </w:tc>
        <w:tc>
          <w:tcPr>
            <w:tcW w:w="135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1.79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Planting years</w:t>
            </w:r>
          </w:p>
        </w:tc>
        <w:tc>
          <w:tcPr>
            <w:tcW w:w="341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5–15 </w:t>
            </w:r>
          </w:p>
        </w:tc>
        <w:tc>
          <w:tcPr>
            <w:tcW w:w="137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76</w:t>
            </w:r>
          </w:p>
        </w:tc>
        <w:tc>
          <w:tcPr>
            <w:tcW w:w="135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6.80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16–25</w:t>
            </w:r>
          </w:p>
        </w:tc>
        <w:tc>
          <w:tcPr>
            <w:tcW w:w="137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63</w:t>
            </w:r>
          </w:p>
        </w:tc>
        <w:tc>
          <w:tcPr>
            <w:tcW w:w="135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5.64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26–35</w:t>
            </w:r>
          </w:p>
        </w:tc>
        <w:tc>
          <w:tcPr>
            <w:tcW w:w="137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381</w:t>
            </w:r>
          </w:p>
        </w:tc>
        <w:tc>
          <w:tcPr>
            <w:tcW w:w="135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34.08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36–45</w:t>
            </w:r>
          </w:p>
        </w:tc>
        <w:tc>
          <w:tcPr>
            <w:tcW w:w="137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384</w:t>
            </w:r>
          </w:p>
        </w:tc>
        <w:tc>
          <w:tcPr>
            <w:tcW w:w="135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34.35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Proportion of agricultural income (%)</w:t>
            </w:r>
          </w:p>
        </w:tc>
        <w:tc>
          <w:tcPr>
            <w:tcW w:w="341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More than 45</w:t>
            </w:r>
          </w:p>
        </w:tc>
        <w:tc>
          <w:tcPr>
            <w:tcW w:w="137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More than 45</w:t>
            </w:r>
          </w:p>
        </w:tc>
        <w:tc>
          <w:tcPr>
            <w:tcW w:w="135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More than 45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Below30%</w:t>
            </w:r>
          </w:p>
        </w:tc>
        <w:tc>
          <w:tcPr>
            <w:tcW w:w="137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Below30%</w:t>
            </w:r>
          </w:p>
        </w:tc>
        <w:tc>
          <w:tcPr>
            <w:tcW w:w="135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Below30%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30–50%</w:t>
            </w:r>
          </w:p>
        </w:tc>
        <w:tc>
          <w:tcPr>
            <w:tcW w:w="137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30–50%</w:t>
            </w:r>
          </w:p>
        </w:tc>
        <w:tc>
          <w:tcPr>
            <w:tcW w:w="135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30–50%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50–70%</w:t>
            </w:r>
          </w:p>
        </w:tc>
        <w:tc>
          <w:tcPr>
            <w:tcW w:w="137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50–70%</w:t>
            </w:r>
          </w:p>
        </w:tc>
        <w:tc>
          <w:tcPr>
            <w:tcW w:w="135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50–70%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More than 70%</w:t>
            </w:r>
          </w:p>
        </w:tc>
        <w:tc>
          <w:tcPr>
            <w:tcW w:w="137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More than 70%</w:t>
            </w:r>
          </w:p>
        </w:tc>
        <w:tc>
          <w:tcPr>
            <w:tcW w:w="135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More than 70%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Technical training</w:t>
            </w:r>
          </w:p>
        </w:tc>
        <w:tc>
          <w:tcPr>
            <w:tcW w:w="341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Yes</w:t>
            </w:r>
          </w:p>
        </w:tc>
        <w:tc>
          <w:tcPr>
            <w:tcW w:w="137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Yes</w:t>
            </w:r>
          </w:p>
        </w:tc>
        <w:tc>
          <w:tcPr>
            <w:tcW w:w="135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Yes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9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1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No</w:t>
            </w:r>
          </w:p>
        </w:tc>
        <w:tc>
          <w:tcPr>
            <w:tcW w:w="1377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No</w:t>
            </w:r>
          </w:p>
        </w:tc>
        <w:tc>
          <w:tcPr>
            <w:tcW w:w="135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No</w:t>
            </w:r>
          </w:p>
        </w:tc>
      </w:tr>
    </w:tbl>
    <w:p>
      <w:pPr>
        <w:rPr>
          <w:bCs/>
          <w:sz w:val="18"/>
          <w:szCs w:val="20"/>
        </w:rPr>
      </w:pPr>
      <w:r>
        <w:rPr>
          <w:b/>
          <w:sz w:val="18"/>
          <w:szCs w:val="20"/>
        </w:rPr>
        <w:t>Table S1</w:t>
      </w:r>
      <w:r>
        <w:rPr>
          <w:rFonts w:hint="eastAsia"/>
          <w:b/>
          <w:sz w:val="18"/>
          <w:szCs w:val="20"/>
          <w:lang w:val="en-US" w:eastAsia="zh-CN"/>
        </w:rPr>
        <w:t>.</w:t>
      </w:r>
      <w:r>
        <w:rPr>
          <w:b/>
          <w:sz w:val="18"/>
          <w:szCs w:val="20"/>
        </w:rPr>
        <w:t xml:space="preserve"> </w:t>
      </w:r>
      <w:r>
        <w:rPr>
          <w:bCs/>
          <w:sz w:val="18"/>
          <w:szCs w:val="20"/>
        </w:rPr>
        <w:t>Characteristics of the sample farmers</w:t>
      </w:r>
    </w:p>
    <w:tbl>
      <w:tblPr>
        <w:tblStyle w:val="5"/>
        <w:tblW w:w="880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908"/>
        <w:gridCol w:w="700"/>
        <w:gridCol w:w="707"/>
        <w:gridCol w:w="785"/>
        <w:gridCol w:w="685"/>
        <w:gridCol w:w="1200"/>
        <w:gridCol w:w="1207"/>
        <w:gridCol w:w="708"/>
        <w:gridCol w:w="84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  <w:tblHeader/>
        </w:trPr>
        <w:tc>
          <w:tcPr>
            <w:tcW w:w="1062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pStyle w:val="9"/>
              <w:rPr>
                <w:bCs/>
                <w:sz w:val="18"/>
                <w:szCs w:val="18"/>
              </w:rPr>
            </w:pPr>
            <w:r>
              <w:br w:type="page"/>
            </w:r>
            <w:r>
              <w:rPr>
                <w:rFonts w:eastAsia="Times New Roman"/>
                <w:bCs/>
                <w:sz w:val="18"/>
                <w:szCs w:val="18"/>
                <w:lang w:bidi="ar"/>
              </w:rPr>
              <w:t>Dimension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Entry</w:t>
            </w:r>
          </w:p>
        </w:tc>
        <w:tc>
          <w:tcPr>
            <w:tcW w:w="700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bookmarkStart w:id="0" w:name="_Hlk157693909"/>
            <w:r>
              <w:rPr>
                <w:rFonts w:eastAsia="Times New Roman"/>
                <w:bCs/>
                <w:sz w:val="18"/>
                <w:szCs w:val="18"/>
                <w:lang w:bidi="ar"/>
              </w:rPr>
              <w:t>Unstd.</w:t>
            </w:r>
            <w:bookmarkEnd w:id="0"/>
          </w:p>
        </w:tc>
        <w:tc>
          <w:tcPr>
            <w:tcW w:w="707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S.E.</w:t>
            </w:r>
          </w:p>
        </w:tc>
        <w:tc>
          <w:tcPr>
            <w:tcW w:w="785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Z-value</w:t>
            </w:r>
          </w:p>
        </w:tc>
        <w:tc>
          <w:tcPr>
            <w:tcW w:w="685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ρ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bookmarkStart w:id="1" w:name="_Hlk157693968"/>
            <w:r>
              <w:rPr>
                <w:rFonts w:eastAsia="Times New Roman"/>
                <w:bCs/>
                <w:sz w:val="18"/>
                <w:szCs w:val="18"/>
                <w:lang w:bidi="ar"/>
              </w:rPr>
              <w:t>Standardized</w:t>
            </w:r>
            <w:bookmarkEnd w:id="1"/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 coefficient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Cronbach’s α</w:t>
            </w:r>
          </w:p>
        </w:tc>
        <w:tc>
          <w:tcPr>
            <w:tcW w:w="708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CR</w:t>
            </w:r>
          </w:p>
        </w:tc>
        <w:tc>
          <w:tcPr>
            <w:tcW w:w="846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AVE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06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EC</w:t>
            </w:r>
          </w:p>
        </w:tc>
        <w:tc>
          <w:tcPr>
            <w:tcW w:w="9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EC1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1.119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0.049 </w:t>
            </w: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23.012 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***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0.700 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0.843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0.844 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0.576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06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9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EC2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1.030 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0.045 </w:t>
            </w: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22.689 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***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0.759 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06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9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EC3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1.063 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0.048 </w:t>
            </w: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22.216 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***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0.779 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06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9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EC4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1.000 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0.794 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06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EE</w:t>
            </w:r>
          </w:p>
        </w:tc>
        <w:tc>
          <w:tcPr>
            <w:tcW w:w="9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EE1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0.901 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0.044 </w:t>
            </w: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20.530 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***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0.719 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0.795</w:t>
            </w:r>
          </w:p>
        </w:tc>
        <w:tc>
          <w:tcPr>
            <w:tcW w:w="708" w:type="dxa"/>
            <w:tcBorders>
              <w:tl2br w:val="nil"/>
              <w:tr2bl w:val="nil"/>
            </w:tcBorders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0.795 </w:t>
            </w:r>
          </w:p>
        </w:tc>
        <w:tc>
          <w:tcPr>
            <w:tcW w:w="846" w:type="dxa"/>
            <w:tcBorders>
              <w:tl2br w:val="nil"/>
              <w:tr2bl w:val="nil"/>
            </w:tcBorders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0.564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06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9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EE2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0.972 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0.045 </w:t>
            </w: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21.531 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***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0.750 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06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9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EE3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1.000 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0.782 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06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EV</w:t>
            </w:r>
          </w:p>
        </w:tc>
        <w:tc>
          <w:tcPr>
            <w:tcW w:w="9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EV1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1.061 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0.052 </w:t>
            </w: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20.365 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***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0.761 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0.794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0.806 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0.581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06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9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EV2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1.004 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0.050 </w:t>
            </w: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20.226 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***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0.770 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06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9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EV3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1.000 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0.756 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06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ES</w:t>
            </w:r>
          </w:p>
        </w:tc>
        <w:tc>
          <w:tcPr>
            <w:tcW w:w="9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ES1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0.959 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0.043 </w:t>
            </w: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22.469 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***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0.759 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0.806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bookmarkStart w:id="2" w:name="_Hlk137805160"/>
            <w:r>
              <w:rPr>
                <w:rFonts w:eastAsia="Times New Roman"/>
                <w:bCs/>
                <w:sz w:val="18"/>
                <w:szCs w:val="18"/>
                <w:lang w:bidi="ar"/>
              </w:rPr>
              <w:t>0.798</w:t>
            </w:r>
            <w:bookmarkEnd w:id="2"/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0.568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06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9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ES2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0.935 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0.041 </w:t>
            </w: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22.724 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***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0.744 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06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9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ES3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1.000 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0.758 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06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WTP</w:t>
            </w:r>
          </w:p>
        </w:tc>
        <w:tc>
          <w:tcPr>
            <w:tcW w:w="9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WTP1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0.918 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0.040 </w:t>
            </w: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22.938 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***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0.757 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0.798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0.794 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0.562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06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9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WTP2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0.949 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0.042 </w:t>
            </w: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22.615 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***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0.766 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06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9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WTP3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1.000 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0.725 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06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TPB</w:t>
            </w:r>
          </w:p>
        </w:tc>
        <w:tc>
          <w:tcPr>
            <w:tcW w:w="9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TPB1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0.945 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0.044 </w:t>
            </w: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21.257 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***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0.744 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0.792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0.797 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0.567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06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9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TPB2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0.962 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0.044 </w:t>
            </w: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21.977 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***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0.802 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exact"/>
        </w:trPr>
        <w:tc>
          <w:tcPr>
            <w:tcW w:w="106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9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>TPB3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1.000 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  <w:r>
              <w:rPr>
                <w:rFonts w:eastAsia="Times New Roman"/>
                <w:bCs/>
                <w:sz w:val="18"/>
                <w:szCs w:val="18"/>
                <w:lang w:bidi="ar"/>
              </w:rPr>
              <w:t xml:space="preserve">0.710 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outlineLvl w:val="3"/>
              <w:rPr>
                <w:bCs/>
                <w:sz w:val="18"/>
                <w:szCs w:val="18"/>
              </w:rPr>
            </w:pPr>
          </w:p>
        </w:tc>
      </w:tr>
    </w:tbl>
    <w:p>
      <w:pPr>
        <w:pStyle w:val="4"/>
        <w:widowControl/>
        <w:adjustRightInd w:val="0"/>
        <w:snapToGrid w:val="0"/>
        <w:spacing w:line="480" w:lineRule="auto"/>
        <w:jc w:val="left"/>
        <w:rPr>
          <w:sz w:val="18"/>
          <w:szCs w:val="18"/>
        </w:rPr>
      </w:pPr>
      <w:r>
        <w:rPr>
          <w:b/>
          <w:kern w:val="0"/>
          <w:sz w:val="18"/>
          <w:szCs w:val="18"/>
          <w:lang w:bidi="ar"/>
        </w:rPr>
        <w:t>Table S2</w:t>
      </w:r>
      <w:r>
        <w:rPr>
          <w:rFonts w:hint="eastAsia"/>
          <w:b/>
          <w:kern w:val="0"/>
          <w:sz w:val="18"/>
          <w:szCs w:val="18"/>
          <w:lang w:val="en-US" w:eastAsia="zh-CN" w:bidi="ar"/>
        </w:rPr>
        <w:t>.</w:t>
      </w:r>
      <w:r>
        <w:rPr>
          <w:b/>
          <w:kern w:val="0"/>
          <w:sz w:val="18"/>
          <w:szCs w:val="18"/>
          <w:lang w:bidi="ar"/>
        </w:rPr>
        <w:t xml:space="preserve"> </w:t>
      </w:r>
      <w:r>
        <w:rPr>
          <w:kern w:val="0"/>
          <w:sz w:val="18"/>
          <w:szCs w:val="18"/>
          <w:lang w:bidi="ar"/>
        </w:rPr>
        <w:t>Reliability and validity analysis of variables.</w:t>
      </w:r>
      <w:r>
        <w:rPr>
          <w:sz w:val="18"/>
          <w:szCs w:val="18"/>
        </w:rPr>
        <w:t>Note: *** means p &lt; 0.05.</w:t>
      </w:r>
    </w:p>
    <w:p>
      <w:pPr>
        <w:widowControl/>
        <w:jc w:val="left"/>
      </w:pPr>
      <w:r>
        <w:br w:type="page"/>
      </w:r>
    </w:p>
    <w:tbl>
      <w:tblPr>
        <w:tblStyle w:val="6"/>
        <w:tblW w:w="653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887"/>
        <w:gridCol w:w="887"/>
        <w:gridCol w:w="887"/>
        <w:gridCol w:w="887"/>
        <w:gridCol w:w="888"/>
        <w:gridCol w:w="88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2268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Dimension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EE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TPB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WTP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ES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EV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EC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EE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 xml:space="preserve">0.751 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TPB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 xml:space="preserve">0.358 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 xml:space="preserve">0.753 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WTP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 xml:space="preserve">0.463 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 xml:space="preserve">0.600 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 xml:space="preserve">0.750 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ES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 xml:space="preserve">0.380 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 xml:space="preserve">0.496 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 xml:space="preserve">0.587 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 xml:space="preserve">0.754 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EV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 xml:space="preserve">0.192 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 xml:space="preserve">0.205 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 xml:space="preserve">0.311 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 xml:space="preserve">0.242 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 xml:space="preserve">0.762 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EC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 xml:space="preserve">0.284 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 xml:space="preserve">0.433 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 xml:space="preserve">0.536 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 xml:space="preserve">0.406 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 xml:space="preserve">0.205 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atLeas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 xml:space="preserve">0.759 </w:t>
            </w:r>
          </w:p>
        </w:tc>
      </w:tr>
    </w:tbl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19" w:lineRule="auto"/>
        <w:textAlignment w:val="auto"/>
        <w:rPr>
          <w:b w:val="0"/>
          <w:bCs/>
          <w:sz w:val="18"/>
          <w:szCs w:val="20"/>
        </w:rPr>
      </w:pPr>
      <w:r>
        <w:rPr>
          <w:b/>
          <w:bCs w:val="0"/>
          <w:sz w:val="18"/>
          <w:szCs w:val="20"/>
        </w:rPr>
        <w:t>Table S3</w:t>
      </w:r>
      <w:r>
        <w:rPr>
          <w:rFonts w:hint="eastAsia"/>
          <w:b/>
          <w:bCs w:val="0"/>
          <w:sz w:val="18"/>
          <w:szCs w:val="20"/>
          <w:lang w:val="en-US" w:eastAsia="zh-CN"/>
        </w:rPr>
        <w:t>.</w:t>
      </w:r>
      <w:r>
        <w:rPr>
          <w:b/>
          <w:bCs w:val="0"/>
          <w:sz w:val="18"/>
          <w:szCs w:val="20"/>
        </w:rPr>
        <w:t xml:space="preserve"> </w:t>
      </w:r>
      <w:r>
        <w:rPr>
          <w:b w:val="0"/>
          <w:bCs/>
          <w:sz w:val="18"/>
          <w:szCs w:val="20"/>
        </w:rPr>
        <w:t>Reliability and validity analysis of variables.Note: Diagonal bold font is the AVE root sign value, and the lower triangle is the dimensional Pearson’s correlation coefficient.</w:t>
      </w:r>
    </w:p>
    <w:p/>
    <w:tbl>
      <w:tblPr>
        <w:tblStyle w:val="6"/>
        <w:tblW w:w="772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946"/>
        <w:gridCol w:w="769"/>
        <w:gridCol w:w="892"/>
        <w:gridCol w:w="739"/>
        <w:gridCol w:w="823"/>
        <w:gridCol w:w="808"/>
        <w:gridCol w:w="846"/>
        <w:gridCol w:w="78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119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Index</w:t>
            </w:r>
          </w:p>
        </w:tc>
        <w:tc>
          <w:tcPr>
            <w:tcW w:w="946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m:oMathPara>
              <m:oMath>
                <m:f>
                  <m:fPr>
                    <m:type m:val="lin"/>
                    <m:ctrlPr>
                      <w:rPr>
                        <w:rFonts w:ascii="Cambria Math" w:hAnsi="Cambria Math"/>
                        <w:bCs/>
                        <w:snapToGrid w:val="0"/>
                        <w:color w:val="auto"/>
                        <w:kern w:val="0"/>
                        <w:sz w:val="18"/>
                        <w:szCs w:val="18"/>
                        <w:lang w:eastAsia="de-DE" w:bidi="en-US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bCs/>
                            <w:snapToGrid w:val="0"/>
                            <w:color w:val="auto"/>
                            <w:kern w:val="0"/>
                            <w:sz w:val="18"/>
                            <w:szCs w:val="18"/>
                            <w:lang w:eastAsia="de-DE" w:bidi="en-US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auto"/>
                            <w:sz w:val="18"/>
                            <w:szCs w:val="18"/>
                          </w:rPr>
                          <m:t>χ</m:t>
                        </m:r>
                        <m:ctrlPr>
                          <w:rPr>
                            <w:rFonts w:ascii="Cambria Math" w:hAnsi="Cambria Math"/>
                            <w:bCs/>
                            <w:snapToGrid w:val="0"/>
                            <w:color w:val="auto"/>
                            <w:kern w:val="0"/>
                            <w:sz w:val="18"/>
                            <w:szCs w:val="18"/>
                            <w:lang w:eastAsia="de-DE" w:bidi="en-US"/>
                          </w:rPr>
                        </m:ctrlPr>
                      </m:e>
                      <m:sup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color w:val="auto"/>
                            <w:sz w:val="18"/>
                            <w:szCs w:val="18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bCs/>
                            <w:snapToGrid w:val="0"/>
                            <w:color w:val="auto"/>
                            <w:kern w:val="0"/>
                            <w:sz w:val="18"/>
                            <w:szCs w:val="18"/>
                            <w:lang w:eastAsia="de-DE" w:bidi="en-US"/>
                          </w:rPr>
                        </m:ctrlPr>
                      </m:sup>
                    </m:sSup>
                    <m:ctrlPr>
                      <w:rPr>
                        <w:rFonts w:ascii="Cambria Math" w:hAnsi="Cambria Math"/>
                        <w:bCs/>
                        <w:snapToGrid w:val="0"/>
                        <w:color w:val="auto"/>
                        <w:kern w:val="0"/>
                        <w:sz w:val="18"/>
                        <w:szCs w:val="18"/>
                        <w:lang w:eastAsia="de-DE" w:bidi="en-US"/>
                      </w:rPr>
                    </m:ctrlP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auto"/>
                        <w:sz w:val="18"/>
                        <w:szCs w:val="18"/>
                      </w:rPr>
                      <m:t>df</m:t>
                    </m:r>
                    <m:ctrlPr>
                      <w:rPr>
                        <w:rFonts w:ascii="Cambria Math" w:hAnsi="Cambria Math"/>
                        <w:bCs/>
                        <w:snapToGrid w:val="0"/>
                        <w:color w:val="auto"/>
                        <w:kern w:val="0"/>
                        <w:sz w:val="18"/>
                        <w:szCs w:val="18"/>
                        <w:lang w:eastAsia="de-DE" w:bidi="en-US"/>
                      </w:rPr>
                    </m:ctrlPr>
                  </m:den>
                </m:f>
              </m:oMath>
            </m:oMathPara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SRMR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RMSEA</w:t>
            </w:r>
          </w:p>
        </w:tc>
        <w:tc>
          <w:tcPr>
            <w:tcW w:w="739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GFI</w:t>
            </w:r>
          </w:p>
        </w:tc>
        <w:tc>
          <w:tcPr>
            <w:tcW w:w="823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ACFI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IFI</w:t>
            </w:r>
          </w:p>
        </w:tc>
        <w:tc>
          <w:tcPr>
            <w:tcW w:w="846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CFI</w:t>
            </w:r>
          </w:p>
        </w:tc>
        <w:tc>
          <w:tcPr>
            <w:tcW w:w="784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TLI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Limitation</w:t>
            </w:r>
          </w:p>
        </w:tc>
        <w:tc>
          <w:tcPr>
            <w:tcW w:w="94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&lt;3.000</w:t>
            </w:r>
          </w:p>
        </w:tc>
        <w:tc>
          <w:tcPr>
            <w:tcW w:w="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&lt;0.080</w:t>
            </w:r>
          </w:p>
        </w:tc>
        <w:tc>
          <w:tcPr>
            <w:tcW w:w="89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&lt;0.080</w:t>
            </w:r>
          </w:p>
        </w:tc>
        <w:tc>
          <w:tcPr>
            <w:tcW w:w="7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&gt;0.900</w:t>
            </w:r>
          </w:p>
        </w:tc>
        <w:tc>
          <w:tcPr>
            <w:tcW w:w="8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&gt;0.900</w:t>
            </w:r>
          </w:p>
        </w:tc>
        <w:tc>
          <w:tcPr>
            <w:tcW w:w="80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&gt;0.900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&gt;0.900</w:t>
            </w:r>
          </w:p>
        </w:tc>
        <w:tc>
          <w:tcPr>
            <w:tcW w:w="7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&gt;0.900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Valve</w:t>
            </w:r>
          </w:p>
        </w:tc>
        <w:tc>
          <w:tcPr>
            <w:tcW w:w="94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2.241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0.025</w:t>
            </w:r>
          </w:p>
        </w:tc>
        <w:tc>
          <w:tcPr>
            <w:tcW w:w="89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0.033</w:t>
            </w:r>
          </w:p>
        </w:tc>
        <w:tc>
          <w:tcPr>
            <w:tcW w:w="7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0.972</w:t>
            </w:r>
          </w:p>
        </w:tc>
        <w:tc>
          <w:tcPr>
            <w:tcW w:w="8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0.962</w:t>
            </w:r>
          </w:p>
        </w:tc>
        <w:tc>
          <w:tcPr>
            <w:tcW w:w="80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0.98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0.979</w:t>
            </w:r>
          </w:p>
        </w:tc>
        <w:tc>
          <w:tcPr>
            <w:tcW w:w="7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0.974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1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Conclusion</w:t>
            </w:r>
          </w:p>
        </w:tc>
        <w:tc>
          <w:tcPr>
            <w:tcW w:w="94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Accept</w:t>
            </w:r>
          </w:p>
        </w:tc>
        <w:tc>
          <w:tcPr>
            <w:tcW w:w="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Accept</w:t>
            </w:r>
          </w:p>
        </w:tc>
        <w:tc>
          <w:tcPr>
            <w:tcW w:w="89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Accept</w:t>
            </w:r>
          </w:p>
        </w:tc>
        <w:tc>
          <w:tcPr>
            <w:tcW w:w="73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Accept</w:t>
            </w:r>
          </w:p>
        </w:tc>
        <w:tc>
          <w:tcPr>
            <w:tcW w:w="8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Accept</w:t>
            </w:r>
          </w:p>
        </w:tc>
        <w:tc>
          <w:tcPr>
            <w:tcW w:w="80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Accept</w:t>
            </w:r>
          </w:p>
        </w:tc>
        <w:tc>
          <w:tcPr>
            <w:tcW w:w="84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Accept</w:t>
            </w:r>
          </w:p>
        </w:tc>
        <w:tc>
          <w:tcPr>
            <w:tcW w:w="7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jc w:val="left"/>
              <w:textAlignment w:val="auto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Accept</w:t>
            </w:r>
          </w:p>
        </w:tc>
      </w:tr>
    </w:tbl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19" w:lineRule="auto"/>
        <w:textAlignment w:val="auto"/>
        <w:rPr>
          <w:b w:val="0"/>
          <w:bCs/>
          <w:sz w:val="18"/>
          <w:szCs w:val="18"/>
        </w:rPr>
      </w:pPr>
      <w:r>
        <w:rPr>
          <w:sz w:val="18"/>
          <w:szCs w:val="18"/>
        </w:rPr>
        <w:t>Table S4</w:t>
      </w:r>
      <w:r>
        <w:rPr>
          <w:rFonts w:hint="eastAsia"/>
          <w:sz w:val="18"/>
          <w:szCs w:val="18"/>
          <w:lang w:val="en-US" w:eastAsia="zh-CN"/>
        </w:rPr>
        <w:t>.</w:t>
      </w:r>
      <w:r>
        <w:rPr>
          <w:sz w:val="18"/>
          <w:szCs w:val="18"/>
        </w:rPr>
        <w:t xml:space="preserve"> </w:t>
      </w:r>
      <w:r>
        <w:rPr>
          <w:b w:val="0"/>
          <w:bCs/>
          <w:sz w:val="18"/>
          <w:szCs w:val="18"/>
        </w:rPr>
        <w:t>Goodness-of-fit index of the structural equation model.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19" w:lineRule="auto"/>
        <w:textAlignment w:val="auto"/>
        <w:rPr>
          <w:sz w:val="18"/>
          <w:szCs w:val="18"/>
        </w:rPr>
      </w:pPr>
    </w:p>
    <w:tbl>
      <w:tblPr>
        <w:tblStyle w:val="13"/>
        <w:tblW w:w="1052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707"/>
        <w:gridCol w:w="561"/>
        <w:gridCol w:w="1077"/>
        <w:gridCol w:w="731"/>
        <w:gridCol w:w="654"/>
        <w:gridCol w:w="877"/>
        <w:gridCol w:w="746"/>
        <w:gridCol w:w="1107"/>
        <w:gridCol w:w="724"/>
        <w:gridCol w:w="600"/>
        <w:gridCol w:w="623"/>
        <w:gridCol w:w="700"/>
        <w:gridCol w:w="7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713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Model</w:t>
            </w:r>
          </w:p>
        </w:tc>
        <w:tc>
          <w:tcPr>
            <w:tcW w:w="707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CMIN</w:t>
            </w:r>
          </w:p>
        </w:tc>
        <w:tc>
          <w:tcPr>
            <w:tcW w:w="561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DF</w:t>
            </w:r>
          </w:p>
        </w:tc>
        <w:tc>
          <w:tcPr>
            <w:tcW w:w="1077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CMIN/DF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TLI</w:t>
            </w:r>
          </w:p>
        </w:tc>
        <w:tc>
          <w:tcPr>
            <w:tcW w:w="654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CFI</w:t>
            </w:r>
          </w:p>
        </w:tc>
        <w:tc>
          <w:tcPr>
            <w:tcW w:w="877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RMSEA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SRMR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Comparison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Δχ</w:t>
            </w:r>
            <w:r>
              <w:rPr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00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ΔDF</w:t>
            </w:r>
          </w:p>
        </w:tc>
        <w:tc>
          <w:tcPr>
            <w:tcW w:w="623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P</w:t>
            </w:r>
          </w:p>
        </w:tc>
        <w:tc>
          <w:tcPr>
            <w:tcW w:w="700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ΔTLI</w:t>
            </w:r>
          </w:p>
        </w:tc>
        <w:tc>
          <w:tcPr>
            <w:tcW w:w="700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ΔCFI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7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M1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597.08</w:t>
            </w:r>
          </w:p>
        </w:tc>
        <w:tc>
          <w:tcPr>
            <w:tcW w:w="5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411</w:t>
            </w:r>
          </w:p>
        </w:tc>
        <w:tc>
          <w:tcPr>
            <w:tcW w:w="10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1.453</w:t>
            </w:r>
          </w:p>
        </w:tc>
        <w:tc>
          <w:tcPr>
            <w:tcW w:w="73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0.971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0.977</w:t>
            </w: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0.020</w:t>
            </w:r>
          </w:p>
        </w:tc>
        <w:tc>
          <w:tcPr>
            <w:tcW w:w="74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0.0447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7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M2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622.12</w:t>
            </w:r>
          </w:p>
        </w:tc>
        <w:tc>
          <w:tcPr>
            <w:tcW w:w="5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437</w:t>
            </w:r>
          </w:p>
        </w:tc>
        <w:tc>
          <w:tcPr>
            <w:tcW w:w="10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1.424</w:t>
            </w:r>
          </w:p>
        </w:tc>
        <w:tc>
          <w:tcPr>
            <w:tcW w:w="73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0.973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0.977</w:t>
            </w: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0.019</w:t>
            </w:r>
          </w:p>
        </w:tc>
        <w:tc>
          <w:tcPr>
            <w:tcW w:w="74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0.0470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M2 vs. M1</w:t>
            </w:r>
          </w:p>
        </w:tc>
        <w:tc>
          <w:tcPr>
            <w:tcW w:w="7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25.04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26</w:t>
            </w:r>
          </w:p>
        </w:tc>
        <w:tc>
          <w:tcPr>
            <w:tcW w:w="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0.517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0.002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7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M3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799.45</w:t>
            </w:r>
          </w:p>
        </w:tc>
        <w:tc>
          <w:tcPr>
            <w:tcW w:w="5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513</w:t>
            </w:r>
          </w:p>
        </w:tc>
        <w:tc>
          <w:tcPr>
            <w:tcW w:w="10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1.558</w:t>
            </w:r>
          </w:p>
        </w:tc>
        <w:tc>
          <w:tcPr>
            <w:tcW w:w="73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0.964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0.964</w:t>
            </w: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0.022</w:t>
            </w:r>
          </w:p>
        </w:tc>
        <w:tc>
          <w:tcPr>
            <w:tcW w:w="74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0.5052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M3 vs. M2</w:t>
            </w:r>
          </w:p>
        </w:tc>
        <w:tc>
          <w:tcPr>
            <w:tcW w:w="7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177.36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76</w:t>
            </w:r>
          </w:p>
        </w:tc>
        <w:tc>
          <w:tcPr>
            <w:tcW w:w="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0.000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−0.009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−0.013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7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M4</w:t>
            </w:r>
          </w:p>
        </w:tc>
        <w:tc>
          <w:tcPr>
            <w:tcW w:w="70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884.93</w:t>
            </w:r>
          </w:p>
        </w:tc>
        <w:tc>
          <w:tcPr>
            <w:tcW w:w="56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555</w:t>
            </w:r>
          </w:p>
        </w:tc>
        <w:tc>
          <w:tcPr>
            <w:tcW w:w="10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1.594</w:t>
            </w:r>
          </w:p>
        </w:tc>
        <w:tc>
          <w:tcPr>
            <w:tcW w:w="73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0.962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0.959</w:t>
            </w: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0.023</w:t>
            </w:r>
          </w:p>
        </w:tc>
        <w:tc>
          <w:tcPr>
            <w:tcW w:w="74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rFonts w:eastAsia="等线"/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0.0524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rFonts w:eastAsia="等线"/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M4 vs. M3</w:t>
            </w:r>
          </w:p>
        </w:tc>
        <w:tc>
          <w:tcPr>
            <w:tcW w:w="7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85.46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42</w:t>
            </w:r>
          </w:p>
        </w:tc>
        <w:tc>
          <w:tcPr>
            <w:tcW w:w="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0.107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−0.002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−0.005</w:t>
            </w:r>
          </w:p>
        </w:tc>
      </w:tr>
    </w:tbl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19" w:lineRule="auto"/>
        <w:textAlignment w:val="auto"/>
        <w:rPr>
          <w:b w:val="0"/>
          <w:bCs/>
          <w:sz w:val="18"/>
          <w:szCs w:val="18"/>
        </w:rPr>
      </w:pPr>
      <w:r>
        <w:rPr>
          <w:sz w:val="18"/>
          <w:szCs w:val="18"/>
        </w:rPr>
        <w:t xml:space="preserve">Table S5 </w:t>
      </w:r>
      <w:r>
        <w:rPr>
          <w:b w:val="0"/>
          <w:bCs/>
          <w:sz w:val="18"/>
          <w:szCs w:val="18"/>
        </w:rPr>
        <w:t>Fitting index of each model of farmer’s measurement equivalence.Note: M1 = morphological equivalent model; M2 = weak equivalent model; M3 = strong equivalent model; and M4 = strict equivalent model.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19" w:lineRule="auto"/>
        <w:textAlignment w:val="auto"/>
        <w:rPr>
          <w:sz w:val="18"/>
          <w:szCs w:val="18"/>
        </w:rPr>
      </w:pPr>
    </w:p>
    <w:tbl>
      <w:tblPr>
        <w:tblStyle w:val="13"/>
        <w:tblW w:w="1142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51"/>
        <w:gridCol w:w="567"/>
        <w:gridCol w:w="1134"/>
        <w:gridCol w:w="676"/>
        <w:gridCol w:w="632"/>
        <w:gridCol w:w="868"/>
        <w:gridCol w:w="786"/>
        <w:gridCol w:w="1300"/>
        <w:gridCol w:w="765"/>
        <w:gridCol w:w="635"/>
        <w:gridCol w:w="698"/>
        <w:gridCol w:w="877"/>
        <w:gridCol w:w="78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850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Model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CMIN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DF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CMIN/DF</w:t>
            </w:r>
          </w:p>
        </w:tc>
        <w:tc>
          <w:tcPr>
            <w:tcW w:w="676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TLI</w:t>
            </w:r>
          </w:p>
        </w:tc>
        <w:tc>
          <w:tcPr>
            <w:tcW w:w="632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CFI</w:t>
            </w:r>
          </w:p>
        </w:tc>
        <w:tc>
          <w:tcPr>
            <w:tcW w:w="868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RMSEA</w:t>
            </w:r>
          </w:p>
        </w:tc>
        <w:tc>
          <w:tcPr>
            <w:tcW w:w="786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SRMR</w:t>
            </w:r>
          </w:p>
        </w:tc>
        <w:tc>
          <w:tcPr>
            <w:tcW w:w="1300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Comparison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Δχ2</w:t>
            </w:r>
          </w:p>
        </w:tc>
        <w:tc>
          <w:tcPr>
            <w:tcW w:w="635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ΔDF</w:t>
            </w:r>
          </w:p>
        </w:tc>
        <w:tc>
          <w:tcPr>
            <w:tcW w:w="698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P</w:t>
            </w:r>
          </w:p>
        </w:tc>
        <w:tc>
          <w:tcPr>
            <w:tcW w:w="877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ΔTLI</w:t>
            </w:r>
          </w:p>
        </w:tc>
        <w:tc>
          <w:tcPr>
            <w:tcW w:w="785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ΔCFI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M1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572.84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411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1.394</w:t>
            </w:r>
          </w:p>
        </w:tc>
        <w:tc>
          <w:tcPr>
            <w:tcW w:w="67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0.974 </w:t>
            </w:r>
          </w:p>
        </w:tc>
        <w:tc>
          <w:tcPr>
            <w:tcW w:w="6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0.980 </w:t>
            </w:r>
          </w:p>
        </w:tc>
        <w:tc>
          <w:tcPr>
            <w:tcW w:w="86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0.019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0.0309 </w:t>
            </w:r>
          </w:p>
        </w:tc>
        <w:tc>
          <w:tcPr>
            <w:tcW w:w="13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9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M2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619.07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437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1.419</w:t>
            </w:r>
          </w:p>
        </w:tc>
        <w:tc>
          <w:tcPr>
            <w:tcW w:w="67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0.973 </w:t>
            </w:r>
          </w:p>
        </w:tc>
        <w:tc>
          <w:tcPr>
            <w:tcW w:w="6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0.977 </w:t>
            </w:r>
          </w:p>
        </w:tc>
        <w:tc>
          <w:tcPr>
            <w:tcW w:w="86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0.019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0.0307 </w:t>
            </w:r>
          </w:p>
        </w:tc>
        <w:tc>
          <w:tcPr>
            <w:tcW w:w="13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M2 vs. M1</w:t>
            </w: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46.23</w:t>
            </w:r>
          </w:p>
        </w:tc>
        <w:tc>
          <w:tcPr>
            <w:tcW w:w="6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26</w:t>
            </w:r>
          </w:p>
        </w:tc>
        <w:tc>
          <w:tcPr>
            <w:tcW w:w="69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0.009 </w:t>
            </w: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−0.001 </w:t>
            </w: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−0.003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M3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835.07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513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1.630</w:t>
            </w:r>
          </w:p>
        </w:tc>
        <w:tc>
          <w:tcPr>
            <w:tcW w:w="67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0.959 </w:t>
            </w:r>
          </w:p>
        </w:tc>
        <w:tc>
          <w:tcPr>
            <w:tcW w:w="6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0.959 </w:t>
            </w:r>
          </w:p>
        </w:tc>
        <w:tc>
          <w:tcPr>
            <w:tcW w:w="86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0.024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0.0440 </w:t>
            </w:r>
          </w:p>
        </w:tc>
        <w:tc>
          <w:tcPr>
            <w:tcW w:w="13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M3 vs. M2</w:t>
            </w: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215.99</w:t>
            </w:r>
          </w:p>
        </w:tc>
        <w:tc>
          <w:tcPr>
            <w:tcW w:w="6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76</w:t>
            </w:r>
          </w:p>
        </w:tc>
        <w:tc>
          <w:tcPr>
            <w:tcW w:w="69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0.000 </w:t>
            </w: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−0.014 </w:t>
            </w: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−0.018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M4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952.08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555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1.714</w:t>
            </w:r>
          </w:p>
        </w:tc>
        <w:tc>
          <w:tcPr>
            <w:tcW w:w="67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0.954 </w:t>
            </w:r>
          </w:p>
        </w:tc>
        <w:tc>
          <w:tcPr>
            <w:tcW w:w="6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0.950 </w:t>
            </w:r>
          </w:p>
        </w:tc>
        <w:tc>
          <w:tcPr>
            <w:tcW w:w="86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0.025</w:t>
            </w:r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rFonts w:eastAsia="等线"/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0.0392 </w:t>
            </w:r>
          </w:p>
        </w:tc>
        <w:tc>
          <w:tcPr>
            <w:tcW w:w="13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rFonts w:eastAsia="等线"/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M4 vs. M3</w:t>
            </w: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117.02</w:t>
            </w:r>
          </w:p>
        </w:tc>
        <w:tc>
          <w:tcPr>
            <w:tcW w:w="63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42</w:t>
            </w:r>
          </w:p>
        </w:tc>
        <w:tc>
          <w:tcPr>
            <w:tcW w:w="69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0.000 </w:t>
            </w: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−0.005 </w:t>
            </w: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−0.009 </w:t>
            </w:r>
          </w:p>
        </w:tc>
      </w:tr>
    </w:tbl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19" w:lineRule="auto"/>
        <w:textAlignment w:val="auto"/>
        <w:rPr>
          <w:sz w:val="18"/>
          <w:szCs w:val="18"/>
        </w:rPr>
      </w:pPr>
      <w:r>
        <w:rPr>
          <w:sz w:val="18"/>
          <w:szCs w:val="18"/>
        </w:rPr>
        <w:t>Table S6</w:t>
      </w:r>
      <w:r>
        <w:rPr>
          <w:rFonts w:hint="eastAsia"/>
          <w:sz w:val="18"/>
          <w:szCs w:val="18"/>
          <w:lang w:val="en-US" w:eastAsia="zh-CN"/>
        </w:rPr>
        <w:t>.</w:t>
      </w:r>
      <w:r>
        <w:rPr>
          <w:sz w:val="18"/>
          <w:szCs w:val="18"/>
        </w:rPr>
        <w:t xml:space="preserve"> </w:t>
      </w:r>
      <w:r>
        <w:rPr>
          <w:b w:val="0"/>
          <w:bCs/>
          <w:sz w:val="18"/>
          <w:szCs w:val="18"/>
        </w:rPr>
        <w:t>Fitting index of each model of farmer’s measurement equivalence.Note: * denote significance at the 10%.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19" w:lineRule="auto"/>
        <w:textAlignment w:val="auto"/>
        <w:rPr>
          <w:rFonts w:hint="eastAsia"/>
          <w:sz w:val="18"/>
          <w:szCs w:val="18"/>
        </w:rPr>
      </w:pPr>
    </w:p>
    <w:tbl>
      <w:tblPr>
        <w:tblStyle w:val="13"/>
        <w:tblW w:w="1187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973"/>
        <w:gridCol w:w="553"/>
        <w:gridCol w:w="1106"/>
        <w:gridCol w:w="690"/>
        <w:gridCol w:w="709"/>
        <w:gridCol w:w="968"/>
        <w:gridCol w:w="829"/>
        <w:gridCol w:w="1278"/>
        <w:gridCol w:w="834"/>
        <w:gridCol w:w="690"/>
        <w:gridCol w:w="691"/>
        <w:gridCol w:w="896"/>
        <w:gridCol w:w="82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829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Model</w:t>
            </w: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CMIN</w:t>
            </w:r>
          </w:p>
        </w:tc>
        <w:tc>
          <w:tcPr>
            <w:tcW w:w="553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DF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CMIN/DF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TLI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CFI</w:t>
            </w:r>
          </w:p>
        </w:tc>
        <w:tc>
          <w:tcPr>
            <w:tcW w:w="968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RMSEA</w:t>
            </w:r>
          </w:p>
        </w:tc>
        <w:tc>
          <w:tcPr>
            <w:tcW w:w="829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SRMR</w:t>
            </w:r>
          </w:p>
        </w:tc>
        <w:tc>
          <w:tcPr>
            <w:tcW w:w="1278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Comparison</w:t>
            </w:r>
          </w:p>
        </w:tc>
        <w:tc>
          <w:tcPr>
            <w:tcW w:w="834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18"/>
                    <w:szCs w:val="18"/>
                  </w:rPr>
                  <m:t>Δ</m:t>
                </m:r>
                <m:sSup>
                  <m:sSupPr>
                    <m:ctrlPr>
                      <w:rPr>
                        <w:rFonts w:ascii="Cambria Math" w:hAnsi="Cambria Math"/>
                        <w:bCs/>
                        <w:i/>
                        <w:sz w:val="18"/>
                        <w:szCs w:val="1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χ</m:t>
                    </m:r>
                    <m:ctrlPr>
                      <w:rPr>
                        <w:rFonts w:ascii="Cambria Math" w:hAnsi="Cambria Math"/>
                        <w:bCs/>
                        <w:i/>
                        <w:sz w:val="18"/>
                        <w:szCs w:val="18"/>
                      </w:rPr>
                    </m:ctrlP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8"/>
                        <w:szCs w:val="18"/>
                      </w:rPr>
                      <m:t>2</m:t>
                    </m:r>
                    <m:ctrlPr>
                      <w:rPr>
                        <w:rFonts w:ascii="Cambria Math" w:hAnsi="Cambria Math"/>
                        <w:bCs/>
                        <w:i/>
                        <w:sz w:val="18"/>
                        <w:szCs w:val="18"/>
                      </w:rPr>
                    </m:ctrlPr>
                  </m:sup>
                </m:sSup>
              </m:oMath>
            </m:oMathPara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ΔDF</w:t>
            </w:r>
          </w:p>
        </w:tc>
        <w:tc>
          <w:tcPr>
            <w:tcW w:w="691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P</w:t>
            </w:r>
          </w:p>
        </w:tc>
        <w:tc>
          <w:tcPr>
            <w:tcW w:w="896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ΔTLI</w:t>
            </w:r>
          </w:p>
        </w:tc>
        <w:tc>
          <w:tcPr>
            <w:tcW w:w="829" w:type="dxa"/>
            <w:tcBorders>
              <w:tl2br w:val="nil"/>
              <w:tr2bl w:val="nil"/>
            </w:tcBorders>
            <w:shd w:val="clear" w:color="auto" w:fill="A4A4A4" w:themeFill="background1" w:themeFillShade="A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ΔCFI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M1</w:t>
            </w:r>
          </w:p>
        </w:tc>
        <w:tc>
          <w:tcPr>
            <w:tcW w:w="9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942.77</w:t>
            </w:r>
          </w:p>
        </w:tc>
        <w:tc>
          <w:tcPr>
            <w:tcW w:w="5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685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1.376</w:t>
            </w:r>
          </w:p>
        </w:tc>
        <w:tc>
          <w:tcPr>
            <w:tcW w:w="69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0.953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0.962</w:t>
            </w:r>
          </w:p>
        </w:tc>
        <w:tc>
          <w:tcPr>
            <w:tcW w:w="96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0.018</w:t>
            </w:r>
          </w:p>
        </w:tc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0.0328 </w:t>
            </w: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9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M2</w:t>
            </w:r>
          </w:p>
        </w:tc>
        <w:tc>
          <w:tcPr>
            <w:tcW w:w="9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1016.61</w:t>
            </w:r>
          </w:p>
        </w:tc>
        <w:tc>
          <w:tcPr>
            <w:tcW w:w="5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737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1.379</w:t>
            </w:r>
          </w:p>
        </w:tc>
        <w:tc>
          <w:tcPr>
            <w:tcW w:w="69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0.953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0.959</w:t>
            </w:r>
          </w:p>
        </w:tc>
        <w:tc>
          <w:tcPr>
            <w:tcW w:w="96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0.018</w:t>
            </w:r>
          </w:p>
        </w:tc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0.0329 </w:t>
            </w: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M2 vs. M1</w:t>
            </w:r>
          </w:p>
        </w:tc>
        <w:tc>
          <w:tcPr>
            <w:tcW w:w="8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73.84</w:t>
            </w:r>
          </w:p>
        </w:tc>
        <w:tc>
          <w:tcPr>
            <w:tcW w:w="69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52</w:t>
            </w:r>
          </w:p>
        </w:tc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0.025 </w:t>
            </w:r>
          </w:p>
        </w:tc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0.000 </w:t>
            </w:r>
          </w:p>
        </w:tc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−0.003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M3</w:t>
            </w:r>
          </w:p>
        </w:tc>
        <w:tc>
          <w:tcPr>
            <w:tcW w:w="9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1273.98</w:t>
            </w:r>
          </w:p>
        </w:tc>
        <w:tc>
          <w:tcPr>
            <w:tcW w:w="5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813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1.567</w:t>
            </w:r>
          </w:p>
        </w:tc>
        <w:tc>
          <w:tcPr>
            <w:tcW w:w="69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0.929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0.933</w:t>
            </w:r>
          </w:p>
        </w:tc>
        <w:tc>
          <w:tcPr>
            <w:tcW w:w="96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0.023</w:t>
            </w:r>
          </w:p>
        </w:tc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0.0768 </w:t>
            </w: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M3 vs. M2</w:t>
            </w:r>
          </w:p>
        </w:tc>
        <w:tc>
          <w:tcPr>
            <w:tcW w:w="8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257.38</w:t>
            </w:r>
          </w:p>
        </w:tc>
        <w:tc>
          <w:tcPr>
            <w:tcW w:w="69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76</w:t>
            </w:r>
          </w:p>
        </w:tc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0.000 </w:t>
            </w:r>
          </w:p>
        </w:tc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−0.024 </w:t>
            </w:r>
          </w:p>
        </w:tc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−0.026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M4</w:t>
            </w:r>
          </w:p>
        </w:tc>
        <w:tc>
          <w:tcPr>
            <w:tcW w:w="9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1571.31</w:t>
            </w:r>
          </w:p>
        </w:tc>
        <w:tc>
          <w:tcPr>
            <w:tcW w:w="55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897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1.752</w:t>
            </w:r>
          </w:p>
        </w:tc>
        <w:tc>
          <w:tcPr>
            <w:tcW w:w="69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0.906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0.901</w:t>
            </w:r>
          </w:p>
        </w:tc>
        <w:tc>
          <w:tcPr>
            <w:tcW w:w="96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0.026</w:t>
            </w:r>
          </w:p>
        </w:tc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rFonts w:eastAsia="等线"/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0.0753 </w:t>
            </w: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rFonts w:eastAsia="等线"/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M4 vs. M3</w:t>
            </w:r>
          </w:p>
        </w:tc>
        <w:tc>
          <w:tcPr>
            <w:tcW w:w="8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297.33</w:t>
            </w:r>
          </w:p>
        </w:tc>
        <w:tc>
          <w:tcPr>
            <w:tcW w:w="69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84</w:t>
            </w:r>
          </w:p>
        </w:tc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0.000 </w:t>
            </w:r>
          </w:p>
        </w:tc>
        <w:tc>
          <w:tcPr>
            <w:tcW w:w="8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−0.023 </w:t>
            </w:r>
          </w:p>
        </w:tc>
        <w:tc>
          <w:tcPr>
            <w:tcW w:w="8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19" w:lineRule="auto"/>
              <w:textAlignment w:val="auto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−0.032 </w:t>
            </w:r>
          </w:p>
        </w:tc>
      </w:tr>
    </w:tbl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156" w:beforeLines="50" w:line="219" w:lineRule="auto"/>
        <w:textAlignment w:val="auto"/>
        <w:rPr>
          <w:b w:val="0"/>
          <w:sz w:val="18"/>
          <w:szCs w:val="18"/>
        </w:rPr>
      </w:pPr>
      <w:r>
        <w:rPr>
          <w:sz w:val="18"/>
          <w:szCs w:val="18"/>
        </w:rPr>
        <w:t>Table S7</w:t>
      </w:r>
      <w:r>
        <w:rPr>
          <w:rFonts w:hint="eastAsia"/>
          <w:sz w:val="18"/>
          <w:szCs w:val="18"/>
          <w:lang w:val="en-US" w:eastAsia="zh-CN"/>
        </w:rPr>
        <w:t>.</w:t>
      </w:r>
      <w:r>
        <w:rPr>
          <w:sz w:val="18"/>
          <w:szCs w:val="18"/>
        </w:rPr>
        <w:t xml:space="preserve"> </w:t>
      </w:r>
      <w:r>
        <w:rPr>
          <w:b w:val="0"/>
          <w:bCs/>
          <w:sz w:val="18"/>
          <w:szCs w:val="18"/>
        </w:rPr>
        <w:t>Fitting index of each model of farmer’s measurement equivalence.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19" w:lineRule="auto"/>
        <w:textAlignment w:val="auto"/>
        <w:rPr>
          <w:sz w:val="18"/>
          <w:szCs w:val="18"/>
        </w:rPr>
      </w:pPr>
    </w:p>
    <w:sectPr>
      <w:footerReference r:id="rId3" w:type="default"/>
      <w:pgSz w:w="11906" w:h="16838"/>
      <w:pgMar w:top="1196" w:right="1106" w:bottom="0" w:left="11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2845519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mNmQyYzk1NDYyY2ViZTVhMWJlZmExNGE1Yjc3MTQifQ=="/>
  </w:docVars>
  <w:rsids>
    <w:rsidRoot w:val="00530C9D"/>
    <w:rsid w:val="00185C23"/>
    <w:rsid w:val="001C372E"/>
    <w:rsid w:val="001C3FF5"/>
    <w:rsid w:val="004744F9"/>
    <w:rsid w:val="00530C9D"/>
    <w:rsid w:val="00634F98"/>
    <w:rsid w:val="006352E4"/>
    <w:rsid w:val="00875E5A"/>
    <w:rsid w:val="00897120"/>
    <w:rsid w:val="009A7E2D"/>
    <w:rsid w:val="00AC3638"/>
    <w:rsid w:val="00CF0B82"/>
    <w:rsid w:val="00D414B4"/>
    <w:rsid w:val="00DD5A9C"/>
    <w:rsid w:val="00E46E98"/>
    <w:rsid w:val="00ED4DBE"/>
    <w:rsid w:val="00F74212"/>
    <w:rsid w:val="00FF5EF4"/>
    <w:rsid w:val="0D89706E"/>
    <w:rsid w:val="37856580"/>
    <w:rsid w:val="39DE06FA"/>
    <w:rsid w:val="3E3C54F5"/>
    <w:rsid w:val="571A603F"/>
    <w:rsid w:val="7B3F1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rPr>
      <w:sz w:val="24"/>
    </w:rPr>
  </w:style>
  <w:style w:type="table" w:styleId="6">
    <w:name w:val="Table Grid"/>
    <w:basedOn w:val="5"/>
    <w:autoRedefine/>
    <w:qFormat/>
    <w:uiPriority w:val="99"/>
    <w:pPr>
      <w:spacing w:line="260" w:lineRule="atLeast"/>
      <w:jc w:val="both"/>
    </w:pPr>
    <w:rPr>
      <w:rFonts w:ascii="Palatino Linotype" w:hAnsi="Palatino Linotype" w:cs="Times New Roman"/>
      <w:color w:val="00000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15"/>
    <w:autoRedefine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paragraph" w:customStyle="1" w:styleId="9">
    <w:name w:val="MDPI_5.1_figure_caption"/>
    <w:autoRedefine/>
    <w:qFormat/>
    <w:uiPriority w:val="0"/>
    <w:pPr>
      <w:adjustRightInd w:val="0"/>
      <w:snapToGrid w:val="0"/>
      <w:spacing w:line="480" w:lineRule="auto"/>
    </w:pPr>
    <w:rPr>
      <w:rFonts w:ascii="Times New Roman" w:hAnsi="Times New Roman" w:eastAsia="宋体" w:cs="Times New Roman"/>
      <w:b/>
      <w:sz w:val="22"/>
      <w:szCs w:val="24"/>
      <w:lang w:val="en-US" w:eastAsia="de-DE" w:bidi="en-US"/>
    </w:rPr>
  </w:style>
  <w:style w:type="paragraph" w:customStyle="1" w:styleId="10">
    <w:name w:val="MDPI_4.3_table_footer"/>
    <w:basedOn w:val="1"/>
    <w:next w:val="1"/>
    <w:autoRedefine/>
    <w:qFormat/>
    <w:uiPriority w:val="0"/>
    <w:pPr>
      <w:widowControl/>
      <w:adjustRightInd w:val="0"/>
      <w:snapToGrid w:val="0"/>
      <w:spacing w:line="480" w:lineRule="auto"/>
    </w:pPr>
    <w:rPr>
      <w:rFonts w:eastAsia="Times New Roman"/>
      <w:kern w:val="0"/>
      <w:sz w:val="20"/>
      <w:szCs w:val="24"/>
    </w:rPr>
  </w:style>
  <w:style w:type="character" w:customStyle="1" w:styleId="11">
    <w:name w:val="页眉 字符"/>
    <w:basedOn w:val="7"/>
    <w:link w:val="3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2"/>
    <w:autoRedefine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table" w:customStyle="1" w:styleId="13">
    <w:name w:val="网格型1"/>
    <w:basedOn w:val="5"/>
    <w:autoRedefine/>
    <w:qFormat/>
    <w:uiPriority w:val="0"/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645</Words>
  <Characters>3678</Characters>
  <Lines>30</Lines>
  <Paragraphs>8</Paragraphs>
  <TotalTime>7</TotalTime>
  <ScaleCrop>false</ScaleCrop>
  <LinksUpToDate>false</LinksUpToDate>
  <CharactersWithSpaces>4315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2024-02-27T16:55:00Z</dcterms:created>
  <dc:creator>LSY</dc:creator>
  <cp:lastModifiedBy>S。</cp:lastModifiedBy>
  <dcterms:modified xsi:type="dcterms:W3CDTF">2024-03-13T09:29:32Z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D7AEDFE5315C4D378E3864A959F1D43C_12</vt:lpwstr>
  </property>
</Properties>
</file>