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DC5" w:rsidRPr="00E510D9" w:rsidRDefault="00114DC5" w:rsidP="00114DC5">
      <w:pPr>
        <w:spacing w:after="0" w:line="480" w:lineRule="auto"/>
        <w:jc w:val="both"/>
        <w:outlineLvl w:val="0"/>
        <w:rPr>
          <w:rFonts w:ascii="Arial" w:hAnsi="Arial" w:cs="Arial"/>
          <w:b/>
          <w:sz w:val="36"/>
          <w:szCs w:val="36"/>
        </w:rPr>
      </w:pPr>
      <w:r w:rsidRPr="00E510D9">
        <w:rPr>
          <w:rFonts w:ascii="Arial" w:hAnsi="Arial" w:cs="Arial"/>
          <w:b/>
          <w:sz w:val="36"/>
          <w:szCs w:val="36"/>
        </w:rPr>
        <w:t>Supporting information</w:t>
      </w:r>
    </w:p>
    <w:p w:rsidR="00114DC5" w:rsidRPr="00E510D9" w:rsidRDefault="00114DC5" w:rsidP="00114DC5">
      <w:pPr>
        <w:spacing w:after="0" w:line="480" w:lineRule="auto"/>
        <w:rPr>
          <w:rFonts w:ascii="Arial" w:hAnsi="Arial" w:cs="Arial"/>
          <w:b/>
          <w:bCs/>
          <w:sz w:val="22"/>
          <w:szCs w:val="22"/>
          <w:lang w:eastAsia="en-AU"/>
        </w:rPr>
      </w:pPr>
      <w:r w:rsidRPr="00E510D9">
        <w:rPr>
          <w:rFonts w:ascii="Arial" w:hAnsi="Arial" w:cs="Arial"/>
          <w:b/>
          <w:bCs/>
          <w:sz w:val="22"/>
          <w:szCs w:val="22"/>
        </w:rPr>
        <w:t>S1 Table. Clinical coding grouping.</w:t>
      </w:r>
    </w:p>
    <w:p w:rsidR="00114DC5" w:rsidRPr="00E510D9" w:rsidRDefault="00114DC5" w:rsidP="00114DC5">
      <w:pPr>
        <w:spacing w:after="0" w:line="480" w:lineRule="auto"/>
        <w:rPr>
          <w:rFonts w:ascii="Arial" w:hAnsi="Arial" w:cs="Arial"/>
          <w:b/>
          <w:bCs/>
          <w:sz w:val="22"/>
          <w:szCs w:val="22"/>
          <w:lang w:eastAsia="en-AU"/>
        </w:rPr>
      </w:pPr>
      <w:r w:rsidRPr="00E510D9">
        <w:rPr>
          <w:rFonts w:ascii="Arial" w:hAnsi="Arial" w:cs="Arial"/>
          <w:b/>
          <w:bCs/>
          <w:sz w:val="22"/>
          <w:szCs w:val="22"/>
        </w:rPr>
        <w:t xml:space="preserve">S2 Table. Registers that provided national hospital discharge statistics to the present </w:t>
      </w:r>
      <w:bookmarkStart w:id="0" w:name="_GoBack"/>
      <w:bookmarkEnd w:id="0"/>
      <w:r w:rsidRPr="00E510D9">
        <w:rPr>
          <w:rFonts w:ascii="Arial" w:hAnsi="Arial" w:cs="Arial"/>
          <w:b/>
          <w:bCs/>
          <w:sz w:val="22"/>
          <w:szCs w:val="22"/>
        </w:rPr>
        <w:t>study.</w:t>
      </w:r>
      <w:r w:rsidRPr="00E510D9">
        <w:rPr>
          <w:rFonts w:ascii="Arial" w:hAnsi="Arial" w:cs="Arial"/>
          <w:b/>
          <w:bCs/>
          <w:sz w:val="22"/>
          <w:szCs w:val="22"/>
          <w:lang w:eastAsia="en-AU"/>
        </w:rPr>
        <w:t xml:space="preserve">  </w:t>
      </w:r>
    </w:p>
    <w:p w:rsidR="00114DC5" w:rsidRPr="00E510D9" w:rsidRDefault="00114DC5" w:rsidP="00114DC5">
      <w:pPr>
        <w:spacing w:after="0" w:line="480" w:lineRule="auto"/>
        <w:rPr>
          <w:rFonts w:ascii="Arial" w:hAnsi="Arial" w:cs="Arial"/>
          <w:b/>
          <w:bCs/>
          <w:sz w:val="22"/>
          <w:szCs w:val="22"/>
        </w:rPr>
      </w:pPr>
      <w:r w:rsidRPr="00E510D9">
        <w:rPr>
          <w:rFonts w:ascii="Arial" w:hAnsi="Arial" w:cs="Arial"/>
          <w:b/>
          <w:bCs/>
          <w:sz w:val="22"/>
          <w:szCs w:val="22"/>
        </w:rPr>
        <w:t xml:space="preserve">S3 Table. Non-included countries in Europe: data provider contacted and reason for exclusion. </w:t>
      </w:r>
    </w:p>
    <w:p w:rsidR="00114DC5" w:rsidRDefault="00114DC5" w:rsidP="00114DC5">
      <w:pPr>
        <w:spacing w:after="0" w:line="480" w:lineRule="auto"/>
        <w:rPr>
          <w:rFonts w:ascii="Arial" w:hAnsi="Arial" w:cs="Arial"/>
          <w:b/>
          <w:bCs/>
          <w:sz w:val="22"/>
          <w:szCs w:val="22"/>
        </w:rPr>
      </w:pPr>
      <w:r w:rsidRPr="00E510D9">
        <w:rPr>
          <w:rFonts w:ascii="Arial" w:hAnsi="Arial" w:cs="Arial"/>
          <w:b/>
          <w:bCs/>
          <w:sz w:val="22"/>
          <w:szCs w:val="22"/>
        </w:rPr>
        <w:t>S4 Table. Mean annual number and mean annual rate of hospital discharges for all-cause acute gastroenteritis as first-listed diagnosis in participating European countries between 2004 and 2015.</w:t>
      </w:r>
    </w:p>
    <w:p w:rsidR="00114DC5" w:rsidRPr="007E49DB" w:rsidRDefault="00114DC5" w:rsidP="00114DC5">
      <w:pPr>
        <w:spacing w:after="0" w:line="480" w:lineRule="auto"/>
        <w:rPr>
          <w:rFonts w:ascii="Arial" w:hAnsi="Arial" w:cs="Arial"/>
          <w:b/>
          <w:bCs/>
          <w:sz w:val="22"/>
          <w:szCs w:val="22"/>
        </w:rPr>
      </w:pPr>
      <w:r w:rsidRPr="007E49DB">
        <w:rPr>
          <w:rFonts w:ascii="Arial" w:hAnsi="Arial" w:cs="Arial"/>
          <w:b/>
          <w:bCs/>
          <w:sz w:val="22"/>
          <w:szCs w:val="22"/>
        </w:rPr>
        <w:t>S5 Table. List of Data Providers / Requirements</w:t>
      </w:r>
    </w:p>
    <w:p w:rsidR="000A7426" w:rsidRPr="00114DC5" w:rsidRDefault="000A7426" w:rsidP="00114DC5">
      <w:pPr>
        <w:spacing w:after="0"/>
        <w:rPr>
          <w:rFonts w:ascii="Arial" w:hAnsi="Arial" w:cs="Arial"/>
          <w:b/>
          <w:sz w:val="22"/>
          <w:szCs w:val="22"/>
        </w:rPr>
      </w:pPr>
    </w:p>
    <w:sectPr w:rsidR="000A7426" w:rsidRPr="00114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DC5"/>
    <w:rsid w:val="000A7426"/>
    <w:rsid w:val="00114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FB0E5"/>
  <w15:chartTrackingRefBased/>
  <w15:docId w15:val="{44F301B9-3F56-48FE-B34B-7F47471B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4DC5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Springer Nature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2020-07-10T07:13:00Z</dcterms:created>
  <dcterms:modified xsi:type="dcterms:W3CDTF">2020-07-10T07:13:00Z</dcterms:modified>
</cp:coreProperties>
</file>