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A50C1A" w14:textId="1EB468CA" w:rsidR="003404AF" w:rsidRDefault="003404AF" w:rsidP="00E03888">
      <w:pPr>
        <w:spacing w:after="0" w:line="480" w:lineRule="auto"/>
        <w:jc w:val="both"/>
        <w:rPr>
          <w:rFonts w:ascii="Times New Roman" w:hAnsi="Times New Roman" w:cs="Times New Roman"/>
          <w:b/>
          <w:sz w:val="24"/>
          <w:szCs w:val="24"/>
        </w:rPr>
      </w:pPr>
      <w:bookmarkStart w:id="0" w:name="_GoBack"/>
      <w:r w:rsidRPr="003404AF">
        <w:rPr>
          <w:rFonts w:ascii="Times New Roman" w:hAnsi="Times New Roman" w:cs="Times New Roman"/>
          <w:b/>
          <w:sz w:val="24"/>
          <w:szCs w:val="24"/>
        </w:rPr>
        <w:t xml:space="preserve">Supplementary material </w:t>
      </w:r>
      <w:r>
        <w:rPr>
          <w:rFonts w:ascii="Times New Roman" w:hAnsi="Times New Roman" w:cs="Times New Roman"/>
          <w:b/>
          <w:sz w:val="24"/>
          <w:szCs w:val="24"/>
        </w:rPr>
        <w:t>1</w:t>
      </w:r>
    </w:p>
    <w:p w14:paraId="24911F06" w14:textId="6470B38D" w:rsidR="003404AF" w:rsidRPr="00CC2E51" w:rsidRDefault="003404AF" w:rsidP="00E03888">
      <w:pPr>
        <w:spacing w:after="0" w:line="480" w:lineRule="auto"/>
        <w:jc w:val="both"/>
        <w:rPr>
          <w:rFonts w:ascii="Times New Roman" w:hAnsi="Times New Roman" w:cs="Times New Roman"/>
          <w:b/>
          <w:sz w:val="24"/>
          <w:szCs w:val="24"/>
        </w:rPr>
      </w:pPr>
      <w:r w:rsidRPr="00CC2E51">
        <w:rPr>
          <w:rFonts w:ascii="Times New Roman" w:hAnsi="Times New Roman" w:cs="Times New Roman"/>
          <w:b/>
          <w:sz w:val="24"/>
          <w:szCs w:val="24"/>
        </w:rPr>
        <w:t>Materials and methods</w:t>
      </w:r>
    </w:p>
    <w:p w14:paraId="25B2ADFA" w14:textId="77777777" w:rsidR="003404AF" w:rsidRDefault="003404AF" w:rsidP="00E03888">
      <w:pPr>
        <w:spacing w:after="0" w:line="480" w:lineRule="auto"/>
        <w:jc w:val="both"/>
        <w:rPr>
          <w:rFonts w:ascii="Times New Roman" w:hAnsi="Times New Roman" w:cs="Times New Roman"/>
          <w:b/>
          <w:sz w:val="24"/>
          <w:szCs w:val="24"/>
        </w:rPr>
      </w:pPr>
      <w:r w:rsidRPr="00CC2E51">
        <w:rPr>
          <w:rFonts w:ascii="Times New Roman" w:hAnsi="Times New Roman" w:cs="Times New Roman"/>
          <w:b/>
          <w:sz w:val="24"/>
          <w:szCs w:val="24"/>
        </w:rPr>
        <w:t>Preparation and characterization of extracts</w:t>
      </w:r>
    </w:p>
    <w:p w14:paraId="52C91906" w14:textId="77777777" w:rsidR="003404AF" w:rsidRPr="00CC2E51" w:rsidRDefault="003404AF" w:rsidP="00E03888">
      <w:pPr>
        <w:spacing w:after="0" w:line="480" w:lineRule="auto"/>
        <w:jc w:val="both"/>
        <w:rPr>
          <w:rFonts w:ascii="Times New Roman" w:hAnsi="Times New Roman" w:cs="Times New Roman"/>
          <w:bCs/>
          <w:sz w:val="24"/>
          <w:szCs w:val="24"/>
        </w:rPr>
      </w:pPr>
      <w:r w:rsidRPr="00CC2E51">
        <w:rPr>
          <w:rFonts w:ascii="Times New Roman" w:hAnsi="Times New Roman" w:cs="Times New Roman"/>
          <w:bCs/>
          <w:sz w:val="24"/>
          <w:szCs w:val="24"/>
        </w:rPr>
        <w:t xml:space="preserve">Samples of broccoli, kale, and cauliflower were purchased commercially in the city of Pelotas, RS. For the preparation of the extracts, the samples obtained were lyophilized (K108, </w:t>
      </w:r>
      <w:proofErr w:type="spellStart"/>
      <w:r w:rsidRPr="00CC2E51">
        <w:rPr>
          <w:rFonts w:ascii="Times New Roman" w:hAnsi="Times New Roman" w:cs="Times New Roman"/>
          <w:bCs/>
          <w:sz w:val="24"/>
          <w:szCs w:val="24"/>
        </w:rPr>
        <w:t>Liotop</w:t>
      </w:r>
      <w:proofErr w:type="spellEnd"/>
      <w:r w:rsidRPr="00CC2E51">
        <w:rPr>
          <w:rFonts w:ascii="Times New Roman" w:hAnsi="Times New Roman" w:cs="Times New Roman"/>
          <w:bCs/>
          <w:sz w:val="24"/>
          <w:szCs w:val="24"/>
        </w:rPr>
        <w:t xml:space="preserve">, Brazil) for 48 hours and were ground in a ball mill (MA305, Marconi, Brazil). Five grams of each ground powder (broccoli, kale, and cauliflower) were weighed in 50 ml falcon centrifuge tubes and homogenized with 25 ml of ethanol: water (70:30, </w:t>
      </w:r>
      <w:proofErr w:type="spellStart"/>
      <w:proofErr w:type="gramStart"/>
      <w:r w:rsidRPr="00CC2E51">
        <w:rPr>
          <w:rFonts w:ascii="Times New Roman" w:hAnsi="Times New Roman" w:cs="Times New Roman"/>
          <w:bCs/>
          <w:sz w:val="24"/>
          <w:szCs w:val="24"/>
        </w:rPr>
        <w:t>v:v</w:t>
      </w:r>
      <w:proofErr w:type="spellEnd"/>
      <w:proofErr w:type="gramEnd"/>
      <w:r w:rsidRPr="00CC2E51">
        <w:rPr>
          <w:rFonts w:ascii="Times New Roman" w:hAnsi="Times New Roman" w:cs="Times New Roman"/>
          <w:bCs/>
          <w:sz w:val="24"/>
          <w:szCs w:val="24"/>
        </w:rPr>
        <w:t>), after it were submitted a heating bath at 75 °C for 5 min for enzymatic inactivation. Then, the tubes were sonicated in ultrasound (</w:t>
      </w:r>
      <w:proofErr w:type="spellStart"/>
      <w:r w:rsidRPr="00CC2E51">
        <w:rPr>
          <w:rFonts w:ascii="Times New Roman" w:hAnsi="Times New Roman" w:cs="Times New Roman"/>
          <w:bCs/>
          <w:sz w:val="24"/>
          <w:szCs w:val="24"/>
        </w:rPr>
        <w:t>Quimis</w:t>
      </w:r>
      <w:proofErr w:type="spellEnd"/>
      <w:r w:rsidRPr="00CC2E51">
        <w:rPr>
          <w:rFonts w:ascii="Times New Roman" w:hAnsi="Times New Roman" w:cs="Times New Roman"/>
          <w:bCs/>
          <w:sz w:val="24"/>
          <w:szCs w:val="24"/>
        </w:rPr>
        <w:t>, Brazil) for 15 min and centrifuged (Centrifuge 5430R, Eppendorf, Germany) at 4500 rpm for 15 min. The supernatant was removed and extracts with concentrations of 200mg/mL were obtained.</w:t>
      </w:r>
    </w:p>
    <w:p w14:paraId="07D1E6C8" w14:textId="77777777" w:rsidR="003404AF" w:rsidRPr="00CC2E51" w:rsidRDefault="003404AF" w:rsidP="00E03888">
      <w:pPr>
        <w:spacing w:after="0" w:line="480" w:lineRule="auto"/>
        <w:jc w:val="both"/>
        <w:rPr>
          <w:rFonts w:ascii="Times New Roman" w:hAnsi="Times New Roman" w:cs="Times New Roman"/>
          <w:bCs/>
          <w:sz w:val="24"/>
          <w:szCs w:val="24"/>
        </w:rPr>
      </w:pPr>
      <w:r w:rsidRPr="00CC2E51">
        <w:rPr>
          <w:rFonts w:ascii="Times New Roman" w:hAnsi="Times New Roman" w:cs="Times New Roman"/>
          <w:bCs/>
          <w:sz w:val="24"/>
          <w:szCs w:val="24"/>
        </w:rPr>
        <w:t xml:space="preserve">The samples evaluated by liquid chromatography (Shimadzu™, Kyoto, Japan) coupled with high-resolution quadrupole-time-of-flight mass spectrometry (Impact HD, Bruker </w:t>
      </w:r>
      <w:proofErr w:type="spellStart"/>
      <w:r w:rsidRPr="00CC2E51">
        <w:rPr>
          <w:rFonts w:ascii="Times New Roman" w:hAnsi="Times New Roman" w:cs="Times New Roman"/>
          <w:bCs/>
          <w:sz w:val="24"/>
          <w:szCs w:val="24"/>
        </w:rPr>
        <w:t>Daltonics</w:t>
      </w:r>
      <w:proofErr w:type="spellEnd"/>
      <w:r w:rsidRPr="00CC2E51">
        <w:rPr>
          <w:rFonts w:ascii="Times New Roman" w:hAnsi="Times New Roman" w:cs="Times New Roman"/>
          <w:bCs/>
          <w:sz w:val="24"/>
          <w:szCs w:val="24"/>
        </w:rPr>
        <w:t xml:space="preserve">™, Bremen, Germany). Chromatographic analysis was carried out on a Bidentate C18 column (100 mm × 2.1 mm; </w:t>
      </w:r>
      <w:proofErr w:type="spellStart"/>
      <w:r w:rsidRPr="00CC2E51">
        <w:rPr>
          <w:rFonts w:ascii="Times New Roman" w:hAnsi="Times New Roman" w:cs="Times New Roman"/>
          <w:bCs/>
          <w:sz w:val="24"/>
          <w:szCs w:val="24"/>
        </w:rPr>
        <w:t>MicroSolv</w:t>
      </w:r>
      <w:proofErr w:type="spellEnd"/>
      <w:r w:rsidRPr="00CC2E51">
        <w:rPr>
          <w:rFonts w:ascii="Times New Roman" w:hAnsi="Times New Roman" w:cs="Times New Roman"/>
          <w:bCs/>
          <w:sz w:val="24"/>
          <w:szCs w:val="24"/>
        </w:rPr>
        <w:t xml:space="preserve"> Technology Corporation™, Leland, NC, USA). Mobile phases were 0.1% (v/v) formic acid in water (solvent A) and 0.1% (v/v) formic acid in acetonitrile (solvent B). The elution gradient started with 5% solvent B and was raised to 75% within 20 min, and held for 5 min; initial conditions were re-established within 1 min, keeping 5% solvent B for 4 min. The injection volume was 10 </w:t>
      </w:r>
      <w:proofErr w:type="spellStart"/>
      <w:r w:rsidRPr="00CC2E51">
        <w:rPr>
          <w:rFonts w:ascii="Times New Roman" w:hAnsi="Times New Roman" w:cs="Times New Roman"/>
          <w:bCs/>
          <w:sz w:val="24"/>
          <w:szCs w:val="24"/>
        </w:rPr>
        <w:t>μL</w:t>
      </w:r>
      <w:proofErr w:type="spellEnd"/>
      <w:r w:rsidRPr="00CC2E51">
        <w:rPr>
          <w:rFonts w:ascii="Times New Roman" w:hAnsi="Times New Roman" w:cs="Times New Roman"/>
          <w:bCs/>
          <w:sz w:val="24"/>
          <w:szCs w:val="24"/>
        </w:rPr>
        <w:t xml:space="preserve"> with a flow of 0.2 mL/min at a column temperature of 40 °C </w:t>
      </w:r>
      <w:r>
        <w:rPr>
          <w:rFonts w:ascii="Times New Roman" w:hAnsi="Times New Roman" w:cs="Times New Roman"/>
          <w:bCs/>
          <w:sz w:val="24"/>
          <w:szCs w:val="24"/>
        </w:rPr>
        <w:fldChar w:fldCharType="begin" w:fldLock="1"/>
      </w:r>
      <w:r>
        <w:rPr>
          <w:rFonts w:ascii="Times New Roman" w:hAnsi="Times New Roman" w:cs="Times New Roman"/>
          <w:bCs/>
          <w:sz w:val="24"/>
          <w:szCs w:val="24"/>
        </w:rPr>
        <w:instrText>ADDIN CSL_CITATION {"citationItems":[{"id":"ITEM-1","itemData":{"DOI":"10.1038/nprot.2007.95","ISSN":"1750-2799","abstract":"Untargeted metabolomics aims to gather information on as many metabolites as possible in biological systems by taking into account all information present in the data sets. Here we describe a detailed protocol for large-scale untargeted metabolomics of plant tissues, based on reversed phase liquid chromatography coupled to high-resolution mass spectrometry (LC-QTOF MS) of aqueous methanol extracts. Dedicated software, MetAlign, is used for automated baseline correction and alignment of all extracted mass peaks across all samples, producing detailed information on the relative abundance of thousands of mass signals representing hundreds of metabolites. Subsequent statistics and bioinformatics tools can be used to provide a detailed view on the differences and similarities between (groups of) samples or to link metabolomics data to other systems biology information, genetic markers and/or specific quality parameters. The complete procedure from metabolite extraction to assembly of a data matrix with aligned mass signal intensities takes about 6 days for 50 samples.","author":[{"dropping-particle":"","family":"Vos","given":"Ric C H","non-dropping-particle":"De","parse-names":false,"suffix":""},{"dropping-particle":"","family":"Moco","given":"Sofia","non-dropping-particle":"","parse-names":false,"suffix":""},{"dropping-particle":"","family":"Lommen","given":"Arjen","non-dropping-particle":"","parse-names":false,"suffix":""},{"dropping-particle":"","family":"Keurentjes","given":"Joost J B","non-dropping-particle":"","parse-names":false,"suffix":""},{"dropping-particle":"","family":"Bino","given":"Raoul J","non-dropping-particle":"","parse-names":false,"suffix":""},{"dropping-particle":"","family":"Hall","given":"Robert D","non-dropping-particle":"","parse-names":false,"suffix":""}],"container-title":"Nature Protocols","id":"ITEM-1","issue":"4","issued":{"date-parts":[["2007"]]},"page":"778-791","title":"Untargeted large-scale plant metabolomics using liquid chromatography coupled to mass spectrometry","type":"article-journal","volume":"2"},"uris":["http://www.mendeley.com/documents/?uuid=f0b839a9-fd9a-46d5-8d6c-272b7d0b6c67"]}],"mendeley":{"formattedCitation":"[13]","plainTextFormattedCitation":"[13]","previouslyFormattedCitation":"[13]"},"properties":{"noteIndex":0},"schema":"https://github.com/citation-style-language/schema/raw/master/csl-citation.json"}</w:instrText>
      </w:r>
      <w:r>
        <w:rPr>
          <w:rFonts w:ascii="Times New Roman" w:hAnsi="Times New Roman" w:cs="Times New Roman"/>
          <w:bCs/>
          <w:sz w:val="24"/>
          <w:szCs w:val="24"/>
        </w:rPr>
        <w:fldChar w:fldCharType="separate"/>
      </w:r>
      <w:r w:rsidRPr="00317499">
        <w:rPr>
          <w:rFonts w:ascii="Times New Roman" w:hAnsi="Times New Roman" w:cs="Times New Roman"/>
          <w:bCs/>
          <w:noProof/>
          <w:sz w:val="24"/>
          <w:szCs w:val="24"/>
        </w:rPr>
        <w:t>[13]</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1A8F33D7" w14:textId="77777777" w:rsidR="003404AF" w:rsidRPr="00CC2E51" w:rsidRDefault="003404AF" w:rsidP="00E03888">
      <w:pPr>
        <w:spacing w:after="0" w:line="480" w:lineRule="auto"/>
        <w:jc w:val="both"/>
        <w:rPr>
          <w:rFonts w:ascii="Times New Roman" w:hAnsi="Times New Roman" w:cs="Times New Roman"/>
          <w:bCs/>
          <w:sz w:val="24"/>
          <w:szCs w:val="24"/>
        </w:rPr>
      </w:pPr>
      <w:r w:rsidRPr="00CC2E51">
        <w:rPr>
          <w:rFonts w:ascii="Times New Roman" w:hAnsi="Times New Roman" w:cs="Times New Roman"/>
          <w:bCs/>
          <w:sz w:val="24"/>
          <w:szCs w:val="24"/>
        </w:rPr>
        <w:t xml:space="preserve">The mass spectrometer was calibrated with sodium </w:t>
      </w:r>
      <w:proofErr w:type="spellStart"/>
      <w:r w:rsidRPr="00CC2E51">
        <w:rPr>
          <w:rFonts w:ascii="Times New Roman" w:hAnsi="Times New Roman" w:cs="Times New Roman"/>
          <w:bCs/>
          <w:sz w:val="24"/>
          <w:szCs w:val="24"/>
        </w:rPr>
        <w:t>formate</w:t>
      </w:r>
      <w:proofErr w:type="spellEnd"/>
      <w:r w:rsidRPr="00CC2E51">
        <w:rPr>
          <w:rFonts w:ascii="Times New Roman" w:hAnsi="Times New Roman" w:cs="Times New Roman"/>
          <w:bCs/>
          <w:sz w:val="24"/>
          <w:szCs w:val="24"/>
        </w:rPr>
        <w:t xml:space="preserve"> (10 mM) and operated in the negative ionization mode, using a mass range from m/z 50 to 1200. Acquisition parameters were as follows: capillary voltage of 4 kV, nebulizing gas pressure (N2) of 2 bar, drying gas flow of 8 L/min, source temperature of 180 °C, RF collision of 150 </w:t>
      </w:r>
      <w:proofErr w:type="spellStart"/>
      <w:r w:rsidRPr="00CC2E51">
        <w:rPr>
          <w:rFonts w:ascii="Times New Roman" w:hAnsi="Times New Roman" w:cs="Times New Roman"/>
          <w:bCs/>
          <w:sz w:val="24"/>
          <w:szCs w:val="24"/>
        </w:rPr>
        <w:t>Vpp</w:t>
      </w:r>
      <w:proofErr w:type="spellEnd"/>
      <w:r w:rsidRPr="00CC2E51">
        <w:rPr>
          <w:rFonts w:ascii="Times New Roman" w:hAnsi="Times New Roman" w:cs="Times New Roman"/>
          <w:bCs/>
          <w:sz w:val="24"/>
          <w:szCs w:val="24"/>
        </w:rPr>
        <w:t xml:space="preserve">, and transfer and pre-pulse storage parameters of 70 mS and 5 mS, respectively. Collision energy values were adjusted to m/z 100, 15 eV; m/z 500, 35 eV; and m/z 1000, 50 eV, using nitrogen as collision gas. Compounds were identified according to their monoisotopic masses and </w:t>
      </w:r>
      <w:r w:rsidRPr="00CC2E51">
        <w:rPr>
          <w:rFonts w:ascii="Times New Roman" w:hAnsi="Times New Roman" w:cs="Times New Roman"/>
          <w:bCs/>
          <w:sz w:val="24"/>
          <w:szCs w:val="24"/>
        </w:rPr>
        <w:lastRenderedPageBreak/>
        <w:t>fragmentation patterns using PubChem and Food Bank databases. Results are expressed as µg/g on a dry basis.</w:t>
      </w:r>
    </w:p>
    <w:p w14:paraId="02C486E4" w14:textId="77777777" w:rsidR="003404AF" w:rsidRPr="00851FA8" w:rsidRDefault="003404AF" w:rsidP="00E03888">
      <w:pPr>
        <w:spacing w:after="0" w:line="480" w:lineRule="auto"/>
        <w:jc w:val="both"/>
        <w:rPr>
          <w:rFonts w:ascii="Times New Roman" w:eastAsia="MS Mincho" w:hAnsi="Times New Roman" w:cs="Times New Roman"/>
          <w:b/>
          <w:sz w:val="24"/>
          <w:szCs w:val="24"/>
        </w:rPr>
      </w:pPr>
      <w:r w:rsidRPr="00851FA8">
        <w:rPr>
          <w:rFonts w:ascii="Times New Roman" w:eastAsia="MS Mincho" w:hAnsi="Times New Roman" w:cs="Times New Roman"/>
          <w:b/>
          <w:sz w:val="24"/>
          <w:szCs w:val="24"/>
        </w:rPr>
        <w:t>Antioxidant activity</w:t>
      </w:r>
    </w:p>
    <w:p w14:paraId="48778CC1" w14:textId="77777777" w:rsidR="003404AF" w:rsidRPr="00CC2E51" w:rsidRDefault="003404AF" w:rsidP="00E03888">
      <w:pPr>
        <w:spacing w:after="0" w:line="480" w:lineRule="auto"/>
        <w:jc w:val="both"/>
        <w:rPr>
          <w:rFonts w:ascii="Times New Roman" w:eastAsia="MS Mincho" w:hAnsi="Times New Roman" w:cs="Times New Roman"/>
          <w:b/>
          <w:sz w:val="24"/>
          <w:szCs w:val="24"/>
        </w:rPr>
      </w:pPr>
      <w:r w:rsidRPr="00CC2E51">
        <w:rPr>
          <w:rFonts w:ascii="Times New Roman" w:eastAsia="MS Mincho" w:hAnsi="Times New Roman" w:cs="Times New Roman"/>
          <w:b/>
          <w:sz w:val="24"/>
          <w:szCs w:val="24"/>
        </w:rPr>
        <w:t xml:space="preserve">Inhibition of the </w:t>
      </w:r>
      <w:r w:rsidRPr="00CC2E51">
        <w:rPr>
          <w:rFonts w:ascii="Times New Roman" w:hAnsi="Times New Roman" w:cs="Times New Roman"/>
          <w:b/>
          <w:sz w:val="24"/>
          <w:szCs w:val="24"/>
        </w:rPr>
        <w:t xml:space="preserve">2,2-Diphenyl-1-picrylhydrazyl </w:t>
      </w:r>
      <w:r w:rsidRPr="00CC2E51">
        <w:rPr>
          <w:rFonts w:ascii="Times New Roman" w:eastAsia="MS Mincho" w:hAnsi="Times New Roman" w:cs="Times New Roman"/>
          <w:b/>
          <w:sz w:val="24"/>
          <w:szCs w:val="24"/>
        </w:rPr>
        <w:t>radical (DPPH)</w:t>
      </w:r>
    </w:p>
    <w:p w14:paraId="2D5F9D3C" w14:textId="77777777" w:rsidR="003404AF" w:rsidRPr="00851FA8" w:rsidRDefault="003404AF" w:rsidP="00E03888">
      <w:pPr>
        <w:spacing w:after="0" w:line="480" w:lineRule="auto"/>
        <w:jc w:val="both"/>
        <w:rPr>
          <w:rFonts w:ascii="Times New Roman" w:eastAsia="MS Mincho" w:hAnsi="Times New Roman" w:cs="Times New Roman"/>
          <w:bCs/>
          <w:sz w:val="24"/>
          <w:szCs w:val="24"/>
        </w:rPr>
      </w:pPr>
      <w:r w:rsidRPr="00CC2E51">
        <w:rPr>
          <w:rFonts w:ascii="Times New Roman" w:eastAsia="MS Mincho" w:hAnsi="Times New Roman" w:cs="Times New Roman"/>
          <w:bCs/>
          <w:sz w:val="24"/>
          <w:szCs w:val="24"/>
        </w:rPr>
        <w:t xml:space="preserve">The antioxidant activity of the extracts against the DPPH radical was determined by the method of </w:t>
      </w:r>
      <w:proofErr w:type="spellStart"/>
      <w:r>
        <w:rPr>
          <w:rFonts w:ascii="Times New Roman" w:eastAsia="MS Mincho" w:hAnsi="Times New Roman" w:cs="Times New Roman"/>
          <w:bCs/>
          <w:sz w:val="24"/>
          <w:szCs w:val="24"/>
        </w:rPr>
        <w:t>previosly</w:t>
      </w:r>
      <w:proofErr w:type="spellEnd"/>
      <w:r w:rsidRPr="00CC2E51">
        <w:rPr>
          <w:rFonts w:ascii="Times New Roman" w:eastAsia="MS Mincho" w:hAnsi="Times New Roman" w:cs="Times New Roman"/>
          <w:bCs/>
          <w:sz w:val="24"/>
          <w:szCs w:val="24"/>
        </w:rPr>
        <w:t xml:space="preserve"> with some adaptations. </w:t>
      </w:r>
      <w:r>
        <w:rPr>
          <w:rFonts w:ascii="Times New Roman" w:eastAsia="MS Mincho" w:hAnsi="Times New Roman" w:cs="Times New Roman"/>
          <w:bCs/>
          <w:sz w:val="24"/>
          <w:szCs w:val="24"/>
        </w:rPr>
        <w:fldChar w:fldCharType="begin" w:fldLock="1"/>
      </w:r>
      <w:r>
        <w:rPr>
          <w:rFonts w:ascii="Times New Roman" w:eastAsia="MS Mincho" w:hAnsi="Times New Roman" w:cs="Times New Roman"/>
          <w:bCs/>
          <w:sz w:val="24"/>
          <w:szCs w:val="24"/>
        </w:rPr>
        <w:instrText>ADDIN CSL_CITATION {"citationItems":[{"id":"ITEM-1","itemData":{"DOI":"10.1016/S0023-6438(95)80008-5","ISSN":"0023-6438","abstract":"Tile antiradical activities of various antioxidants were determined using the free radical, 2.2-Diphenyl-l-pict3,1hydrazyl (DPPI-I°). In its radical form, DPPI-I ° has an absorption band at 515 nm which disappears upon reduction by an antiradical compound. Twenty compounds were reacted with the DPPI-I ° and shown to follow one of three possible reaction kinetic types. Ascorbie acid, isoascorbic acid and isoeugenol reacted quickly with the DPPI-I ° reaching a steady state immediately. Rosmarinic acid and 6-tocopherol reacted a little slower and reached a steady state within 30 rain. The remaining compounds reacted more progressively with the DPPH ° reaching a steady state from I to 6 h. Caffeic acid, gentisic acid and gallic acid showed the highest antiradical activities with a stoichiometo, of 4 to 6 reduced DPPH ° molecules pet\" molecule of antioxidant. Vanillin, phenol, y-resort3'lic acid and vanillic acid were found to be poor antiradical compounds. The stoichiometry, for the other 13 phenolic compounds varied from one to three reduced DPPH ° molecules pet\" molecule of antioxidant. Possible mechanisms are proposed to explain the e.werimental results.","author":[{"dropping-particle":"","family":"Brand-Williams","given":"W","non-dropping-particle":"","parse-names":false,"suffix":""},{"dropping-particle":"","family":"Cuvelier","given":"M E","non-dropping-particle":"","parse-names":false,"suffix":""},{"dropping-particle":"","family":"Berset","given":"C","non-dropping-particle":"","parse-names":false,"suffix":""}],"container-title":"LWT - Food Science and Technology","id":"ITEM-1","issue":"1","issued":{"date-parts":[["1995"]]},"page":"25-30","title":"Use of a free radical method to evaluate antioxidant activity","type":"article-journal","volume":"28"},"uris":["http://www.mendeley.com/documents/?uuid=e83d049a-0afc-4984-ae01-358729e60f53"]}],"mendeley":{"formattedCitation":"[14]","plainTextFormattedCitation":"[14]","previouslyFormattedCitation":"[14]"},"properties":{"noteIndex":0},"schema":"https://github.com/citation-style-language/schema/raw/master/csl-citation.json"}</w:instrText>
      </w:r>
      <w:r>
        <w:rPr>
          <w:rFonts w:ascii="Times New Roman" w:eastAsia="MS Mincho" w:hAnsi="Times New Roman" w:cs="Times New Roman"/>
          <w:bCs/>
          <w:sz w:val="24"/>
          <w:szCs w:val="24"/>
        </w:rPr>
        <w:fldChar w:fldCharType="separate"/>
      </w:r>
      <w:r w:rsidRPr="00317499">
        <w:rPr>
          <w:rFonts w:ascii="Times New Roman" w:eastAsia="MS Mincho" w:hAnsi="Times New Roman" w:cs="Times New Roman"/>
          <w:bCs/>
          <w:noProof/>
          <w:sz w:val="24"/>
          <w:szCs w:val="24"/>
        </w:rPr>
        <w:t>[14]</w:t>
      </w:r>
      <w:r>
        <w:rPr>
          <w:rFonts w:ascii="Times New Roman" w:eastAsia="MS Mincho" w:hAnsi="Times New Roman" w:cs="Times New Roman"/>
          <w:bCs/>
          <w:sz w:val="24"/>
          <w:szCs w:val="24"/>
        </w:rPr>
        <w:fldChar w:fldCharType="end"/>
      </w:r>
      <w:r>
        <w:rPr>
          <w:rFonts w:ascii="Times New Roman" w:eastAsia="MS Mincho" w:hAnsi="Times New Roman" w:cs="Times New Roman"/>
          <w:bCs/>
          <w:sz w:val="24"/>
          <w:szCs w:val="24"/>
        </w:rPr>
        <w:t xml:space="preserve">. </w:t>
      </w:r>
      <w:r w:rsidRPr="00CC2E51">
        <w:rPr>
          <w:rFonts w:ascii="Times New Roman" w:eastAsia="MS Mincho" w:hAnsi="Times New Roman" w:cs="Times New Roman"/>
          <w:bCs/>
          <w:sz w:val="24"/>
          <w:szCs w:val="24"/>
        </w:rPr>
        <w:t xml:space="preserve">For this, in 96-well microplates, 25 </w:t>
      </w:r>
      <w:r w:rsidRPr="00CC2E51">
        <w:rPr>
          <w:rFonts w:ascii="Times New Roman" w:eastAsia="MS Mincho" w:hAnsi="Times New Roman" w:cs="Times New Roman"/>
          <w:bCs/>
          <w:sz w:val="24"/>
          <w:szCs w:val="24"/>
          <w:lang w:val="pt-BR"/>
        </w:rPr>
        <w:t>μ</w:t>
      </w:r>
      <w:r w:rsidRPr="00CC2E51">
        <w:rPr>
          <w:rFonts w:ascii="Times New Roman" w:eastAsia="MS Mincho" w:hAnsi="Times New Roman" w:cs="Times New Roman"/>
          <w:bCs/>
          <w:sz w:val="24"/>
          <w:szCs w:val="24"/>
        </w:rPr>
        <w:t xml:space="preserve">L of a sample (broccoli, kale, and cauliflower extract at a concentration of 200 mg / mL) and 250 </w:t>
      </w:r>
      <w:r w:rsidRPr="00CC2E51">
        <w:rPr>
          <w:rFonts w:ascii="Times New Roman" w:eastAsia="MS Mincho" w:hAnsi="Times New Roman" w:cs="Times New Roman"/>
          <w:bCs/>
          <w:sz w:val="24"/>
          <w:szCs w:val="24"/>
          <w:lang w:val="pt-BR"/>
        </w:rPr>
        <w:t>μ</w:t>
      </w:r>
      <w:r w:rsidRPr="00CC2E51">
        <w:rPr>
          <w:rFonts w:ascii="Times New Roman" w:eastAsia="MS Mincho" w:hAnsi="Times New Roman" w:cs="Times New Roman"/>
          <w:bCs/>
          <w:sz w:val="24"/>
          <w:szCs w:val="24"/>
        </w:rPr>
        <w:t>L of 0.6 mM DPPH solution were added. Then, the plates were shaken and incubated in the dark for 30 minutes, and then a spectrophotometer reading (Spectra Max 190, Molecular Devices, USA) was performed at a wavelength of 515 nm.</w:t>
      </w:r>
    </w:p>
    <w:p w14:paraId="481FDE76" w14:textId="77777777" w:rsidR="003404AF" w:rsidRPr="00CC2E51" w:rsidRDefault="003404AF" w:rsidP="00E03888">
      <w:pPr>
        <w:spacing w:after="0" w:line="480" w:lineRule="auto"/>
        <w:jc w:val="both"/>
        <w:rPr>
          <w:rFonts w:ascii="Times New Roman" w:eastAsia="MS Mincho" w:hAnsi="Times New Roman" w:cs="Times New Roman"/>
          <w:b/>
          <w:sz w:val="24"/>
          <w:szCs w:val="24"/>
        </w:rPr>
      </w:pPr>
      <w:r w:rsidRPr="00CC2E51">
        <w:rPr>
          <w:rFonts w:ascii="Times New Roman" w:eastAsia="MS Mincho" w:hAnsi="Times New Roman" w:cs="Times New Roman"/>
          <w:b/>
          <w:sz w:val="24"/>
          <w:szCs w:val="24"/>
        </w:rPr>
        <w:t>Hydroxyl radical inhibition</w:t>
      </w:r>
    </w:p>
    <w:p w14:paraId="09A642A4" w14:textId="77777777" w:rsidR="003404AF" w:rsidRPr="00CC2E51" w:rsidRDefault="003404AF" w:rsidP="00E03888">
      <w:pPr>
        <w:spacing w:after="0" w:line="480" w:lineRule="auto"/>
        <w:jc w:val="both"/>
        <w:rPr>
          <w:rFonts w:ascii="Times New Roman" w:eastAsia="MS Mincho" w:hAnsi="Times New Roman" w:cs="Times New Roman"/>
          <w:bCs/>
          <w:sz w:val="24"/>
          <w:szCs w:val="24"/>
        </w:rPr>
      </w:pPr>
      <w:r w:rsidRPr="00D3018D">
        <w:rPr>
          <w:rFonts w:ascii="Times New Roman" w:eastAsia="MS Mincho" w:hAnsi="Times New Roman" w:cs="Times New Roman"/>
          <w:bCs/>
          <w:sz w:val="24"/>
          <w:szCs w:val="24"/>
        </w:rPr>
        <w:t xml:space="preserve">The hydroxyl radical capture capacity was determined according to the methodology proposed by </w:t>
      </w:r>
      <w:proofErr w:type="spellStart"/>
      <w:r w:rsidRPr="00D3018D">
        <w:rPr>
          <w:rFonts w:ascii="Times New Roman" w:eastAsia="MS Mincho" w:hAnsi="Times New Roman" w:cs="Times New Roman"/>
          <w:bCs/>
          <w:sz w:val="24"/>
          <w:szCs w:val="24"/>
        </w:rPr>
        <w:t>Vinholes</w:t>
      </w:r>
      <w:proofErr w:type="spellEnd"/>
      <w:r w:rsidRPr="00D3018D">
        <w:rPr>
          <w:rFonts w:ascii="Times New Roman" w:eastAsia="MS Mincho" w:hAnsi="Times New Roman" w:cs="Times New Roman"/>
          <w:bCs/>
          <w:sz w:val="24"/>
          <w:szCs w:val="24"/>
        </w:rPr>
        <w:t xml:space="preserve"> et al. </w:t>
      </w:r>
      <w:r w:rsidRPr="00D3018D">
        <w:rPr>
          <w:rFonts w:ascii="Times New Roman" w:eastAsia="MS Mincho" w:hAnsi="Times New Roman" w:cs="Times New Roman"/>
          <w:bCs/>
          <w:sz w:val="24"/>
          <w:szCs w:val="24"/>
        </w:rPr>
        <w:fldChar w:fldCharType="begin" w:fldLock="1"/>
      </w:r>
      <w:r w:rsidRPr="00D3018D">
        <w:rPr>
          <w:rFonts w:ascii="Times New Roman" w:eastAsia="MS Mincho" w:hAnsi="Times New Roman" w:cs="Times New Roman"/>
          <w:bCs/>
          <w:sz w:val="24"/>
          <w:szCs w:val="24"/>
        </w:rPr>
        <w:instrText>ADDIN CSL_CITATION {"citationItems":[{"id":"ITEM-1","itemData":{"DOI":"10.1016/j.foodchem.2011.04.098","ISSN":"1873-7072 (Electronic)","PMID":"30634251","abstract":"Spergularia rubra is distributed all over the world, being its infusion used as  diuretic. In spite of its large use, the antidiabetic, anti-cholinesterase and antioxidant activities of this species have not been assessed and its chemical composition is scarcely known. In the work herein a hydromethanolic extract was studied. Thirty-six phenolic compounds were determined by HPLC-DAD, comprising non-acylated C-glycosyl flavones (38%), C-glycosyl flavones acylated with aromatic acids (36%), C-glycosyl flavones acylated with aliphatic acids (13%) and 10% corresponded to C-glycosyl flavones with a mixed acylation. Organic acids (oxalic, citric, malic, quinic and fumaric acids) and fatty acids (azelaic, myristic, palmitic, linoleic, linolenic and stearic acids) are described for the first time. Their determination by HPLC-UV and GC-IT-MS allowed finding concentrations of 192.15 and 34.87g/kg, respectively. The extract showed a dose-dependent response against DPPH, superoxide and nitric oxide radicals. The same effect was observed in the α-glucosidase inhibitory assay and against acetylcholinesterase and butyrylcholinesterases. The bioactivities observed may be due, at least partially, to the presence of the different metabolites determined in the present study. The results suggest that the dried extract of S. rubra may be interesting for incorporation in pharmaceutical preparations for human health, since it can suppress hyperglycaemia and inhibit cholinesterases, and or as food additive due to its antiradical activity.","author":[{"dropping-particle":"","family":"Vinholes","given":"Juliana","non-dropping-particle":"","parse-names":false,"suffix":""},{"dropping-particle":"","family":"Grosso","given":"Clara","non-dropping-particle":"","parse-names":false,"suffix":""},{"dropping-particle":"","family":"Andrade","given":"Paula B","non-dropping-particle":"","parse-names":false,"suffix":""},{"dropping-particle":"","family":"Gil-Izquierdo","given":"Angel","non-dropping-particle":"","parse-names":false,"suffix":""},{"dropping-particle":"","family":"Valentão","given":"Patrícia","non-dropping-particle":"","parse-names":false,"suffix":""},{"dropping-particle":"de","family":"Pinho","given":"Paula Guedes","non-dropping-particle":"","parse-names":false,"suffix":""},{"dropping-particle":"","family":"Ferreres","given":"Federico","non-dropping-particle":"","parse-names":false,"suffix":""}],"container-title":"Food chemistry","id":"ITEM-1","issue":"2","issued":{"date-parts":[["2011","11"]]},"language":"eng","page":"454-462","publisher-place":"England","title":"In vitro studies to assess the antidiabetic, anti-cholinesterase and antioxidant  potential of Spergularia rubra.","type":"article-journal","volume":"129"},"uris":["http://www.mendeley.com/documents/?uuid=036c046e-12ed-4eeb-acad-01d1159dbcc5"]}],"mendeley":{"formattedCitation":"[15]","plainTextFormattedCitation":"[15]","previouslyFormattedCitation":"[15]"},"properties":{"noteIndex":0},"schema":"https://github.com/citation-style-language/schema/raw/master/csl-citation.json"}</w:instrText>
      </w:r>
      <w:r w:rsidRPr="00D3018D">
        <w:rPr>
          <w:rFonts w:ascii="Times New Roman" w:eastAsia="MS Mincho" w:hAnsi="Times New Roman" w:cs="Times New Roman"/>
          <w:bCs/>
          <w:sz w:val="24"/>
          <w:szCs w:val="24"/>
        </w:rPr>
        <w:fldChar w:fldCharType="separate"/>
      </w:r>
      <w:r w:rsidRPr="00D3018D">
        <w:rPr>
          <w:rFonts w:ascii="Times New Roman" w:eastAsia="MS Mincho" w:hAnsi="Times New Roman" w:cs="Times New Roman"/>
          <w:bCs/>
          <w:noProof/>
          <w:sz w:val="24"/>
          <w:szCs w:val="24"/>
        </w:rPr>
        <w:t>[15]</w:t>
      </w:r>
      <w:r w:rsidRPr="00D3018D">
        <w:rPr>
          <w:rFonts w:ascii="Times New Roman" w:eastAsia="MS Mincho" w:hAnsi="Times New Roman" w:cs="Times New Roman"/>
          <w:bCs/>
          <w:sz w:val="24"/>
          <w:szCs w:val="24"/>
        </w:rPr>
        <w:fldChar w:fldCharType="end"/>
      </w:r>
      <w:r w:rsidRPr="00D3018D">
        <w:rPr>
          <w:rFonts w:ascii="Times New Roman" w:eastAsia="MS Mincho" w:hAnsi="Times New Roman" w:cs="Times New Roman"/>
          <w:bCs/>
          <w:sz w:val="24"/>
          <w:szCs w:val="24"/>
        </w:rPr>
        <w:t xml:space="preserve"> with some modifications. For this purpose, in 96-well microplates, 25 µL of the sample</w:t>
      </w:r>
      <w:r w:rsidRPr="00CC2E51">
        <w:rPr>
          <w:rFonts w:ascii="Times New Roman" w:eastAsia="MS Mincho" w:hAnsi="Times New Roman" w:cs="Times New Roman"/>
          <w:bCs/>
          <w:sz w:val="24"/>
          <w:szCs w:val="24"/>
        </w:rPr>
        <w:t xml:space="preserve"> (each essential oil), 110 µL of 8 mM heptahydrate iron sulfate solution, 50 µL of 7.18 mM hydrogen peroxide solution, and subsequently 74.2 µL of 3 mM salicylic acid solution. The plates were shaken and incubated for 30 minutes at a temperature of 37°C and then proceeded to read on a spectrophotometer (Spectra Max 190, Molecular Devices, USA), at a wavelength of 515 nm.</w:t>
      </w:r>
    </w:p>
    <w:p w14:paraId="4A574506" w14:textId="77777777" w:rsidR="003404AF" w:rsidRPr="00CC2E51" w:rsidRDefault="003404AF" w:rsidP="00E03888">
      <w:pPr>
        <w:spacing w:after="0" w:line="480" w:lineRule="auto"/>
        <w:jc w:val="both"/>
        <w:rPr>
          <w:rFonts w:ascii="Times New Roman" w:eastAsia="MS Mincho" w:hAnsi="Times New Roman" w:cs="Times New Roman"/>
          <w:b/>
          <w:sz w:val="24"/>
          <w:szCs w:val="24"/>
        </w:rPr>
      </w:pPr>
      <w:r w:rsidRPr="00CC2E51">
        <w:rPr>
          <w:rFonts w:ascii="Times New Roman" w:eastAsia="MS Mincho" w:hAnsi="Times New Roman" w:cs="Times New Roman"/>
          <w:b/>
          <w:sz w:val="24"/>
          <w:szCs w:val="24"/>
        </w:rPr>
        <w:t>Inhibition of the nitric oxide radical</w:t>
      </w:r>
    </w:p>
    <w:p w14:paraId="10FFE0E8" w14:textId="77777777" w:rsidR="003404AF" w:rsidRPr="00CC2E51" w:rsidRDefault="003404AF" w:rsidP="00E03888">
      <w:pPr>
        <w:spacing w:after="0" w:line="480" w:lineRule="auto"/>
        <w:jc w:val="both"/>
        <w:rPr>
          <w:rFonts w:ascii="Times New Roman" w:eastAsia="MS Mincho" w:hAnsi="Times New Roman" w:cs="Times New Roman"/>
          <w:bCs/>
          <w:sz w:val="24"/>
          <w:szCs w:val="24"/>
        </w:rPr>
      </w:pPr>
      <w:r w:rsidRPr="00CC2E51">
        <w:rPr>
          <w:rFonts w:ascii="Times New Roman" w:eastAsia="MS Mincho" w:hAnsi="Times New Roman" w:cs="Times New Roman"/>
          <w:bCs/>
          <w:sz w:val="24"/>
          <w:szCs w:val="24"/>
        </w:rPr>
        <w:t xml:space="preserve">The capture capacity of the nitric oxide radical by the extracts was determined according to the procedure described </w:t>
      </w:r>
      <w:r>
        <w:rPr>
          <w:rFonts w:ascii="Times New Roman" w:eastAsia="MS Mincho" w:hAnsi="Times New Roman" w:cs="Times New Roman"/>
          <w:bCs/>
          <w:sz w:val="24"/>
          <w:szCs w:val="24"/>
        </w:rPr>
        <w:t xml:space="preserve">previously </w:t>
      </w:r>
      <w:r>
        <w:rPr>
          <w:rFonts w:ascii="Times New Roman" w:eastAsia="MS Mincho" w:hAnsi="Times New Roman" w:cs="Times New Roman"/>
          <w:bCs/>
          <w:sz w:val="24"/>
          <w:szCs w:val="24"/>
        </w:rPr>
        <w:fldChar w:fldCharType="begin" w:fldLock="1"/>
      </w:r>
      <w:r>
        <w:rPr>
          <w:rFonts w:ascii="Times New Roman" w:eastAsia="MS Mincho" w:hAnsi="Times New Roman" w:cs="Times New Roman"/>
          <w:bCs/>
          <w:sz w:val="24"/>
          <w:szCs w:val="24"/>
        </w:rPr>
        <w:instrText>ADDIN CSL_CITATION {"citationItems":[{"id":"ITEM-1","itemData":{"DOI":"10.1016/j.foodchem.2011.04.098","ISSN":"1873-7072 (Electronic)","PMID":"30634251","abstract":"Spergularia rubra is distributed all over the world, being its infusion used as  diuretic. In spite of its large use, the antidiabetic, anti-cholinesterase and antioxidant activities of this species have not been assessed and its chemical composition is scarcely known. In the work herein a hydromethanolic extract was studied. Thirty-six phenolic compounds were determined by HPLC-DAD, comprising non-acylated C-glycosyl flavones (38%), C-glycosyl flavones acylated with aromatic acids (36%), C-glycosyl flavones acylated with aliphatic acids (13%) and 10% corresponded to C-glycosyl flavones with a mixed acylation. Organic acids (oxalic, citric, malic, quinic and fumaric acids) and fatty acids (azelaic, myristic, palmitic, linoleic, linolenic and stearic acids) are described for the first time. Their determination by HPLC-UV and GC-IT-MS allowed finding concentrations of 192.15 and 34.87g/kg, respectively. The extract showed a dose-dependent response against DPPH, superoxide and nitric oxide radicals. The same effect was observed in the α-glucosidase inhibitory assay and against acetylcholinesterase and butyrylcholinesterases. The bioactivities observed may be due, at least partially, to the presence of the different metabolites determined in the present study. The results suggest that the dried extract of S. rubra may be interesting for incorporation in pharmaceutical preparations for human health, since it can suppress hyperglycaemia and inhibit cholinesterases, and or as food additive due to its antiradical activity.","author":[{"dropping-particle":"","family":"Vinholes","given":"Juliana","non-dropping-particle":"","parse-names":false,"suffix":""},{"dropping-particle":"","family":"Grosso","given":"Clara","non-dropping-particle":"","parse-names":false,"suffix":""},{"dropping-particle":"","family":"Andrade","given":"Paula B","non-dropping-particle":"","parse-names":false,"suffix":""},{"dropping-particle":"","family":"Gil-Izquierdo","given":"Angel","non-dropping-particle":"","parse-names":false,"suffix":""},{"dropping-particle":"","family":"Valentão","given":"Patrícia","non-dropping-particle":"","parse-names":false,"suffix":""},{"dropping-particle":"de","family":"Pinho","given":"Paula Guedes","non-dropping-particle":"","parse-names":false,"suffix":""},{"dropping-particle":"","family":"Ferreres","given":"Federico","non-dropping-particle":"","parse-names":false,"suffix":""}],"container-title":"Food chemistry","id":"ITEM-1","issue":"2","issued":{"date-parts":[["2011","11"]]},"language":"eng","page":"454-462","publisher-place":"England","title":"In vitro studies to assess the antidiabetic, anti-cholinesterase and antioxidant  potential of Spergularia rubra.","type":"article-journal","volume":"129"},"uris":["http://www.mendeley.com/documents/?uuid=036c046e-12ed-4eeb-acad-01d1159dbcc5"]}],"mendeley":{"formattedCitation":"[15]","plainTextFormattedCitation":"[15]","previouslyFormattedCitation":"[15]"},"properties":{"noteIndex":0},"schema":"https://github.com/citation-style-language/schema/raw/master/csl-citation.json"}</w:instrText>
      </w:r>
      <w:r>
        <w:rPr>
          <w:rFonts w:ascii="Times New Roman" w:eastAsia="MS Mincho" w:hAnsi="Times New Roman" w:cs="Times New Roman"/>
          <w:bCs/>
          <w:sz w:val="24"/>
          <w:szCs w:val="24"/>
        </w:rPr>
        <w:fldChar w:fldCharType="separate"/>
      </w:r>
      <w:r w:rsidRPr="00317499">
        <w:rPr>
          <w:rFonts w:ascii="Times New Roman" w:eastAsia="MS Mincho" w:hAnsi="Times New Roman" w:cs="Times New Roman"/>
          <w:bCs/>
          <w:noProof/>
          <w:sz w:val="24"/>
          <w:szCs w:val="24"/>
        </w:rPr>
        <w:t>[15]</w:t>
      </w:r>
      <w:r>
        <w:rPr>
          <w:rFonts w:ascii="Times New Roman" w:eastAsia="MS Mincho" w:hAnsi="Times New Roman" w:cs="Times New Roman"/>
          <w:bCs/>
          <w:sz w:val="24"/>
          <w:szCs w:val="24"/>
        </w:rPr>
        <w:fldChar w:fldCharType="end"/>
      </w:r>
      <w:r>
        <w:rPr>
          <w:rFonts w:ascii="Times New Roman" w:eastAsia="MS Mincho" w:hAnsi="Times New Roman" w:cs="Times New Roman"/>
          <w:bCs/>
          <w:sz w:val="24"/>
          <w:szCs w:val="24"/>
        </w:rPr>
        <w:t xml:space="preserve">. </w:t>
      </w:r>
      <w:r w:rsidRPr="00CC2E51">
        <w:rPr>
          <w:rFonts w:ascii="Times New Roman" w:eastAsia="MS Mincho" w:hAnsi="Times New Roman" w:cs="Times New Roman"/>
          <w:bCs/>
          <w:sz w:val="24"/>
          <w:szCs w:val="24"/>
        </w:rPr>
        <w:t>In a 96-well microplate, 50 µL of sodium nitroprusside (20 mM) and 50 µL of the sample (broccoli, kale, and cauliflower extract at a concentration of 200 mg/mL) were added. The mixture was incubated at room temperature, under the effect of light for 60 minutes. Afterward, 50 µL of 2% phosphoric acid solution and 50 µL of the Griess reagent was added. The microplates were incubated for 10 minutes in the dark at room temperature and after read on a spectrophotometer (Spectra Max 190, Molecular Devices, USA), at a wavelength of 562 nm.</w:t>
      </w:r>
    </w:p>
    <w:p w14:paraId="4363E312" w14:textId="77777777" w:rsidR="003404AF" w:rsidRPr="00CC2E51" w:rsidRDefault="003404AF" w:rsidP="00E03888">
      <w:pPr>
        <w:spacing w:after="0" w:line="480" w:lineRule="auto"/>
        <w:jc w:val="both"/>
        <w:rPr>
          <w:rFonts w:ascii="Times New Roman" w:eastAsia="MS Mincho" w:hAnsi="Times New Roman" w:cs="Times New Roman"/>
          <w:b/>
          <w:sz w:val="24"/>
          <w:szCs w:val="24"/>
        </w:rPr>
      </w:pPr>
      <w:r w:rsidRPr="00CC2E51">
        <w:rPr>
          <w:rFonts w:ascii="Times New Roman" w:eastAsia="MS Mincho" w:hAnsi="Times New Roman" w:cs="Times New Roman"/>
          <w:b/>
          <w:sz w:val="24"/>
          <w:szCs w:val="24"/>
        </w:rPr>
        <w:t>Antimicrobial activity</w:t>
      </w:r>
    </w:p>
    <w:p w14:paraId="6A0B0B9E" w14:textId="77777777" w:rsidR="003404AF" w:rsidRPr="00CC2E51" w:rsidRDefault="003404AF" w:rsidP="00E03888">
      <w:pPr>
        <w:spacing w:after="0" w:line="480" w:lineRule="auto"/>
        <w:jc w:val="both"/>
        <w:rPr>
          <w:rFonts w:ascii="Times New Roman" w:eastAsia="MS Mincho" w:hAnsi="Times New Roman" w:cs="Times New Roman"/>
          <w:bCs/>
          <w:sz w:val="24"/>
          <w:szCs w:val="24"/>
        </w:rPr>
      </w:pPr>
      <w:r w:rsidRPr="00CC2E51">
        <w:rPr>
          <w:rFonts w:ascii="Times New Roman" w:eastAsia="MS Mincho" w:hAnsi="Times New Roman" w:cs="Times New Roman"/>
          <w:bCs/>
          <w:sz w:val="24"/>
          <w:szCs w:val="24"/>
        </w:rPr>
        <w:lastRenderedPageBreak/>
        <w:t xml:space="preserve">To determine the antimicrobial activity, the extracts were lyophilized (K108, </w:t>
      </w:r>
      <w:proofErr w:type="spellStart"/>
      <w:r w:rsidRPr="00CC2E51">
        <w:rPr>
          <w:rFonts w:ascii="Times New Roman" w:eastAsia="MS Mincho" w:hAnsi="Times New Roman" w:cs="Times New Roman"/>
          <w:bCs/>
          <w:sz w:val="24"/>
          <w:szCs w:val="24"/>
        </w:rPr>
        <w:t>Liotop</w:t>
      </w:r>
      <w:proofErr w:type="spellEnd"/>
      <w:r w:rsidRPr="00CC2E51">
        <w:rPr>
          <w:rFonts w:ascii="Times New Roman" w:eastAsia="MS Mincho" w:hAnsi="Times New Roman" w:cs="Times New Roman"/>
          <w:bCs/>
          <w:sz w:val="24"/>
          <w:szCs w:val="24"/>
        </w:rPr>
        <w:t xml:space="preserve">, Brazil) for 48 hours and after resuspended in deionized water, to avoid possible solvent interference. It was used Standard strains of the species of bacteria </w:t>
      </w:r>
      <w:r w:rsidRPr="00CC2E51">
        <w:rPr>
          <w:rFonts w:ascii="Times New Roman" w:eastAsia="MS Mincho" w:hAnsi="Times New Roman" w:cs="Times New Roman"/>
          <w:bCs/>
          <w:i/>
          <w:iCs/>
          <w:sz w:val="24"/>
          <w:szCs w:val="24"/>
        </w:rPr>
        <w:t>Salmonella</w:t>
      </w:r>
      <w:r w:rsidRPr="00CC2E51">
        <w:rPr>
          <w:rFonts w:ascii="Times New Roman" w:eastAsia="MS Mincho" w:hAnsi="Times New Roman" w:cs="Times New Roman"/>
          <w:bCs/>
          <w:sz w:val="24"/>
          <w:szCs w:val="24"/>
        </w:rPr>
        <w:t xml:space="preserve"> Typhimurium (ATCC 13311), </w:t>
      </w:r>
      <w:r w:rsidRPr="00CC2E51">
        <w:rPr>
          <w:rFonts w:ascii="Times New Roman" w:eastAsia="MS Mincho" w:hAnsi="Times New Roman" w:cs="Times New Roman"/>
          <w:bCs/>
          <w:i/>
          <w:iCs/>
          <w:sz w:val="24"/>
          <w:szCs w:val="24"/>
        </w:rPr>
        <w:t>Escherichia coli</w:t>
      </w:r>
      <w:r w:rsidRPr="00CC2E51">
        <w:rPr>
          <w:rFonts w:ascii="Times New Roman" w:eastAsia="MS Mincho" w:hAnsi="Times New Roman" w:cs="Times New Roman"/>
          <w:bCs/>
          <w:sz w:val="24"/>
          <w:szCs w:val="24"/>
        </w:rPr>
        <w:t xml:space="preserve"> O157: H7 (ATCC 43895), </w:t>
      </w:r>
      <w:r w:rsidRPr="00CC2E51">
        <w:rPr>
          <w:rFonts w:ascii="Times New Roman" w:eastAsia="MS Mincho" w:hAnsi="Times New Roman" w:cs="Times New Roman"/>
          <w:bCs/>
          <w:i/>
          <w:iCs/>
          <w:sz w:val="24"/>
          <w:szCs w:val="24"/>
        </w:rPr>
        <w:t>Listeria monocytogenes</w:t>
      </w:r>
      <w:r w:rsidRPr="00CC2E51">
        <w:rPr>
          <w:rFonts w:ascii="Times New Roman" w:eastAsia="MS Mincho" w:hAnsi="Times New Roman" w:cs="Times New Roman"/>
          <w:bCs/>
          <w:sz w:val="24"/>
          <w:szCs w:val="24"/>
        </w:rPr>
        <w:t xml:space="preserve"> (ATCC 7644), and </w:t>
      </w:r>
      <w:r w:rsidRPr="00CC2E51">
        <w:rPr>
          <w:rFonts w:ascii="Times New Roman" w:eastAsia="MS Mincho" w:hAnsi="Times New Roman" w:cs="Times New Roman"/>
          <w:bCs/>
          <w:i/>
          <w:iCs/>
          <w:sz w:val="24"/>
          <w:szCs w:val="24"/>
        </w:rPr>
        <w:t>Staphylococcus aureus</w:t>
      </w:r>
      <w:r w:rsidRPr="00CC2E51">
        <w:rPr>
          <w:rFonts w:ascii="Times New Roman" w:eastAsia="MS Mincho" w:hAnsi="Times New Roman" w:cs="Times New Roman"/>
          <w:bCs/>
          <w:sz w:val="24"/>
          <w:szCs w:val="24"/>
        </w:rPr>
        <w:t xml:space="preserve"> (ATCC 10832).</w:t>
      </w:r>
    </w:p>
    <w:p w14:paraId="44C9A3AF" w14:textId="77777777" w:rsidR="003404AF" w:rsidRPr="00CC2E51" w:rsidRDefault="003404AF" w:rsidP="00E03888">
      <w:pPr>
        <w:spacing w:after="0" w:line="480" w:lineRule="auto"/>
        <w:jc w:val="both"/>
        <w:rPr>
          <w:rFonts w:ascii="Times New Roman" w:hAnsi="Times New Roman" w:cs="Times New Roman"/>
          <w:b/>
          <w:sz w:val="24"/>
          <w:szCs w:val="24"/>
        </w:rPr>
      </w:pPr>
      <w:r w:rsidRPr="00CC2E51">
        <w:rPr>
          <w:rFonts w:ascii="Times New Roman" w:hAnsi="Times New Roman" w:cs="Times New Roman"/>
          <w:b/>
          <w:sz w:val="24"/>
          <w:szCs w:val="24"/>
        </w:rPr>
        <w:t>Reactivation of microorganisms</w:t>
      </w:r>
    </w:p>
    <w:p w14:paraId="06995103" w14:textId="77777777" w:rsidR="003404AF" w:rsidRPr="00CC2E51" w:rsidRDefault="003404AF" w:rsidP="00E03888">
      <w:pPr>
        <w:spacing w:after="0" w:line="480" w:lineRule="auto"/>
        <w:jc w:val="both"/>
        <w:rPr>
          <w:rFonts w:ascii="Times New Roman" w:hAnsi="Times New Roman" w:cs="Times New Roman"/>
          <w:sz w:val="24"/>
          <w:szCs w:val="24"/>
        </w:rPr>
      </w:pPr>
      <w:r w:rsidRPr="00CC2E51">
        <w:rPr>
          <w:rFonts w:ascii="Times New Roman" w:hAnsi="Times New Roman" w:cs="Times New Roman"/>
          <w:sz w:val="24"/>
          <w:szCs w:val="24"/>
        </w:rPr>
        <w:t xml:space="preserve">An aliquot of each bacterium was transferred to Tryptic Soy Broth and incubated in a greenhouse for 24h at 37ºC for reactivation. After increasing this growth, it was streaked into Petri dishes with selective media, with </w:t>
      </w:r>
      <w:proofErr w:type="spellStart"/>
      <w:r w:rsidRPr="00CC2E51">
        <w:rPr>
          <w:rFonts w:ascii="Times New Roman" w:hAnsi="Times New Roman" w:cs="Times New Roman"/>
          <w:sz w:val="24"/>
          <w:szCs w:val="24"/>
        </w:rPr>
        <w:t>Hektoen</w:t>
      </w:r>
      <w:proofErr w:type="spellEnd"/>
      <w:r w:rsidRPr="00CC2E51">
        <w:rPr>
          <w:rFonts w:ascii="Times New Roman" w:hAnsi="Times New Roman" w:cs="Times New Roman"/>
          <w:sz w:val="24"/>
          <w:szCs w:val="24"/>
        </w:rPr>
        <w:t xml:space="preserve"> Enteric Agar for </w:t>
      </w:r>
      <w:r w:rsidRPr="00CC2E51">
        <w:rPr>
          <w:rFonts w:ascii="Times New Roman" w:hAnsi="Times New Roman" w:cs="Times New Roman"/>
          <w:i/>
          <w:iCs/>
          <w:sz w:val="24"/>
          <w:szCs w:val="24"/>
        </w:rPr>
        <w:t xml:space="preserve">S. </w:t>
      </w:r>
      <w:r w:rsidRPr="00CC2E51">
        <w:rPr>
          <w:rFonts w:ascii="Times New Roman" w:hAnsi="Times New Roman" w:cs="Times New Roman"/>
          <w:sz w:val="24"/>
          <w:szCs w:val="24"/>
        </w:rPr>
        <w:t xml:space="preserve">Typhimurium, Eosin Methylene Blue agar for </w:t>
      </w:r>
      <w:r w:rsidRPr="00CC2E51">
        <w:rPr>
          <w:rFonts w:ascii="Times New Roman" w:hAnsi="Times New Roman" w:cs="Times New Roman"/>
          <w:i/>
          <w:iCs/>
          <w:sz w:val="24"/>
          <w:szCs w:val="24"/>
        </w:rPr>
        <w:t>E. coli</w:t>
      </w:r>
      <w:r w:rsidRPr="00CC2E51">
        <w:rPr>
          <w:rFonts w:ascii="Times New Roman" w:hAnsi="Times New Roman" w:cs="Times New Roman"/>
          <w:sz w:val="24"/>
          <w:szCs w:val="24"/>
        </w:rPr>
        <w:t xml:space="preserve">, Oxford agar for </w:t>
      </w:r>
      <w:r w:rsidRPr="00CC2E51">
        <w:rPr>
          <w:rFonts w:ascii="Times New Roman" w:hAnsi="Times New Roman" w:cs="Times New Roman"/>
          <w:i/>
          <w:iCs/>
          <w:sz w:val="24"/>
          <w:szCs w:val="24"/>
        </w:rPr>
        <w:t>L. monocytogenes,</w:t>
      </w:r>
      <w:r w:rsidRPr="00CC2E51">
        <w:rPr>
          <w:rFonts w:ascii="Times New Roman" w:hAnsi="Times New Roman" w:cs="Times New Roman"/>
          <w:sz w:val="24"/>
          <w:szCs w:val="24"/>
        </w:rPr>
        <w:t xml:space="preserve"> and Baird-Parker agar for </w:t>
      </w:r>
      <w:r w:rsidRPr="00CC2E51">
        <w:rPr>
          <w:rFonts w:ascii="Times New Roman" w:hAnsi="Times New Roman" w:cs="Times New Roman"/>
          <w:i/>
          <w:iCs/>
          <w:sz w:val="24"/>
          <w:szCs w:val="24"/>
        </w:rPr>
        <w:t>S. aureus</w:t>
      </w:r>
      <w:r w:rsidRPr="00CC2E51">
        <w:rPr>
          <w:rFonts w:ascii="Times New Roman" w:hAnsi="Times New Roman" w:cs="Times New Roman"/>
          <w:sz w:val="24"/>
          <w:szCs w:val="24"/>
        </w:rPr>
        <w:t>, and incubated for 24h at 37ºC, for the isolation of colonies. From the bacterial growth in the Petri dishes, an aliquot was extracted and resuspended in saline solution (NaCl 0.85%), which was standardized at the 0.5 concentration on the McFarland scale (1.5 x 10</w:t>
      </w:r>
      <w:r w:rsidRPr="00CC2E51">
        <w:rPr>
          <w:rFonts w:ascii="Times New Roman" w:hAnsi="Times New Roman" w:cs="Times New Roman"/>
          <w:sz w:val="24"/>
          <w:szCs w:val="24"/>
          <w:vertAlign w:val="superscript"/>
        </w:rPr>
        <w:t>8</w:t>
      </w:r>
      <w:r w:rsidRPr="00CC2E51">
        <w:rPr>
          <w:rFonts w:ascii="Times New Roman" w:hAnsi="Times New Roman" w:cs="Times New Roman"/>
          <w:sz w:val="24"/>
          <w:szCs w:val="24"/>
        </w:rPr>
        <w:t xml:space="preserve"> CFU</w:t>
      </w:r>
      <w:r>
        <w:rPr>
          <w:rFonts w:ascii="Times New Roman" w:hAnsi="Times New Roman" w:cs="Times New Roman"/>
          <w:sz w:val="24"/>
          <w:szCs w:val="24"/>
        </w:rPr>
        <w:t>/</w:t>
      </w:r>
      <w:r w:rsidRPr="00CC2E51">
        <w:rPr>
          <w:rFonts w:ascii="Times New Roman" w:hAnsi="Times New Roman" w:cs="Times New Roman"/>
          <w:sz w:val="24"/>
          <w:szCs w:val="24"/>
        </w:rPr>
        <w:t>mL). All tests were performed in triplicate.</w:t>
      </w:r>
    </w:p>
    <w:p w14:paraId="42C58ACD" w14:textId="77777777" w:rsidR="003404AF" w:rsidRPr="00CC2E51" w:rsidRDefault="003404AF" w:rsidP="00E03888">
      <w:pPr>
        <w:spacing w:after="0" w:line="480" w:lineRule="auto"/>
        <w:jc w:val="both"/>
        <w:rPr>
          <w:rFonts w:ascii="Times New Roman" w:hAnsi="Times New Roman" w:cs="Times New Roman"/>
          <w:b/>
          <w:sz w:val="24"/>
          <w:szCs w:val="24"/>
        </w:rPr>
      </w:pPr>
      <w:r w:rsidRPr="00CC2E51">
        <w:rPr>
          <w:rFonts w:ascii="Times New Roman" w:hAnsi="Times New Roman" w:cs="Times New Roman"/>
          <w:b/>
          <w:sz w:val="24"/>
          <w:szCs w:val="24"/>
        </w:rPr>
        <w:t>Disk diffusion</w:t>
      </w:r>
    </w:p>
    <w:p w14:paraId="2F6AA27B" w14:textId="77777777" w:rsidR="003404AF" w:rsidRPr="00CC2E51" w:rsidRDefault="003404AF" w:rsidP="00E03888">
      <w:pPr>
        <w:spacing w:after="0" w:line="480" w:lineRule="auto"/>
        <w:jc w:val="both"/>
        <w:rPr>
          <w:rFonts w:ascii="Times New Roman" w:hAnsi="Times New Roman" w:cs="Times New Roman"/>
          <w:bCs/>
          <w:sz w:val="24"/>
          <w:szCs w:val="24"/>
        </w:rPr>
      </w:pPr>
      <w:r w:rsidRPr="00CC2E51">
        <w:rPr>
          <w:rFonts w:ascii="Times New Roman" w:hAnsi="Times New Roman" w:cs="Times New Roman"/>
          <w:bCs/>
          <w:sz w:val="24"/>
          <w:szCs w:val="24"/>
        </w:rPr>
        <w:t xml:space="preserve">Disk diffusion analysis was performed according to the protocol proposed by the Manual Clinical and Laboratory Standards Institute </w:t>
      </w:r>
      <w:r>
        <w:rPr>
          <w:rFonts w:ascii="Times New Roman" w:hAnsi="Times New Roman" w:cs="Times New Roman"/>
          <w:bCs/>
          <w:sz w:val="24"/>
          <w:szCs w:val="24"/>
        </w:rPr>
        <w:fldChar w:fldCharType="begin" w:fldLock="1"/>
      </w:r>
      <w:r>
        <w:rPr>
          <w:rFonts w:ascii="Times New Roman" w:hAnsi="Times New Roman" w:cs="Times New Roman"/>
          <w:bCs/>
          <w:sz w:val="24"/>
          <w:szCs w:val="24"/>
        </w:rPr>
        <w:instrText>ADDIN CSL_CITATION {"citationItems":[{"id":"ITEM-1","itemData":{"abstract":"Clinical and Laboratory Standards Institute (CLSI). 2015. M02-A12: performance standards for antimicrobial disk susceptibility tests; approved standard (12th ed). USA: CLSI. Susceptibility testing is indicated for any organism that contri butes to an infectious process warranting antimicrobial chemoth erapy, if its susceptibility cannot be reliably predicted from knowledge of th e organism’s identity. Susceptibility tests are most often indi cated when the causative organism is thought to belong to a species capable of exhibiting resistance to commonly used antimicrobial agents . A variety of laboratory methods can be used to measure the in vitro susceptibility of bacteria to antimicrobial agents. In many clinical microbiology laboratories, an agar disk diffusion method is used routinely for testing common, rapidly growing, and certain fas tidious bacterial pathogens. Clinical and Laborat ory Standards Institute document M02-A11— Performance Standards for Antimicrobial Disk Susceptibility Tests; Approved Standard—Eleventh Edition includes a series of procedures to standardize the way disk diffusion tests are performed. The performance, applications, and limitations of the current CLSI-recommended methods are also described. The supplemental information (M100 1 tables) presented with this standard represents the most current information for drug selection, interpretation, and quality control using the procedures standardized in M02. These tables, as in previous years, have been upd ated and should replace tables published in earlier years. Change s in the tables since the previous edition (M100-S21 2 ) appear in boldface type and are also summarized in the front of the document.","author":[{"dropping-particle":"","family":"Clinical and Laboratory Standards Institute","given":"","non-dropping-particle":"","parse-names":false,"suffix":""}],"editor":[{"dropping-particle":"","family":"CSLI","given":"","non-dropping-particle":"","parse-names":false,"suffix":""}],"id":"ITEM-1","issued":{"date-parts":[["2018"]]},"number-of-pages":"2162 - 2914","publisher-place":"USA","title":"Performance Standards for Antimicrobial Disk Suspectibility Tests","type":"book","volume":"12"},"uris":["http://www.mendeley.com/documents/?uuid=2b452579-25fe-4099-8ea5-31428f360fd5"]}],"mendeley":{"formattedCitation":"[16]","plainTextFormattedCitation":"[16]","previouslyFormattedCitation":"[16]"},"properties":{"noteIndex":0},"schema":"https://github.com/citation-style-language/schema/raw/master/csl-citation.json"}</w:instrText>
      </w:r>
      <w:r>
        <w:rPr>
          <w:rFonts w:ascii="Times New Roman" w:hAnsi="Times New Roman" w:cs="Times New Roman"/>
          <w:bCs/>
          <w:sz w:val="24"/>
          <w:szCs w:val="24"/>
        </w:rPr>
        <w:fldChar w:fldCharType="separate"/>
      </w:r>
      <w:r w:rsidRPr="00317499">
        <w:rPr>
          <w:rFonts w:ascii="Times New Roman" w:hAnsi="Times New Roman" w:cs="Times New Roman"/>
          <w:bCs/>
          <w:noProof/>
          <w:sz w:val="24"/>
          <w:szCs w:val="24"/>
        </w:rPr>
        <w:t>[16]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sidRPr="00CC2E51">
        <w:rPr>
          <w:rFonts w:ascii="Times New Roman" w:hAnsi="Times New Roman" w:cs="Times New Roman"/>
          <w:bCs/>
          <w:sz w:val="24"/>
          <w:szCs w:val="24"/>
        </w:rPr>
        <w:t>The standardized saline solution containing the inoculum was seeded with the aid of a sterile swab on the surface of plates with Muller-Hinton agar. Then, sterile filter paper discs with a diameter of 6 mm were added. Afterward, 10 µL of each extract (broccoli, kale, and cauliflower) at a concentration of 200 mg/mL were impregnated on the paper disks and plates incubated for 24h at 37ºC. After this period, the inhibition halos were measured with a caliper, and the results were expressed in centimeters.</w:t>
      </w:r>
      <w:r>
        <w:rPr>
          <w:rFonts w:ascii="Times New Roman" w:hAnsi="Times New Roman" w:cs="Times New Roman"/>
          <w:bCs/>
          <w:sz w:val="24"/>
          <w:szCs w:val="24"/>
        </w:rPr>
        <w:t xml:space="preserve"> </w:t>
      </w:r>
    </w:p>
    <w:p w14:paraId="28E81184" w14:textId="77777777" w:rsidR="003404AF" w:rsidRPr="00CC2E51" w:rsidRDefault="003404AF" w:rsidP="00E03888">
      <w:pPr>
        <w:spacing w:after="0" w:line="480" w:lineRule="auto"/>
        <w:jc w:val="both"/>
        <w:rPr>
          <w:rFonts w:ascii="Times New Roman" w:hAnsi="Times New Roman" w:cs="Times New Roman"/>
          <w:b/>
          <w:sz w:val="24"/>
          <w:szCs w:val="24"/>
        </w:rPr>
      </w:pPr>
      <w:r w:rsidRPr="00CC2E51">
        <w:rPr>
          <w:rFonts w:ascii="Times New Roman" w:hAnsi="Times New Roman" w:cs="Times New Roman"/>
          <w:b/>
          <w:sz w:val="24"/>
          <w:szCs w:val="24"/>
        </w:rPr>
        <w:t>Minimum Inhibitory Concentration and Minimum Bactericidal Concentration</w:t>
      </w:r>
    </w:p>
    <w:p w14:paraId="69F4BDB5" w14:textId="77777777" w:rsidR="003404AF" w:rsidRPr="00CC2E51" w:rsidRDefault="003404AF" w:rsidP="00E03888">
      <w:pPr>
        <w:spacing w:line="480" w:lineRule="auto"/>
        <w:jc w:val="both"/>
        <w:rPr>
          <w:rFonts w:ascii="Times New Roman" w:hAnsi="Times New Roman" w:cs="Times New Roman"/>
          <w:sz w:val="24"/>
          <w:szCs w:val="24"/>
        </w:rPr>
      </w:pPr>
      <w:r w:rsidRPr="00CC2E51">
        <w:rPr>
          <w:rFonts w:ascii="Times New Roman" w:hAnsi="Times New Roman" w:cs="Times New Roman"/>
          <w:sz w:val="24"/>
          <w:szCs w:val="24"/>
        </w:rPr>
        <w:t>The Minimum Inhibitory Concentration (MIC) and the Minimum Bactericidal Concentration (MBC) were performed according to the method described by Cabral et al. (2009), with minor modifications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{"citationItems":[{"id":"ITEM-1","itemData":{"DOI":"10.1590/S0100-40422009000600031","ISSN":"16787064","abstract":"Propolis is a resinous hive product collected by honeybees from various plant sources. It has a complex chemical composition, constituted by various phenolic compounds. Extracts of increasing polarity (n-hexane, chloroform, and ethanol) were obtained from a sample of red propolis from the state of Alagoas. Assays were carried out for determination of contents of phenolics, along with antibacterial and antioxidant activities. The EEP, fractions and sub-fractions showed strong biological activities and were related with phenolic the content compounds contents. The sub-fractions were more bioactive than the EEP and fractions, demonstrating that the antioxidant and antibacterial activities are not a result of synergistic effect between the various chemical compounds in propolis.","author":[{"dropping-particle":"","family":"Cabral","given":"Ingridy Simone Ribeiro","non-dropping-particle":"","parse-names":false,"suffix":""},{"dropping-particle":"","family":"Oldoni","given":"Tatiane Luiza Cadorin","non-dropping-particle":"","parse-names":false,"suffix":""},{"dropping-particle":"","family":"Prado","given":"Adna","non-dropping-particle":"","parse-names":false,"suffix":""},{"dropping-particle":"","family":"Bezerra","given":"Rosângela Maria Neves","non-dropping-particle":"","parse-names":false,"suffix":""},{"dropping-particle":"","family":"Alencar","given":"Severino Matias","non-dropping-particle":"De","parse-names":false,"suffix":""},{"dropping-particle":"","family":"Ikegaki","given":"Masaharu","non-dropping-particle":"","parse-names":false,"suffix":""},{"dropping-particle":"","family":"Rosalen","given":"Pedro Luiz","non-dropping-particle":"","parse-names":false,"suffix":""}],"container-title":"Quimica Nova","id":"ITEM-1","issue":"6","issued":{"date-parts":[["2009"]]},"page":"1523-1527","title":"Phenolic composition, antibacterial and antioxidant activities of Brazilian red propolis.","type":"article-journal","volume":"32"},"uris":["http://www.mendeley.com/documents/?uuid=9f25a430-39f3-47cf-a63d-bf82d1d8b0db"]}],"mendeley":{"formattedCitation":"[17]","plainTextFormattedCitation":"[17]","previouslyFormattedCitation":"[17]"},"properties":{"noteIndex":0},"schema":"https://github.com/citation-style-language/schema/raw/master/csl-citation.json"}</w:instrText>
      </w:r>
      <w:r>
        <w:rPr>
          <w:rFonts w:ascii="Times New Roman" w:hAnsi="Times New Roman" w:cs="Times New Roman"/>
          <w:sz w:val="24"/>
          <w:szCs w:val="24"/>
        </w:rPr>
        <w:fldChar w:fldCharType="separate"/>
      </w:r>
      <w:r w:rsidRPr="00317499">
        <w:rPr>
          <w:rFonts w:ascii="Times New Roman" w:hAnsi="Times New Roman" w:cs="Times New Roman"/>
          <w:noProof/>
          <w:sz w:val="24"/>
          <w:szCs w:val="24"/>
        </w:rPr>
        <w:t>[17]</w:t>
      </w:r>
      <w:r>
        <w:rPr>
          <w:rFonts w:ascii="Times New Roman" w:hAnsi="Times New Roman" w:cs="Times New Roman"/>
          <w:sz w:val="24"/>
          <w:szCs w:val="24"/>
        </w:rPr>
        <w:fldChar w:fldCharType="end"/>
      </w:r>
      <w:r w:rsidRPr="00CC2E51">
        <w:rPr>
          <w:rFonts w:ascii="Times New Roman" w:hAnsi="Times New Roman" w:cs="Times New Roman"/>
          <w:sz w:val="24"/>
          <w:szCs w:val="24"/>
        </w:rPr>
        <w:t xml:space="preserve">. At MIC was added 180 µL Brain Heart Infusion Broth, 20 µL inoculum (saline with bacterial growth) and broccoli, kale, and cauliflower extracts in five different concentrations (200, 100, 20, 2, and 0.2 mg/mL) in 96 well plates. After preparation, the plates were evaluated on a spectrophotometer (Spectra Max 190, </w:t>
      </w:r>
      <w:r w:rsidRPr="00CC2E51">
        <w:rPr>
          <w:rFonts w:ascii="Times New Roman" w:hAnsi="Times New Roman" w:cs="Times New Roman"/>
          <w:sz w:val="24"/>
          <w:szCs w:val="24"/>
        </w:rPr>
        <w:lastRenderedPageBreak/>
        <w:t>Molecular Devices, USA) at 620 nm. Then, the incubation was carried out for 24h at 37 ºC, and after, a new spectrophotometer reading was performed.  The MIC was the lowest concentration in which there was no bacterial growth in the culture medium.</w:t>
      </w:r>
    </w:p>
    <w:p w14:paraId="6D1EB0E7" w14:textId="77777777" w:rsidR="003404AF" w:rsidRPr="00CC2E51" w:rsidRDefault="003404AF" w:rsidP="00E03888">
      <w:pPr>
        <w:spacing w:after="0" w:line="480" w:lineRule="auto"/>
        <w:jc w:val="both"/>
        <w:rPr>
          <w:rFonts w:ascii="Times New Roman" w:hAnsi="Times New Roman" w:cs="Times New Roman"/>
          <w:sz w:val="24"/>
          <w:szCs w:val="24"/>
        </w:rPr>
      </w:pPr>
      <w:r w:rsidRPr="00CC2E51">
        <w:rPr>
          <w:rFonts w:ascii="Times New Roman" w:hAnsi="Times New Roman" w:cs="Times New Roman"/>
          <w:sz w:val="24"/>
          <w:szCs w:val="24"/>
        </w:rPr>
        <w:t>The MBC was performed by removing 15 µL from sample wells that had inhibition (MIC) and streaked in Petri dishes with Brain Heart Infusion Agar and incubated for 24 h at 37°C. The minimum bactericidal concentration was considered for plaques where there was no bacterial growth.</w:t>
      </w:r>
    </w:p>
    <w:p w14:paraId="4D757A30" w14:textId="77777777" w:rsidR="003404AF" w:rsidRPr="00CC2E51" w:rsidRDefault="003404AF" w:rsidP="00E03888">
      <w:pPr>
        <w:spacing w:after="0" w:line="480" w:lineRule="auto"/>
        <w:jc w:val="both"/>
        <w:rPr>
          <w:rFonts w:ascii="Times New Roman" w:hAnsi="Times New Roman" w:cs="Times New Roman"/>
          <w:b/>
          <w:bCs/>
          <w:sz w:val="24"/>
          <w:szCs w:val="24"/>
        </w:rPr>
      </w:pPr>
      <w:r w:rsidRPr="00CC2E51">
        <w:rPr>
          <w:rFonts w:ascii="Times New Roman" w:hAnsi="Times New Roman" w:cs="Times New Roman"/>
          <w:b/>
          <w:bCs/>
          <w:sz w:val="24"/>
          <w:szCs w:val="24"/>
        </w:rPr>
        <w:t>Statistical analysis</w:t>
      </w:r>
    </w:p>
    <w:p w14:paraId="2EDD6F69" w14:textId="77777777" w:rsidR="003404AF" w:rsidRPr="00CC2E51" w:rsidRDefault="003404AF" w:rsidP="00E03888">
      <w:pPr>
        <w:spacing w:after="0" w:line="480" w:lineRule="auto"/>
        <w:jc w:val="both"/>
        <w:rPr>
          <w:rFonts w:ascii="Times New Roman" w:eastAsia="MS Mincho" w:hAnsi="Times New Roman" w:cs="Times New Roman"/>
          <w:bCs/>
          <w:sz w:val="24"/>
          <w:szCs w:val="24"/>
        </w:rPr>
      </w:pPr>
      <w:r w:rsidRPr="00CC2E51">
        <w:rPr>
          <w:rFonts w:ascii="Times New Roman" w:eastAsia="MS Mincho" w:hAnsi="Times New Roman" w:cs="Times New Roman"/>
          <w:bCs/>
          <w:sz w:val="24"/>
          <w:szCs w:val="24"/>
        </w:rPr>
        <w:t>Chromatographic data were evaluated by principal component analysis (PCA). Other data were assessed by analysis of variance (ANOVA), followed by the Tukey test using the Statistic</w:t>
      </w:r>
      <w:r>
        <w:rPr>
          <w:rFonts w:ascii="Times New Roman" w:eastAsia="MS Mincho" w:hAnsi="Times New Roman" w:cs="Times New Roman"/>
          <w:bCs/>
          <w:sz w:val="24"/>
          <w:szCs w:val="24"/>
        </w:rPr>
        <w:t xml:space="preserve">s </w:t>
      </w:r>
      <w:r w:rsidRPr="00CC2E51">
        <w:rPr>
          <w:rFonts w:ascii="Times New Roman" w:eastAsia="MS Mincho" w:hAnsi="Times New Roman" w:cs="Times New Roman"/>
          <w:bCs/>
          <w:sz w:val="24"/>
          <w:szCs w:val="24"/>
        </w:rPr>
        <w:t>7.0 program (</w:t>
      </w:r>
      <w:proofErr w:type="spellStart"/>
      <w:r w:rsidRPr="00CC2E51">
        <w:rPr>
          <w:rFonts w:ascii="Times New Roman" w:eastAsia="MS Mincho" w:hAnsi="Times New Roman" w:cs="Times New Roman"/>
          <w:bCs/>
          <w:sz w:val="24"/>
          <w:szCs w:val="24"/>
        </w:rPr>
        <w:t>Statsoft</w:t>
      </w:r>
      <w:proofErr w:type="spellEnd"/>
      <w:r w:rsidRPr="00CC2E51">
        <w:rPr>
          <w:rFonts w:ascii="Times New Roman" w:eastAsia="MS Mincho" w:hAnsi="Times New Roman" w:cs="Times New Roman"/>
          <w:bCs/>
          <w:sz w:val="24"/>
          <w:szCs w:val="24"/>
        </w:rPr>
        <w:t>, USA). Significance was set at a threshold of 5%.</w:t>
      </w:r>
    </w:p>
    <w:bookmarkEnd w:id="0"/>
    <w:p w14:paraId="0007DF2C" w14:textId="77777777" w:rsidR="00B848A7" w:rsidRDefault="00B848A7" w:rsidP="00E03888">
      <w:pPr>
        <w:spacing w:line="480" w:lineRule="auto"/>
      </w:pPr>
    </w:p>
    <w:sectPr w:rsidR="00B848A7" w:rsidSect="005B61A7">
      <w:pgSz w:w="11901" w:h="16817"/>
      <w:pgMar w:top="1134" w:right="567" w:bottom="1134" w:left="1134" w:header="1712"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4AF"/>
    <w:rsid w:val="003404AF"/>
    <w:rsid w:val="005B61A7"/>
    <w:rsid w:val="00691961"/>
    <w:rsid w:val="00720929"/>
    <w:rsid w:val="00B848A7"/>
    <w:rsid w:val="00E0388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CFF1"/>
  <w15:chartTrackingRefBased/>
  <w15:docId w15:val="{FF53AF33-ED6E-7547-ABF9-D9D04AA81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pt-BR" w:eastAsia="en-US" w:bidi="ar-SA"/>
        <w14:ligatures w14:val="standardContextual"/>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404AF"/>
    <w:pPr>
      <w:spacing w:after="160" w:line="259" w:lineRule="auto"/>
    </w:pPr>
    <w:rPr>
      <w:kern w:val="0"/>
      <w:sz w:val="22"/>
      <w:szCs w:val="22"/>
      <w:lang w:val="en-US"/>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3692</Words>
  <Characters>19939</Characters>
  <Application>Microsoft Office Word</Application>
  <DocSecurity>0</DocSecurity>
  <Lines>166</Lines>
  <Paragraphs>47</Paragraphs>
  <ScaleCrop>false</ScaleCrop>
  <Company/>
  <LinksUpToDate>false</LinksUpToDate>
  <CharactersWithSpaces>23584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CHIRLE DE OLIVEIRA RAPHAELLI</dc:creator>
  <cp:keywords/>
  <dc:description/>
  <cp:lastModifiedBy>Microsoft Office User</cp:lastModifiedBy>
  <cp:revision>2</cp:revision>
  <dcterms:created xsi:type="dcterms:W3CDTF">2024-02-28T14:14:00Z</dcterms:created>
  <dcterms:modified xsi:type="dcterms:W3CDTF">2024-03-12T13:45:00Z</dcterms:modified>
</cp:coreProperties>
</file>