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D868E" w14:textId="2B38676E" w:rsidR="00823C72" w:rsidRPr="00E3338F" w:rsidRDefault="00823C72" w:rsidP="00823C72">
      <w:pPr>
        <w:pStyle w:val="Articletitle"/>
        <w:rPr>
          <w:sz w:val="24"/>
          <w:lang w:val="en-US"/>
        </w:rPr>
      </w:pPr>
      <w:r w:rsidRPr="00E3338F">
        <w:rPr>
          <w:sz w:val="24"/>
          <w:lang w:val="en-US"/>
        </w:rPr>
        <w:t xml:space="preserve">Supplemental Material </w:t>
      </w:r>
      <w:r w:rsidR="004A4F89">
        <w:rPr>
          <w:sz w:val="24"/>
          <w:lang w:val="en-US"/>
        </w:rPr>
        <w:t>1</w:t>
      </w:r>
    </w:p>
    <w:p w14:paraId="71B7A64C" w14:textId="3EDB5580" w:rsidR="009B78A1" w:rsidRPr="00E3338F" w:rsidRDefault="009B78A1" w:rsidP="009B78A1">
      <w:pPr>
        <w:pStyle w:val="Articletitle"/>
        <w:jc w:val="center"/>
        <w:rPr>
          <w:sz w:val="24"/>
          <w:lang w:val="en-US"/>
        </w:rPr>
      </w:pPr>
      <w:r w:rsidRPr="00E3338F">
        <w:rPr>
          <w:sz w:val="24"/>
          <w:lang w:val="en-US"/>
        </w:rPr>
        <w:t xml:space="preserve">A Mathematical Explanation for Why Ratio-Based Isotopic Analyses are </w:t>
      </w:r>
      <w:r w:rsidR="00AD5C71" w:rsidRPr="00E3338F">
        <w:rPr>
          <w:sz w:val="24"/>
          <w:lang w:val="en-US"/>
        </w:rPr>
        <w:t>Commonly</w:t>
      </w:r>
      <w:r w:rsidRPr="00E3338F">
        <w:rPr>
          <w:sz w:val="24"/>
          <w:lang w:val="en-US"/>
        </w:rPr>
        <w:t xml:space="preserve"> Misleading: Data Re-evaluations for Sr Isotopes</w:t>
      </w:r>
    </w:p>
    <w:p w14:paraId="796141ED" w14:textId="4DB14A92" w:rsidR="00C01ED2" w:rsidRDefault="009B78A1" w:rsidP="00C01ED2">
      <w:pPr>
        <w:spacing w:after="126"/>
        <w:ind w:left="4126" w:firstLine="0"/>
        <w:rPr>
          <w:rFonts w:ascii="Times New Roman" w:hAnsi="Times New Roman" w:cs="Times New Roman"/>
          <w:szCs w:val="24"/>
        </w:rPr>
      </w:pPr>
      <w:r w:rsidRPr="00E31481">
        <w:rPr>
          <w:rFonts w:ascii="Times New Roman" w:hAnsi="Times New Roman" w:cs="Times New Roman"/>
          <w:b/>
          <w:szCs w:val="24"/>
        </w:rPr>
        <w:t>Abstract</w:t>
      </w:r>
    </w:p>
    <w:p w14:paraId="232B2799" w14:textId="1FCE9182" w:rsidR="00C01ED2" w:rsidRPr="00C40B2D" w:rsidRDefault="009B5A05" w:rsidP="00455505">
      <w:pPr>
        <w:pStyle w:val="Abstract"/>
        <w:spacing w:before="0" w:after="3" w:line="473" w:lineRule="auto"/>
        <w:ind w:left="0" w:right="14"/>
        <w:jc w:val="both"/>
        <w:rPr>
          <w:sz w:val="24"/>
          <w:lang w:val="en-US" w:eastAsia="ja-JP"/>
        </w:rPr>
      </w:pPr>
      <w:r>
        <w:rPr>
          <w:sz w:val="24"/>
          <w:lang w:val="en-US" w:eastAsia="ja-JP"/>
        </w:rPr>
        <w:t>Data from</w:t>
      </w:r>
      <w:r w:rsidR="00C01ED2">
        <w:rPr>
          <w:sz w:val="24"/>
          <w:lang w:val="en-US" w:eastAsia="ja-JP"/>
        </w:rPr>
        <w:t xml:space="preserve"> </w:t>
      </w:r>
      <w:r w:rsidR="00C01ED2">
        <w:rPr>
          <w:sz w:val="24"/>
          <w:vertAlign w:val="superscript"/>
          <w:lang w:val="en-US"/>
        </w:rPr>
        <w:t>87</w:t>
      </w:r>
      <w:r w:rsidR="00C01ED2">
        <w:rPr>
          <w:sz w:val="24"/>
          <w:lang w:val="en-US"/>
        </w:rPr>
        <w:t>Sr:</w:t>
      </w:r>
      <w:r w:rsidR="00C01ED2">
        <w:rPr>
          <w:sz w:val="24"/>
          <w:vertAlign w:val="superscript"/>
          <w:lang w:val="en-US"/>
        </w:rPr>
        <w:t>86</w:t>
      </w:r>
      <w:r w:rsidR="00C01ED2">
        <w:rPr>
          <w:sz w:val="24"/>
          <w:lang w:val="en-US"/>
        </w:rPr>
        <w:t>Sr ratio</w:t>
      </w:r>
      <w:r w:rsidR="00C01ED2">
        <w:rPr>
          <w:sz w:val="24"/>
          <w:lang w:val="en-US" w:eastAsia="ja-JP"/>
        </w:rPr>
        <w:t xml:space="preserve"> </w:t>
      </w:r>
      <w:r>
        <w:rPr>
          <w:sz w:val="24"/>
          <w:lang w:val="en-US" w:eastAsia="ja-JP"/>
        </w:rPr>
        <w:t>studies</w:t>
      </w:r>
      <w:r w:rsidR="00C01ED2">
        <w:rPr>
          <w:sz w:val="24"/>
          <w:lang w:val="en-US" w:eastAsia="ja-JP"/>
        </w:rPr>
        <w:t xml:space="preserve"> spanning major investigative areas of Sr isotope research were </w:t>
      </w:r>
      <w:r w:rsidR="00B523A4">
        <w:rPr>
          <w:sz w:val="24"/>
          <w:lang w:val="en-US" w:eastAsia="ja-JP"/>
        </w:rPr>
        <w:t>re-</w:t>
      </w:r>
      <w:r w:rsidR="00C01ED2">
        <w:rPr>
          <w:sz w:val="24"/>
          <w:lang w:val="en-US" w:eastAsia="ja-JP"/>
        </w:rPr>
        <w:t xml:space="preserve">evaluated to verify </w:t>
      </w:r>
      <w:r>
        <w:rPr>
          <w:sz w:val="24"/>
          <w:lang w:val="en-US" w:eastAsia="ja-JP"/>
        </w:rPr>
        <w:t xml:space="preserve">interpretive difficulties arising from </w:t>
      </w:r>
      <w:r w:rsidR="00C01ED2">
        <w:rPr>
          <w:sz w:val="24"/>
          <w:lang w:val="en-US" w:eastAsia="ja-JP"/>
        </w:rPr>
        <w:t xml:space="preserve">ratio-related mathematical theory. Specifically, source evaluations rather than analyses of ratio-based expressions allow one to better 1) determine migration patterns </w:t>
      </w:r>
      <w:r>
        <w:rPr>
          <w:sz w:val="24"/>
          <w:lang w:val="en-US" w:eastAsia="ja-JP"/>
        </w:rPr>
        <w:t xml:space="preserve">and routes </w:t>
      </w:r>
      <w:r w:rsidR="00C01ED2">
        <w:rPr>
          <w:sz w:val="24"/>
          <w:lang w:val="en-US" w:eastAsia="ja-JP"/>
        </w:rPr>
        <w:t xml:space="preserve">for ancient humans and animals, </w:t>
      </w:r>
      <w:r>
        <w:rPr>
          <w:sz w:val="24"/>
          <w:lang w:val="en-US" w:eastAsia="ja-JP"/>
        </w:rPr>
        <w:t>2</w:t>
      </w:r>
      <w:r w:rsidR="00C01ED2">
        <w:rPr>
          <w:sz w:val="24"/>
          <w:lang w:val="en-US" w:eastAsia="ja-JP"/>
        </w:rPr>
        <w:t xml:space="preserve">) define the dynamics of </w:t>
      </w:r>
      <w:r w:rsidR="00C01ED2">
        <w:rPr>
          <w:sz w:val="24"/>
          <w:vertAlign w:val="superscript"/>
          <w:lang w:val="en-US" w:eastAsia="ja-JP"/>
        </w:rPr>
        <w:t>87</w:t>
      </w:r>
      <w:r w:rsidR="00C01ED2">
        <w:rPr>
          <w:sz w:val="24"/>
          <w:lang w:val="en-US" w:eastAsia="ja-JP"/>
        </w:rPr>
        <w:t>Sr:</w:t>
      </w:r>
      <w:r w:rsidR="00C01ED2">
        <w:rPr>
          <w:sz w:val="24"/>
          <w:vertAlign w:val="superscript"/>
          <w:lang w:val="en-US" w:eastAsia="ja-JP"/>
        </w:rPr>
        <w:t>86</w:t>
      </w:r>
      <w:r w:rsidR="00C01ED2">
        <w:rPr>
          <w:sz w:val="24"/>
          <w:lang w:val="en-US" w:eastAsia="ja-JP"/>
        </w:rPr>
        <w:t xml:space="preserve">Sr isotopic data within a watershed and </w:t>
      </w:r>
      <w:r>
        <w:rPr>
          <w:sz w:val="24"/>
          <w:lang w:val="en-US" w:eastAsia="ja-JP"/>
        </w:rPr>
        <w:t>3</w:t>
      </w:r>
      <w:r w:rsidR="00C01ED2">
        <w:rPr>
          <w:sz w:val="24"/>
          <w:lang w:val="en-US" w:eastAsia="ja-JP"/>
        </w:rPr>
        <w:t>) define Sr sources in a soil</w:t>
      </w:r>
      <w:r w:rsidR="00C01ED2">
        <w:rPr>
          <w:sz w:val="24"/>
          <w:lang w:val="en-US"/>
        </w:rPr>
        <w:t xml:space="preserve">. The </w:t>
      </w:r>
      <w:r w:rsidR="00C01ED2">
        <w:rPr>
          <w:sz w:val="24"/>
          <w:vertAlign w:val="superscript"/>
          <w:lang w:val="en-US"/>
        </w:rPr>
        <w:t>87</w:t>
      </w:r>
      <w:r w:rsidR="00C01ED2">
        <w:rPr>
          <w:sz w:val="24"/>
          <w:lang w:val="en-US"/>
        </w:rPr>
        <w:t>Sr:</w:t>
      </w:r>
      <w:r w:rsidR="00C01ED2">
        <w:rPr>
          <w:sz w:val="24"/>
          <w:vertAlign w:val="superscript"/>
          <w:lang w:val="en-US"/>
        </w:rPr>
        <w:t>86</w:t>
      </w:r>
      <w:r w:rsidR="00C01ED2">
        <w:rPr>
          <w:sz w:val="24"/>
          <w:lang w:val="en-US"/>
        </w:rPr>
        <w:t xml:space="preserve">Sr </w:t>
      </w:r>
      <w:r w:rsidR="00C01ED2">
        <w:rPr>
          <w:sz w:val="24"/>
          <w:lang w:val="en-US" w:eastAsia="ja-JP"/>
        </w:rPr>
        <w:t>ratio changes associated with different times</w:t>
      </w:r>
      <w:r w:rsidR="00F033FD">
        <w:rPr>
          <w:sz w:val="24"/>
          <w:lang w:val="en-US" w:eastAsia="ja-JP"/>
        </w:rPr>
        <w:t>, locations</w:t>
      </w:r>
      <w:r w:rsidR="00C01ED2">
        <w:rPr>
          <w:sz w:val="24"/>
          <w:lang w:val="en-US" w:eastAsia="ja-JP"/>
        </w:rPr>
        <w:t xml:space="preserve"> or conditions do not necessarily reflect source changes. </w:t>
      </w:r>
      <w:r w:rsidR="001A44B6">
        <w:rPr>
          <w:sz w:val="24"/>
          <w:lang w:val="en-US" w:eastAsia="ja-JP"/>
        </w:rPr>
        <w:t>Migration</w:t>
      </w:r>
      <w:r w:rsidR="00F033FD">
        <w:rPr>
          <w:sz w:val="24"/>
          <w:lang w:val="en-US" w:eastAsia="ja-JP"/>
        </w:rPr>
        <w:t xml:space="preserve"> researchers often mistakenly associate an observed ratio </w:t>
      </w:r>
      <w:r w:rsidR="001A44B6">
        <w:rPr>
          <w:sz w:val="24"/>
          <w:lang w:val="en-US" w:eastAsia="ja-JP"/>
        </w:rPr>
        <w:t xml:space="preserve">in an animal </w:t>
      </w:r>
      <w:r w:rsidR="00F033FD">
        <w:rPr>
          <w:sz w:val="24"/>
          <w:lang w:val="en-US" w:eastAsia="ja-JP"/>
        </w:rPr>
        <w:t xml:space="preserve">with a geographic source. </w:t>
      </w:r>
      <w:r w:rsidR="00C40B2D">
        <w:rPr>
          <w:sz w:val="24"/>
          <w:lang w:val="en-US" w:eastAsia="ja-JP"/>
        </w:rPr>
        <w:t xml:space="preserve">Source </w:t>
      </w:r>
      <w:r w:rsidR="00C40B2D" w:rsidRPr="00C40B2D">
        <w:rPr>
          <w:sz w:val="24"/>
          <w:vertAlign w:val="superscript"/>
          <w:lang w:val="en-US" w:eastAsia="ja-JP"/>
        </w:rPr>
        <w:t>87</w:t>
      </w:r>
      <w:r w:rsidR="00C40B2D">
        <w:rPr>
          <w:sz w:val="24"/>
          <w:lang w:val="en-US" w:eastAsia="ja-JP"/>
        </w:rPr>
        <w:t>Sr:</w:t>
      </w:r>
      <w:r w:rsidR="00C40B2D" w:rsidRPr="00C40B2D">
        <w:rPr>
          <w:sz w:val="24"/>
          <w:vertAlign w:val="superscript"/>
          <w:lang w:val="en-US" w:eastAsia="ja-JP"/>
        </w:rPr>
        <w:t>86</w:t>
      </w:r>
      <w:r w:rsidR="00C40B2D">
        <w:rPr>
          <w:sz w:val="24"/>
          <w:lang w:val="en-US" w:eastAsia="ja-JP"/>
        </w:rPr>
        <w:t xml:space="preserve">Sr ratios rather than observed </w:t>
      </w:r>
      <w:r w:rsidR="00C40B2D" w:rsidRPr="00C40B2D">
        <w:rPr>
          <w:sz w:val="24"/>
          <w:vertAlign w:val="superscript"/>
          <w:lang w:val="en-US" w:eastAsia="ja-JP"/>
        </w:rPr>
        <w:t>87</w:t>
      </w:r>
      <w:r w:rsidR="00C40B2D">
        <w:rPr>
          <w:sz w:val="24"/>
          <w:lang w:val="en-US" w:eastAsia="ja-JP"/>
        </w:rPr>
        <w:t>Sr:</w:t>
      </w:r>
      <w:r w:rsidR="00C40B2D" w:rsidRPr="00C40B2D">
        <w:rPr>
          <w:sz w:val="24"/>
          <w:vertAlign w:val="superscript"/>
          <w:lang w:val="en-US" w:eastAsia="ja-JP"/>
        </w:rPr>
        <w:t>86</w:t>
      </w:r>
      <w:r w:rsidR="00C40B2D">
        <w:rPr>
          <w:sz w:val="24"/>
          <w:lang w:val="en-US" w:eastAsia="ja-JP"/>
        </w:rPr>
        <w:t xml:space="preserve">Sr ratios should be used. </w:t>
      </w:r>
      <w:r w:rsidR="001A44B6">
        <w:rPr>
          <w:sz w:val="24"/>
          <w:lang w:val="en-US" w:eastAsia="ja-JP"/>
        </w:rPr>
        <w:t xml:space="preserve">Sources for an animal for a specific time period must also be constant, but this is rarely confirmed. </w:t>
      </w:r>
      <w:r w:rsidR="00C01ED2">
        <w:rPr>
          <w:sz w:val="24"/>
          <w:lang w:val="en-US"/>
        </w:rPr>
        <w:t>Using</w:t>
      </w:r>
      <w:r w:rsidR="00B523A4">
        <w:rPr>
          <w:sz w:val="24"/>
          <w:lang w:val="en-US"/>
        </w:rPr>
        <w:t xml:space="preserve"> unknowingly confounded</w:t>
      </w:r>
      <w:r w:rsidR="00C01ED2">
        <w:rPr>
          <w:sz w:val="24"/>
          <w:lang w:val="en-US"/>
        </w:rPr>
        <w:t xml:space="preserve"> </w:t>
      </w:r>
      <w:r w:rsidR="00C01ED2">
        <w:rPr>
          <w:sz w:val="24"/>
          <w:vertAlign w:val="superscript"/>
          <w:lang w:val="en-US"/>
        </w:rPr>
        <w:t>87</w:t>
      </w:r>
      <w:r w:rsidR="00C01ED2">
        <w:rPr>
          <w:sz w:val="24"/>
          <w:lang w:val="en-US"/>
        </w:rPr>
        <w:t>Sr:</w:t>
      </w:r>
      <w:r w:rsidR="00C01ED2">
        <w:rPr>
          <w:sz w:val="24"/>
          <w:vertAlign w:val="superscript"/>
          <w:lang w:val="en-US"/>
        </w:rPr>
        <w:t>86</w:t>
      </w:r>
      <w:r w:rsidR="00C01ED2">
        <w:rPr>
          <w:sz w:val="24"/>
          <w:lang w:val="en-US"/>
        </w:rPr>
        <w:t>Sr ratios or values calculated from these ratios</w:t>
      </w:r>
      <w:r w:rsidR="00C01ED2">
        <w:rPr>
          <w:sz w:val="24"/>
          <w:lang w:val="en-US" w:eastAsia="ja-JP"/>
        </w:rPr>
        <w:t xml:space="preserve"> </w:t>
      </w:r>
      <w:r w:rsidR="00C01ED2">
        <w:rPr>
          <w:sz w:val="24"/>
          <w:lang w:val="en-US"/>
        </w:rPr>
        <w:t xml:space="preserve">are misleading. Traditional Keeling plots, other forms of mixing diagrams, or analyzing relationships between </w:t>
      </w:r>
      <w:r w:rsidR="00C01ED2">
        <w:rPr>
          <w:sz w:val="24"/>
          <w:vertAlign w:val="superscript"/>
          <w:lang w:val="en-US"/>
        </w:rPr>
        <w:t>86</w:t>
      </w:r>
      <w:r w:rsidR="00C01ED2">
        <w:rPr>
          <w:sz w:val="24"/>
          <w:lang w:val="en-US"/>
        </w:rPr>
        <w:t xml:space="preserve">Sr and </w:t>
      </w:r>
      <w:r w:rsidR="00C01ED2">
        <w:rPr>
          <w:sz w:val="24"/>
          <w:vertAlign w:val="superscript"/>
          <w:lang w:val="en-US"/>
        </w:rPr>
        <w:t>87</w:t>
      </w:r>
      <w:r w:rsidR="00C01ED2">
        <w:rPr>
          <w:sz w:val="24"/>
          <w:lang w:val="en-US"/>
        </w:rPr>
        <w:t xml:space="preserve">Sr concentrations or content should always be evaluated. Slopes for linear </w:t>
      </w:r>
      <w:r w:rsidR="00C01ED2">
        <w:rPr>
          <w:sz w:val="24"/>
          <w:vertAlign w:val="superscript"/>
          <w:lang w:val="en-US"/>
        </w:rPr>
        <w:t>86</w:t>
      </w:r>
      <w:r w:rsidR="00C01ED2">
        <w:rPr>
          <w:sz w:val="24"/>
          <w:lang w:val="en-US"/>
        </w:rPr>
        <w:t xml:space="preserve">Sr vs. </w:t>
      </w:r>
      <w:r w:rsidR="00C01ED2">
        <w:rPr>
          <w:sz w:val="24"/>
          <w:vertAlign w:val="superscript"/>
          <w:lang w:val="en-US"/>
        </w:rPr>
        <w:t>87</w:t>
      </w:r>
      <w:r w:rsidR="00C01ED2">
        <w:rPr>
          <w:sz w:val="24"/>
          <w:lang w:val="en-US"/>
        </w:rPr>
        <w:t>Sr relationships define constant sources. Derivatives (</w:t>
      </w:r>
      <w:r w:rsidR="00C01ED2">
        <w:rPr>
          <w:i/>
          <w:iCs/>
          <w:sz w:val="24"/>
          <w:lang w:val="en-US"/>
        </w:rPr>
        <w:t>d</w:t>
      </w:r>
      <w:r w:rsidR="00C01ED2">
        <w:rPr>
          <w:sz w:val="24"/>
          <w:vertAlign w:val="superscript"/>
          <w:lang w:val="en-US"/>
        </w:rPr>
        <w:t>87</w:t>
      </w:r>
      <w:r w:rsidR="00C01ED2">
        <w:rPr>
          <w:sz w:val="24"/>
          <w:lang w:val="en-US"/>
        </w:rPr>
        <w:t>Sr/</w:t>
      </w:r>
      <w:r w:rsidR="00C01ED2">
        <w:rPr>
          <w:i/>
          <w:iCs/>
          <w:sz w:val="24"/>
          <w:lang w:val="en-US"/>
        </w:rPr>
        <w:t>d</w:t>
      </w:r>
      <w:r w:rsidR="00C01ED2">
        <w:rPr>
          <w:sz w:val="24"/>
          <w:vertAlign w:val="superscript"/>
          <w:lang w:val="en-US"/>
        </w:rPr>
        <w:t>86</w:t>
      </w:r>
      <w:r w:rsidR="00C01ED2">
        <w:rPr>
          <w:sz w:val="24"/>
          <w:lang w:val="en-US"/>
        </w:rPr>
        <w:t>Sr) define changing sources. One would expect mathematical consequences of relying solely on ratio-based expressions apply to non-Sr mass isotope studies.</w:t>
      </w:r>
    </w:p>
    <w:p w14:paraId="499ACDDB" w14:textId="77777777" w:rsidR="00C01ED2" w:rsidRDefault="00C01ED2" w:rsidP="00455505">
      <w:pPr>
        <w:pStyle w:val="Keywords"/>
        <w:spacing w:before="0" w:after="3" w:line="473" w:lineRule="auto"/>
        <w:ind w:left="0" w:right="14"/>
        <w:rPr>
          <w:sz w:val="24"/>
          <w:lang w:val="en-US"/>
        </w:rPr>
      </w:pPr>
      <w:r>
        <w:rPr>
          <w:i/>
          <w:iCs/>
          <w:sz w:val="24"/>
          <w:lang w:val="en-US"/>
        </w:rPr>
        <w:t>Keywords</w:t>
      </w:r>
      <w:r>
        <w:rPr>
          <w:sz w:val="24"/>
          <w:lang w:val="en-US"/>
        </w:rPr>
        <w:t xml:space="preserve">: derivatives; isotopic scaling; isotopic sources; Keeling plots; mixing diagrams </w:t>
      </w:r>
    </w:p>
    <w:p w14:paraId="692374C2" w14:textId="77777777" w:rsidR="00C01ED2" w:rsidRDefault="00C01ED2" w:rsidP="00C01ED2">
      <w:pPr>
        <w:pStyle w:val="Keywords"/>
        <w:spacing w:before="0" w:after="3" w:line="472" w:lineRule="auto"/>
        <w:ind w:left="0" w:right="14"/>
        <w:jc w:val="both"/>
      </w:pPr>
      <w:r>
        <w:br w:type="page"/>
      </w:r>
    </w:p>
    <w:p w14:paraId="104320CE" w14:textId="035FBA4D" w:rsidR="00C01ED2" w:rsidRPr="00E3338F" w:rsidRDefault="00E3338F" w:rsidP="00C01ED2">
      <w:pPr>
        <w:pStyle w:val="Heading1"/>
        <w:tabs>
          <w:tab w:val="center" w:pos="1644"/>
        </w:tabs>
        <w:ind w:left="-15"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C01ED2" w:rsidRPr="00E3338F">
        <w:rPr>
          <w:rFonts w:ascii="Times New Roman" w:hAnsi="Times New Roman" w:cs="Times New Roman"/>
          <w:sz w:val="24"/>
          <w:szCs w:val="24"/>
        </w:rPr>
        <w:t>Introduction</w:t>
      </w:r>
    </w:p>
    <w:p w14:paraId="7A4E28A5" w14:textId="28FAB344" w:rsidR="00C01ED2" w:rsidRDefault="00C01ED2" w:rsidP="00C01ED2">
      <w:pPr>
        <w:pStyle w:val="Paragraph"/>
        <w:spacing w:before="0" w:after="3" w:line="472" w:lineRule="auto"/>
        <w:ind w:right="14"/>
        <w:jc w:val="both"/>
        <w:rPr>
          <w:lang w:val="en-US"/>
        </w:rPr>
      </w:pPr>
      <w:r>
        <w:rPr>
          <w:lang w:val="en-US"/>
        </w:rPr>
        <w:t>Issues related to the use of ratios in scientific research (Atchley et al. 1976; Jackson et al. 1990; Packard and Boardman 1998; Jasienski and Bazzaz 1999; Isles 2020; Kratochvil and Fleger, 2009) have been ignored for decades (Jasienski and Bazzaz 1999; Righetti et al. 2007). In an introductory companion paper (</w:t>
      </w:r>
      <w:r w:rsidR="00C1509C">
        <w:rPr>
          <w:lang w:val="en-US"/>
        </w:rPr>
        <w:t>M</w:t>
      </w:r>
      <w:r w:rsidR="002E56D8">
        <w:rPr>
          <w:lang w:val="en-US"/>
        </w:rPr>
        <w:t>oots</w:t>
      </w:r>
      <w:r w:rsidR="00C1509C">
        <w:rPr>
          <w:lang w:val="en-US"/>
        </w:rPr>
        <w:t xml:space="preserve"> et al.</w:t>
      </w:r>
      <w:r>
        <w:rPr>
          <w:lang w:val="en-US"/>
        </w:rPr>
        <w:t xml:space="preserve"> 202</w:t>
      </w:r>
      <w:r w:rsidR="002E56D8">
        <w:rPr>
          <w:lang w:val="en-US"/>
        </w:rPr>
        <w:t>4</w:t>
      </w:r>
      <w:r>
        <w:rPr>
          <w:lang w:val="en-US"/>
        </w:rPr>
        <w:t>), we demonstrate that there is no reason to expect that isotopic ratios would somehow be immune to ratio problems that have been discussed in the literature for over 100 years. In many cases an isotopic ratio will be related to total isotope concentration (</w:t>
      </w:r>
      <w:r w:rsidR="00C1509C">
        <w:rPr>
          <w:lang w:val="en-US"/>
        </w:rPr>
        <w:t>M</w:t>
      </w:r>
      <w:r w:rsidR="002E56D8">
        <w:rPr>
          <w:lang w:val="en-US"/>
        </w:rPr>
        <w:t>oots</w:t>
      </w:r>
      <w:r w:rsidR="00C1509C">
        <w:rPr>
          <w:lang w:val="en-US"/>
        </w:rPr>
        <w:t xml:space="preserve"> et al.</w:t>
      </w:r>
      <w:r>
        <w:rPr>
          <w:lang w:val="en-US"/>
        </w:rPr>
        <w:t xml:space="preserve"> 202</w:t>
      </w:r>
      <w:r w:rsidR="002E56D8">
        <w:rPr>
          <w:lang w:val="en-US"/>
        </w:rPr>
        <w:t>4</w:t>
      </w:r>
      <w:r>
        <w:rPr>
          <w:lang w:val="en-US"/>
        </w:rPr>
        <w:t>). Isotopic researchers often assume an observed isotopic ratio reflects the source of a system, but this is often not true. Mathematical principles suggest that observed ratios in analyzed samples almost always differ from sources (</w:t>
      </w:r>
      <w:r w:rsidR="00C1509C">
        <w:rPr>
          <w:lang w:val="en-US"/>
        </w:rPr>
        <w:t>M</w:t>
      </w:r>
      <w:r w:rsidR="002E56D8">
        <w:rPr>
          <w:lang w:val="en-US"/>
        </w:rPr>
        <w:t xml:space="preserve">oots </w:t>
      </w:r>
      <w:r w:rsidR="00C1509C">
        <w:rPr>
          <w:lang w:val="en-US"/>
        </w:rPr>
        <w:t xml:space="preserve">et al. </w:t>
      </w:r>
      <w:r>
        <w:rPr>
          <w:lang w:val="en-US"/>
        </w:rPr>
        <w:t>202</w:t>
      </w:r>
      <w:r w:rsidR="002E56D8">
        <w:rPr>
          <w:lang w:val="en-US"/>
        </w:rPr>
        <w:t>4</w:t>
      </w:r>
      <w:r>
        <w:rPr>
          <w:lang w:val="en-US"/>
        </w:rPr>
        <w:t xml:space="preserve">). </w:t>
      </w:r>
    </w:p>
    <w:p w14:paraId="7EB40B88" w14:textId="27B5934A" w:rsidR="00F1188F" w:rsidRDefault="00C01ED2" w:rsidP="00C01ED2">
      <w:pPr>
        <w:pStyle w:val="Newparagraph"/>
        <w:spacing w:after="3" w:line="472" w:lineRule="auto"/>
        <w:ind w:right="14"/>
        <w:jc w:val="both"/>
        <w:rPr>
          <w:lang w:val="en-US"/>
        </w:rPr>
      </w:pPr>
      <w:r>
        <w:rPr>
          <w:lang w:val="en-US"/>
        </w:rPr>
        <w:t>Keeling plots (Keeling 1958) and mixing diagrams (Goede et al. 199</w:t>
      </w:r>
      <w:r w:rsidR="001E51E3">
        <w:rPr>
          <w:lang w:val="en-US"/>
        </w:rPr>
        <w:t>8</w:t>
      </w:r>
      <w:r>
        <w:rPr>
          <w:lang w:val="en-US"/>
        </w:rPr>
        <w:t xml:space="preserve">; Montgomery et al. 2005; </w:t>
      </w:r>
      <w:r w:rsidR="00081057">
        <w:rPr>
          <w:lang w:val="en-US"/>
        </w:rPr>
        <w:t xml:space="preserve">Li et al. 2005; </w:t>
      </w:r>
      <w:r>
        <w:rPr>
          <w:lang w:val="en-US"/>
        </w:rPr>
        <w:t xml:space="preserve">Bentley 2006; Montgomery and Evans 2006) have been accepted approaches to identifying isotopic sources for over 60 years. However, purely mathematical concepts reveal that Keeling plots and isotopic mixing diagrams are indirect ways to calculate the slope and relative </w:t>
      </w:r>
      <w:r>
        <w:rPr>
          <w:i/>
          <w:iCs/>
          <w:lang w:val="en-US"/>
        </w:rPr>
        <w:t>y</w:t>
      </w:r>
      <w:r>
        <w:rPr>
          <w:lang w:val="en-US"/>
        </w:rPr>
        <w:t>-intercepts of linear denominator vs. numerator concentration isotope plots (</w:t>
      </w:r>
      <w:r w:rsidR="00C1509C">
        <w:rPr>
          <w:lang w:val="en-US"/>
        </w:rPr>
        <w:t>M</w:t>
      </w:r>
      <w:r w:rsidR="000A0217">
        <w:rPr>
          <w:lang w:val="en-US"/>
        </w:rPr>
        <w:t>oots</w:t>
      </w:r>
      <w:r w:rsidR="00C1509C">
        <w:rPr>
          <w:lang w:val="en-US"/>
        </w:rPr>
        <w:t xml:space="preserve"> et al. </w:t>
      </w:r>
      <w:r>
        <w:rPr>
          <w:lang w:val="en-US"/>
        </w:rPr>
        <w:t>2</w:t>
      </w:r>
      <w:r w:rsidR="000A0217">
        <w:rPr>
          <w:lang w:val="en-US"/>
        </w:rPr>
        <w:t>024</w:t>
      </w:r>
      <w:r>
        <w:rPr>
          <w:lang w:val="en-US"/>
        </w:rPr>
        <w:t xml:space="preserve">). </w:t>
      </w:r>
    </w:p>
    <w:p w14:paraId="5F812CE0" w14:textId="0924CAF4" w:rsidR="00C01ED2" w:rsidRDefault="00C01ED2" w:rsidP="00C01ED2">
      <w:pPr>
        <w:pStyle w:val="Newparagraph"/>
        <w:spacing w:after="3" w:line="472" w:lineRule="auto"/>
        <w:ind w:right="14"/>
        <w:jc w:val="both"/>
        <w:rPr>
          <w:lang w:val="en-US"/>
        </w:rPr>
      </w:pPr>
      <w:r>
        <w:rPr>
          <w:lang w:val="en-US"/>
        </w:rPr>
        <w:t xml:space="preserve">The only way a zero </w:t>
      </w:r>
      <w:r>
        <w:rPr>
          <w:i/>
          <w:iCs/>
          <w:lang w:val="en-US"/>
        </w:rPr>
        <w:t>y</w:t>
      </w:r>
      <w:r>
        <w:rPr>
          <w:lang w:val="en-US"/>
        </w:rPr>
        <w:t>-intercept for a linear denominator vs. numerator isotope function can mathematically occur is when sources and backgrounds are similar, which will produce flat mixing diagrams and constant isotopic ratios (</w:t>
      </w:r>
      <w:r w:rsidR="00C1509C">
        <w:rPr>
          <w:lang w:val="en-US"/>
        </w:rPr>
        <w:t>M</w:t>
      </w:r>
      <w:r w:rsidR="000A0217">
        <w:rPr>
          <w:lang w:val="en-US"/>
        </w:rPr>
        <w:t>oots</w:t>
      </w:r>
      <w:r w:rsidR="00C1509C">
        <w:rPr>
          <w:lang w:val="en-US"/>
        </w:rPr>
        <w:t xml:space="preserve"> et al. </w:t>
      </w:r>
      <w:r>
        <w:rPr>
          <w:lang w:val="en-US"/>
        </w:rPr>
        <w:t>202</w:t>
      </w:r>
      <w:r w:rsidR="000A0217">
        <w:rPr>
          <w:lang w:val="en-US"/>
        </w:rPr>
        <w:t>4</w:t>
      </w:r>
      <w:r>
        <w:rPr>
          <w:lang w:val="en-US"/>
        </w:rPr>
        <w:t xml:space="preserve">). Therefore, non-zero </w:t>
      </w:r>
      <w:r>
        <w:rPr>
          <w:i/>
          <w:iCs/>
          <w:lang w:val="en-US"/>
        </w:rPr>
        <w:t>y</w:t>
      </w:r>
      <w:r>
        <w:rPr>
          <w:lang w:val="en-US"/>
        </w:rPr>
        <w:t>-intercepts for linear denominator vs. numerator concentration plots are common, suggesting that isotopic ratios will often be related to their denominator or total elemental concentration (</w:t>
      </w:r>
      <w:r w:rsidR="00C1509C">
        <w:rPr>
          <w:lang w:val="en-US"/>
        </w:rPr>
        <w:t>M</w:t>
      </w:r>
      <w:r w:rsidR="000A0217">
        <w:rPr>
          <w:lang w:val="en-US"/>
        </w:rPr>
        <w:t>oots</w:t>
      </w:r>
      <w:r w:rsidR="00C1509C">
        <w:rPr>
          <w:lang w:val="en-US"/>
        </w:rPr>
        <w:t xml:space="preserve"> et al.</w:t>
      </w:r>
      <w:r>
        <w:rPr>
          <w:lang w:val="en-US"/>
        </w:rPr>
        <w:t xml:space="preserve"> 202</w:t>
      </w:r>
      <w:r w:rsidR="000A0217">
        <w:rPr>
          <w:lang w:val="en-US"/>
        </w:rPr>
        <w:t>4</w:t>
      </w:r>
      <w:r>
        <w:rPr>
          <w:lang w:val="en-US"/>
        </w:rPr>
        <w:t xml:space="preserve">). </w:t>
      </w:r>
      <w:r>
        <w:rPr>
          <w:szCs w:val="22"/>
          <w:lang w:val="en-US"/>
        </w:rPr>
        <w:t>Non-linear relationships between denominator vs. numerator isotope concentrations affect how isotopic ratios change with increasing total element concentration in ways that are intuitively difficult to predict (</w:t>
      </w:r>
      <w:r w:rsidR="000A0217">
        <w:rPr>
          <w:szCs w:val="22"/>
          <w:lang w:val="en-US"/>
        </w:rPr>
        <w:t xml:space="preserve">Moots et </w:t>
      </w:r>
      <w:r w:rsidR="00C1509C">
        <w:rPr>
          <w:lang w:val="en-US"/>
        </w:rPr>
        <w:t xml:space="preserve">al. </w:t>
      </w:r>
      <w:r>
        <w:rPr>
          <w:lang w:val="en-US"/>
        </w:rPr>
        <w:t>202</w:t>
      </w:r>
      <w:r w:rsidR="000A0217">
        <w:rPr>
          <w:lang w:val="en-US"/>
        </w:rPr>
        <w:t>4</w:t>
      </w:r>
      <w:r>
        <w:rPr>
          <w:szCs w:val="22"/>
          <w:lang w:val="en-US"/>
        </w:rPr>
        <w:t>). However, derivatives (</w:t>
      </w:r>
      <w:r>
        <w:rPr>
          <w:i/>
          <w:iCs/>
          <w:szCs w:val="22"/>
          <w:lang w:val="en-US"/>
        </w:rPr>
        <w:t>d</w:t>
      </w:r>
      <w:r>
        <w:rPr>
          <w:szCs w:val="22"/>
          <w:lang w:val="en-US"/>
        </w:rPr>
        <w:t>numerator isotope/</w:t>
      </w:r>
      <w:r>
        <w:rPr>
          <w:i/>
          <w:iCs/>
          <w:szCs w:val="22"/>
          <w:lang w:val="en-US"/>
        </w:rPr>
        <w:t>d</w:t>
      </w:r>
      <w:r>
        <w:rPr>
          <w:szCs w:val="22"/>
          <w:lang w:val="en-US"/>
        </w:rPr>
        <w:t>denominator isotope) will define</w:t>
      </w:r>
      <w:r w:rsidR="000A0217">
        <w:rPr>
          <w:lang w:val="en-US"/>
        </w:rPr>
        <w:t xml:space="preserve"> </w:t>
      </w:r>
      <w:r>
        <w:rPr>
          <w:szCs w:val="22"/>
          <w:lang w:val="en-US"/>
        </w:rPr>
        <w:t xml:space="preserve">changing sources. Non-zero </w:t>
      </w:r>
      <w:r>
        <w:rPr>
          <w:i/>
          <w:iCs/>
          <w:szCs w:val="22"/>
          <w:lang w:val="en-US"/>
        </w:rPr>
        <w:t>y</w:t>
      </w:r>
      <w:r>
        <w:rPr>
          <w:szCs w:val="22"/>
          <w:lang w:val="en-US"/>
        </w:rPr>
        <w:t xml:space="preserve">-intercepts quantify </w:t>
      </w:r>
      <w:r w:rsidR="00614B68">
        <w:rPr>
          <w:szCs w:val="22"/>
          <w:lang w:val="en-US"/>
        </w:rPr>
        <w:lastRenderedPageBreak/>
        <w:t xml:space="preserve">relative </w:t>
      </w:r>
      <w:r w:rsidR="00C71444">
        <w:rPr>
          <w:szCs w:val="22"/>
          <w:lang w:val="en-US"/>
        </w:rPr>
        <w:t>backgrounds</w:t>
      </w:r>
      <w:r>
        <w:rPr>
          <w:szCs w:val="22"/>
          <w:lang w:val="en-US"/>
        </w:rPr>
        <w:t xml:space="preserve"> for linear</w:t>
      </w:r>
      <w:r>
        <w:rPr>
          <w:lang w:val="en-US"/>
        </w:rPr>
        <w:t xml:space="preserve"> and</w:t>
      </w:r>
      <w:r>
        <w:rPr>
          <w:szCs w:val="22"/>
          <w:lang w:val="en-US"/>
        </w:rPr>
        <w:t xml:space="preserve"> polynomial functions </w:t>
      </w:r>
      <w:r w:rsidR="004E5A0F">
        <w:rPr>
          <w:szCs w:val="22"/>
          <w:lang w:val="en-US"/>
        </w:rPr>
        <w:t>(</w:t>
      </w:r>
      <w:r w:rsidR="00C1509C">
        <w:rPr>
          <w:lang w:val="en-US"/>
        </w:rPr>
        <w:t>M</w:t>
      </w:r>
      <w:r w:rsidR="00774AFB">
        <w:rPr>
          <w:lang w:val="en-US"/>
        </w:rPr>
        <w:t>oots</w:t>
      </w:r>
      <w:r w:rsidR="00C1509C">
        <w:rPr>
          <w:lang w:val="en-US"/>
        </w:rPr>
        <w:t xml:space="preserve"> et al. </w:t>
      </w:r>
      <w:r w:rsidR="004E5A0F">
        <w:rPr>
          <w:lang w:val="en-US"/>
        </w:rPr>
        <w:t xml:space="preserve"> 202</w:t>
      </w:r>
      <w:r w:rsidR="00774AFB">
        <w:rPr>
          <w:lang w:val="en-US"/>
        </w:rPr>
        <w:t>4</w:t>
      </w:r>
      <w:r w:rsidR="004E5A0F">
        <w:rPr>
          <w:lang w:val="en-US"/>
        </w:rPr>
        <w:t>)</w:t>
      </w:r>
      <w:r>
        <w:rPr>
          <w:bCs/>
          <w:lang w:val="en-US"/>
        </w:rPr>
        <w:t>.</w:t>
      </w:r>
      <w:r w:rsidR="00F1188F">
        <w:rPr>
          <w:bCs/>
          <w:lang w:val="en-US"/>
        </w:rPr>
        <w:t xml:space="preserve"> </w:t>
      </w:r>
      <w:r>
        <w:rPr>
          <w:lang w:val="en-US"/>
        </w:rPr>
        <w:t>Source evaluations (relatively rare in the isotopic literature even when total element concentrations are available) allow researchers to better understand and interpret isotopic studies and should always accompany isotopic ratio data.</w:t>
      </w:r>
    </w:p>
    <w:p w14:paraId="64451AED" w14:textId="3F66F820" w:rsidR="00E3338F" w:rsidRPr="00F85A7D" w:rsidRDefault="00C01ED2" w:rsidP="00F85A7D">
      <w:pPr>
        <w:pStyle w:val="Heading1"/>
        <w:tabs>
          <w:tab w:val="center" w:pos="1644"/>
        </w:tabs>
        <w:ind w:left="-15" w:firstLine="0"/>
        <w:jc w:val="both"/>
        <w:rPr>
          <w:rFonts w:ascii="Times New Roman" w:hAnsi="Times New Roman" w:cs="Times New Roman"/>
          <w:sz w:val="24"/>
          <w:szCs w:val="24"/>
        </w:rPr>
      </w:pPr>
      <w:r w:rsidRPr="00E3338F">
        <w:rPr>
          <w:rFonts w:ascii="Times New Roman" w:hAnsi="Times New Roman" w:cs="Times New Roman"/>
          <w:sz w:val="24"/>
          <w:szCs w:val="24"/>
        </w:rPr>
        <w:t>2</w:t>
      </w:r>
      <w:r w:rsidRPr="00E3338F">
        <w:rPr>
          <w:rFonts w:ascii="Times New Roman" w:hAnsi="Times New Roman" w:cs="Times New Roman"/>
          <w:sz w:val="24"/>
          <w:szCs w:val="24"/>
        </w:rPr>
        <w:tab/>
        <w:t xml:space="preserve">      Background and Motivation</w:t>
      </w:r>
    </w:p>
    <w:p w14:paraId="0ED7E258" w14:textId="5B6F9F74" w:rsidR="00C01ED2" w:rsidRDefault="00C01ED2" w:rsidP="00C01ED2">
      <w:pPr>
        <w:pStyle w:val="Paragraph"/>
        <w:spacing w:before="0" w:after="3" w:line="472" w:lineRule="auto"/>
        <w:ind w:right="144"/>
        <w:jc w:val="both"/>
        <w:rPr>
          <w:rStyle w:val="Heading4Char"/>
          <w:rFonts w:asciiTheme="majorBidi" w:hAnsiTheme="majorBidi" w:cstheme="majorBidi"/>
          <w:lang w:val="en-US"/>
        </w:rPr>
      </w:pPr>
      <w:r>
        <w:rPr>
          <w:lang w:val="en-US"/>
        </w:rPr>
        <w:t>This presentation builds on a mathematical</w:t>
      </w:r>
      <w:r>
        <w:rPr>
          <w:rStyle w:val="Heading4Char"/>
          <w:rFonts w:asciiTheme="majorBidi" w:hAnsiTheme="majorBidi" w:cstheme="majorBidi"/>
          <w:lang w:val="en-US"/>
        </w:rPr>
        <w:t xml:space="preserve"> explanation for why ratio-based isotopic data is </w:t>
      </w:r>
      <w:r w:rsidR="00AD5C71">
        <w:rPr>
          <w:rStyle w:val="Heading4Char"/>
          <w:rFonts w:asciiTheme="majorBidi" w:hAnsiTheme="majorBidi" w:cstheme="majorBidi"/>
          <w:lang w:val="en-US"/>
        </w:rPr>
        <w:t>commonly</w:t>
      </w:r>
      <w:r>
        <w:rPr>
          <w:rStyle w:val="Heading4Char"/>
          <w:rFonts w:asciiTheme="majorBidi" w:hAnsiTheme="majorBidi" w:cstheme="majorBidi"/>
          <w:lang w:val="en-US"/>
        </w:rPr>
        <w:t xml:space="preserve"> misleading. The simple theoretical concepts using </w:t>
      </w:r>
      <w:r>
        <w:rPr>
          <w:rStyle w:val="Heading4Char"/>
          <w:rFonts w:asciiTheme="majorBidi" w:hAnsiTheme="majorBidi" w:cstheme="majorBidi"/>
          <w:vertAlign w:val="superscript"/>
          <w:lang w:val="en-US"/>
        </w:rPr>
        <w:t>87</w:t>
      </w:r>
      <w:r>
        <w:rPr>
          <w:rStyle w:val="Heading4Char"/>
          <w:rFonts w:asciiTheme="majorBidi" w:hAnsiTheme="majorBidi" w:cstheme="majorBidi"/>
          <w:lang w:val="en-US"/>
        </w:rPr>
        <w:t>Sr:</w:t>
      </w:r>
      <w:r>
        <w:rPr>
          <w:rStyle w:val="Heading4Char"/>
          <w:rFonts w:asciiTheme="majorBidi" w:hAnsiTheme="majorBidi" w:cstheme="majorBidi"/>
          <w:vertAlign w:val="superscript"/>
          <w:lang w:val="en-US"/>
        </w:rPr>
        <w:t>86</w:t>
      </w:r>
      <w:r>
        <w:rPr>
          <w:rStyle w:val="Heading4Char"/>
          <w:rFonts w:asciiTheme="majorBidi" w:hAnsiTheme="majorBidi" w:cstheme="majorBidi"/>
          <w:lang w:val="en-US"/>
        </w:rPr>
        <w:t>Sr ratios as an example (</w:t>
      </w:r>
      <w:r w:rsidR="00774AFB">
        <w:rPr>
          <w:lang w:val="en-US"/>
        </w:rPr>
        <w:t>Moots</w:t>
      </w:r>
      <w:r w:rsidR="00C1509C">
        <w:rPr>
          <w:lang w:val="en-US"/>
        </w:rPr>
        <w:t xml:space="preserve"> et al.</w:t>
      </w:r>
      <w:r>
        <w:rPr>
          <w:lang w:val="en-US"/>
        </w:rPr>
        <w:t xml:space="preserve"> 202</w:t>
      </w:r>
      <w:r w:rsidR="00774AFB">
        <w:rPr>
          <w:lang w:val="en-US"/>
        </w:rPr>
        <w:t>4</w:t>
      </w:r>
      <w:r>
        <w:rPr>
          <w:rStyle w:val="Heading4Char"/>
          <w:rFonts w:asciiTheme="majorBidi" w:hAnsiTheme="majorBidi" w:cstheme="majorBidi"/>
          <w:lang w:val="en-US"/>
        </w:rPr>
        <w:t xml:space="preserve">) are supplemented </w:t>
      </w:r>
      <w:r w:rsidR="00697138">
        <w:rPr>
          <w:rStyle w:val="Heading4Char"/>
          <w:rFonts w:asciiTheme="majorBidi" w:hAnsiTheme="majorBidi" w:cstheme="majorBidi"/>
          <w:lang w:val="en-US"/>
        </w:rPr>
        <w:t xml:space="preserve">here </w:t>
      </w:r>
      <w:r>
        <w:rPr>
          <w:rStyle w:val="Heading4Char"/>
          <w:rFonts w:asciiTheme="majorBidi" w:hAnsiTheme="majorBidi" w:cstheme="majorBidi"/>
          <w:lang w:val="en-US"/>
        </w:rPr>
        <w:t xml:space="preserve">with </w:t>
      </w:r>
      <w:r w:rsidR="00F2335E">
        <w:rPr>
          <w:rStyle w:val="Heading4Char"/>
          <w:rFonts w:asciiTheme="majorBidi" w:hAnsiTheme="majorBidi" w:cstheme="majorBidi"/>
          <w:lang w:val="en-US"/>
        </w:rPr>
        <w:t>five</w:t>
      </w:r>
      <w:r>
        <w:rPr>
          <w:rStyle w:val="Heading4Char"/>
          <w:rFonts w:asciiTheme="majorBidi" w:hAnsiTheme="majorBidi" w:cstheme="majorBidi"/>
          <w:lang w:val="en-US"/>
        </w:rPr>
        <w:t xml:space="preserve"> Sr isotope </w:t>
      </w:r>
      <w:r w:rsidR="004E5A0F">
        <w:rPr>
          <w:rStyle w:val="Heading4Char"/>
          <w:rFonts w:asciiTheme="majorBidi" w:hAnsiTheme="majorBidi" w:cstheme="majorBidi"/>
          <w:lang w:val="en-US"/>
        </w:rPr>
        <w:t>re-evaluations</w:t>
      </w:r>
      <w:r>
        <w:rPr>
          <w:rStyle w:val="Heading4Char"/>
          <w:rFonts w:asciiTheme="majorBidi" w:hAnsiTheme="majorBidi" w:cstheme="majorBidi"/>
          <w:lang w:val="en-US"/>
        </w:rPr>
        <w:t xml:space="preserve"> from the literature</w:t>
      </w:r>
      <w:r w:rsidR="007865C5">
        <w:rPr>
          <w:rStyle w:val="Heading4Char"/>
          <w:rFonts w:asciiTheme="majorBidi" w:hAnsiTheme="majorBidi" w:cstheme="majorBidi"/>
          <w:lang w:val="en-US"/>
        </w:rPr>
        <w:t>.</w:t>
      </w:r>
      <w:r>
        <w:rPr>
          <w:rStyle w:val="Heading4Char"/>
          <w:rFonts w:asciiTheme="majorBidi" w:hAnsiTheme="majorBidi" w:cstheme="majorBidi"/>
          <w:lang w:val="en-US"/>
        </w:rPr>
        <w:t xml:space="preserve"> Sr isotopes were used both to demonstrate mathematical principles in </w:t>
      </w:r>
      <w:r w:rsidR="00C1509C">
        <w:rPr>
          <w:lang w:val="en-US"/>
        </w:rPr>
        <w:t>M</w:t>
      </w:r>
      <w:r w:rsidR="00774AFB">
        <w:rPr>
          <w:lang w:val="en-US"/>
        </w:rPr>
        <w:t xml:space="preserve">oots </w:t>
      </w:r>
      <w:r w:rsidR="00C1509C">
        <w:rPr>
          <w:lang w:val="en-US"/>
        </w:rPr>
        <w:t>et al.</w:t>
      </w:r>
      <w:r>
        <w:rPr>
          <w:lang w:val="en-US"/>
        </w:rPr>
        <w:t xml:space="preserve"> (202</w:t>
      </w:r>
      <w:r w:rsidR="00774AFB">
        <w:rPr>
          <w:lang w:val="en-US"/>
        </w:rPr>
        <w:t>4</w:t>
      </w:r>
      <w:r>
        <w:rPr>
          <w:rStyle w:val="Heading4Char"/>
          <w:rFonts w:asciiTheme="majorBidi" w:hAnsiTheme="majorBidi" w:cstheme="majorBidi"/>
          <w:lang w:val="en-US"/>
        </w:rPr>
        <w:t xml:space="preserve">) and in the first set of examples here, because </w:t>
      </w:r>
      <w:r>
        <w:rPr>
          <w:rStyle w:val="Heading4Char"/>
          <w:rFonts w:asciiTheme="majorBidi" w:hAnsiTheme="majorBidi" w:cstheme="majorBidi"/>
          <w:vertAlign w:val="superscript"/>
          <w:lang w:val="en-US"/>
        </w:rPr>
        <w:t>87</w:t>
      </w:r>
      <w:r>
        <w:rPr>
          <w:rStyle w:val="Heading4Char"/>
          <w:rFonts w:asciiTheme="majorBidi" w:hAnsiTheme="majorBidi" w:cstheme="majorBidi"/>
          <w:lang w:val="en-US"/>
        </w:rPr>
        <w:t>Sr:</w:t>
      </w:r>
      <w:r>
        <w:rPr>
          <w:rStyle w:val="Heading4Char"/>
          <w:rFonts w:asciiTheme="majorBidi" w:hAnsiTheme="majorBidi" w:cstheme="majorBidi"/>
          <w:vertAlign w:val="superscript"/>
          <w:lang w:val="en-US"/>
        </w:rPr>
        <w:t>86</w:t>
      </w:r>
      <w:r>
        <w:rPr>
          <w:rStyle w:val="Heading4Char"/>
          <w:rFonts w:asciiTheme="majorBidi" w:hAnsiTheme="majorBidi" w:cstheme="majorBidi"/>
          <w:lang w:val="en-US"/>
        </w:rPr>
        <w:t xml:space="preserve">Sr ratios are less confusing than the delta notation used for other common isotopes. </w:t>
      </w:r>
    </w:p>
    <w:p w14:paraId="05E620C0" w14:textId="3A178012" w:rsidR="00255BC1" w:rsidRPr="00E3338F" w:rsidRDefault="00C01ED2" w:rsidP="00A62633">
      <w:pPr>
        <w:pStyle w:val="Heading1"/>
        <w:tabs>
          <w:tab w:val="center" w:pos="1627"/>
        </w:tabs>
        <w:spacing w:line="264" w:lineRule="auto"/>
        <w:ind w:left="-14" w:firstLine="0"/>
        <w:jc w:val="both"/>
        <w:rPr>
          <w:rFonts w:ascii="Times New Roman" w:hAnsi="Times New Roman" w:cs="Times New Roman"/>
          <w:sz w:val="24"/>
          <w:szCs w:val="24"/>
        </w:rPr>
      </w:pPr>
      <w:r w:rsidRPr="00E3338F">
        <w:rPr>
          <w:rFonts w:ascii="Times New Roman" w:hAnsi="Times New Roman" w:cs="Times New Roman"/>
          <w:sz w:val="24"/>
          <w:szCs w:val="24"/>
        </w:rPr>
        <w:t>3</w:t>
      </w:r>
      <w:r w:rsidR="00255BC1" w:rsidRPr="00E3338F">
        <w:rPr>
          <w:rFonts w:ascii="Times New Roman" w:hAnsi="Times New Roman" w:cs="Times New Roman"/>
          <w:sz w:val="24"/>
          <w:szCs w:val="24"/>
        </w:rPr>
        <w:t xml:space="preserve">      Methods</w:t>
      </w:r>
    </w:p>
    <w:p w14:paraId="5D9D8395" w14:textId="552E310B" w:rsidR="005C3122" w:rsidRPr="00023D70" w:rsidRDefault="005C3122" w:rsidP="00BD6872">
      <w:pPr>
        <w:pStyle w:val="Paragraph"/>
        <w:spacing w:before="0" w:after="3" w:line="473" w:lineRule="auto"/>
        <w:ind w:right="144"/>
        <w:jc w:val="both"/>
        <w:rPr>
          <w:bCs/>
          <w:lang w:val="en-US"/>
        </w:rPr>
      </w:pPr>
      <w:r w:rsidRPr="00023D70">
        <w:rPr>
          <w:lang w:val="en-US"/>
        </w:rPr>
        <w:t xml:space="preserve">We </w:t>
      </w:r>
      <w:r w:rsidR="007865C5">
        <w:rPr>
          <w:lang w:val="en-US"/>
        </w:rPr>
        <w:t>re-evaluate</w:t>
      </w:r>
      <w:r w:rsidRPr="00023D70">
        <w:rPr>
          <w:bCs/>
          <w:lang w:val="en-US"/>
        </w:rPr>
        <w:t xml:space="preserve"> the following publications:</w:t>
      </w:r>
      <w:r w:rsidRPr="00023D70">
        <w:rPr>
          <w:lang w:val="en-US"/>
        </w:rPr>
        <w:t xml:space="preserve"> (</w:t>
      </w:r>
      <w:r w:rsidRPr="00023D70">
        <w:rPr>
          <w:iCs/>
          <w:lang w:val="en-US"/>
        </w:rPr>
        <w:t xml:space="preserve">1) </w:t>
      </w:r>
      <w:r w:rsidRPr="00023D70">
        <w:rPr>
          <w:lang w:val="en-US"/>
        </w:rPr>
        <w:t>Montgomery and Evans (2006)</w:t>
      </w:r>
      <w:r>
        <w:rPr>
          <w:lang w:val="en-US"/>
        </w:rPr>
        <w:t>,</w:t>
      </w:r>
      <w:r w:rsidRPr="00023D70">
        <w:rPr>
          <w:lang w:val="en-US"/>
        </w:rPr>
        <w:t xml:space="preserve"> (2) Horstwood et al. (2008)</w:t>
      </w:r>
      <w:r>
        <w:rPr>
          <w:lang w:val="en-US"/>
        </w:rPr>
        <w:t>,</w:t>
      </w:r>
      <w:r w:rsidRPr="00023D70">
        <w:rPr>
          <w:lang w:val="en-US"/>
        </w:rPr>
        <w:t xml:space="preserve"> </w:t>
      </w:r>
      <w:r>
        <w:rPr>
          <w:lang w:val="en-US"/>
        </w:rPr>
        <w:t xml:space="preserve">(3) Kowalik et al. (2023) </w:t>
      </w:r>
      <w:r w:rsidRPr="00023D70">
        <w:rPr>
          <w:lang w:val="en-US"/>
        </w:rPr>
        <w:t>and (</w:t>
      </w:r>
      <w:r w:rsidR="00F2335E">
        <w:rPr>
          <w:lang w:val="en-US"/>
        </w:rPr>
        <w:t>4</w:t>
      </w:r>
      <w:r w:rsidRPr="00023D70">
        <w:rPr>
          <w:lang w:val="en-US"/>
        </w:rPr>
        <w:t>) Bail</w:t>
      </w:r>
      <w:r>
        <w:rPr>
          <w:lang w:val="en-US"/>
        </w:rPr>
        <w:t>e</w:t>
      </w:r>
      <w:r w:rsidRPr="00023D70">
        <w:rPr>
          <w:lang w:val="en-US"/>
        </w:rPr>
        <w:t>y et al. (1996). Publications (1)-(</w:t>
      </w:r>
      <w:r w:rsidR="00F2335E">
        <w:rPr>
          <w:lang w:val="en-US"/>
        </w:rPr>
        <w:t>4</w:t>
      </w:r>
      <w:r w:rsidRPr="00023D70">
        <w:rPr>
          <w:lang w:val="en-US"/>
        </w:rPr>
        <w:t xml:space="preserve">) refer to studies on Sr sources in human teeth, migration possibilities for an ancient cow, </w:t>
      </w:r>
      <w:r>
        <w:rPr>
          <w:lang w:val="en-US"/>
        </w:rPr>
        <w:t>migration possibilities for a European mammoth</w:t>
      </w:r>
      <w:r w:rsidRPr="00023D70">
        <w:rPr>
          <w:lang w:val="en-US"/>
        </w:rPr>
        <w:t xml:space="preserve">, and water </w:t>
      </w:r>
      <w:r w:rsidR="0029590C">
        <w:rPr>
          <w:lang w:val="en-US"/>
        </w:rPr>
        <w:t xml:space="preserve">Sr dynamics </w:t>
      </w:r>
      <w:r w:rsidRPr="00023D70">
        <w:rPr>
          <w:lang w:val="en-US"/>
        </w:rPr>
        <w:t xml:space="preserve">from a river inlet respectively. </w:t>
      </w:r>
      <w:r>
        <w:rPr>
          <w:lang w:val="en-US"/>
        </w:rPr>
        <w:t xml:space="preserve">Another dataset, Whipkey et al. (2000) that deals with Sr sources in soil, is </w:t>
      </w:r>
      <w:r w:rsidR="00BD6872">
        <w:rPr>
          <w:lang w:val="en-US"/>
        </w:rPr>
        <w:t xml:space="preserve">also </w:t>
      </w:r>
      <w:r>
        <w:rPr>
          <w:lang w:val="en-US"/>
        </w:rPr>
        <w:t>presented</w:t>
      </w:r>
      <w:r w:rsidR="00BD6872">
        <w:rPr>
          <w:lang w:val="en-US"/>
        </w:rPr>
        <w:t>.</w:t>
      </w:r>
      <w:r>
        <w:rPr>
          <w:lang w:val="en-US"/>
        </w:rPr>
        <w:t xml:space="preserve"> This is the original data that was modified to create the first artificial example (</w:t>
      </w:r>
      <w:r w:rsidR="00FC6B0D">
        <w:rPr>
          <w:lang w:val="en-US"/>
        </w:rPr>
        <w:t>main text</w:t>
      </w:r>
      <w:r w:rsidR="00BD6872">
        <w:rPr>
          <w:lang w:val="en-US"/>
        </w:rPr>
        <w:t>)</w:t>
      </w:r>
      <w:r w:rsidR="00497544">
        <w:rPr>
          <w:lang w:val="en-US"/>
        </w:rPr>
        <w:t>.</w:t>
      </w:r>
      <w:r w:rsidR="00BD6872">
        <w:rPr>
          <w:lang w:val="en-US"/>
        </w:rPr>
        <w:t xml:space="preserve"> </w:t>
      </w:r>
      <w:r w:rsidRPr="00023D70">
        <w:rPr>
          <w:lang w:val="en-US"/>
        </w:rPr>
        <w:t xml:space="preserve">For the Bailey et al. (1996) dataset an obvious outlier (shown in Figure </w:t>
      </w:r>
      <w:r w:rsidR="00BB2D99">
        <w:rPr>
          <w:lang w:val="en-US"/>
        </w:rPr>
        <w:t>S2</w:t>
      </w:r>
      <w:r w:rsidRPr="00023D70">
        <w:rPr>
          <w:lang w:val="en-US"/>
        </w:rPr>
        <w:t>a) was removed before analysis to eliminate a point statistically identified as having an excessive residual and excessive leverage.</w:t>
      </w:r>
    </w:p>
    <w:p w14:paraId="674D31F1" w14:textId="6C49BF7C" w:rsidR="005C3122" w:rsidRPr="00023D70" w:rsidRDefault="005C3122" w:rsidP="005C3122">
      <w:pPr>
        <w:pStyle w:val="Newparagraph"/>
        <w:spacing w:after="3" w:line="473" w:lineRule="auto"/>
        <w:ind w:right="144"/>
        <w:jc w:val="both"/>
        <w:rPr>
          <w:bCs/>
          <w:lang w:val="en-US"/>
        </w:rPr>
      </w:pPr>
      <w:r w:rsidRPr="00023D70">
        <w:rPr>
          <w:lang w:val="en-US"/>
        </w:rPr>
        <w:t xml:space="preserve">Producing </w:t>
      </w:r>
      <w:r w:rsidRPr="00023D70">
        <w:rPr>
          <w:vertAlign w:val="superscript"/>
          <w:lang w:val="en-US"/>
        </w:rPr>
        <w:t>86</w:t>
      </w:r>
      <w:r w:rsidRPr="00023D70">
        <w:rPr>
          <w:lang w:val="en-US"/>
        </w:rPr>
        <w:t xml:space="preserve">Sr vs. </w:t>
      </w:r>
      <w:r w:rsidRPr="00023D70">
        <w:rPr>
          <w:vertAlign w:val="superscript"/>
          <w:lang w:val="en-US"/>
        </w:rPr>
        <w:t>87</w:t>
      </w:r>
      <w:r w:rsidRPr="00023D70">
        <w:rPr>
          <w:lang w:val="en-US"/>
        </w:rPr>
        <w:t xml:space="preserve">Sr plots </w:t>
      </w:r>
      <w:r w:rsidR="006401CC">
        <w:rPr>
          <w:lang w:val="en-US"/>
        </w:rPr>
        <w:t xml:space="preserve">were conducted as stated in </w:t>
      </w:r>
      <w:r w:rsidR="0052226F">
        <w:rPr>
          <w:lang w:val="en-US"/>
        </w:rPr>
        <w:t>the</w:t>
      </w:r>
      <w:r w:rsidR="006401CC">
        <w:rPr>
          <w:lang w:val="en-US"/>
        </w:rPr>
        <w:t xml:space="preserve"> </w:t>
      </w:r>
      <w:r w:rsidR="00FC6B0D">
        <w:rPr>
          <w:lang w:val="en-US"/>
        </w:rPr>
        <w:t>main text</w:t>
      </w:r>
      <w:r w:rsidR="006401CC">
        <w:rPr>
          <w:lang w:val="en-US"/>
        </w:rPr>
        <w:t xml:space="preserve">. </w:t>
      </w:r>
      <w:r w:rsidR="006129D3" w:rsidRPr="00023D70">
        <w:rPr>
          <w:lang w:val="en-US"/>
        </w:rPr>
        <w:t xml:space="preserve">The constant </w:t>
      </w:r>
      <w:r w:rsidR="006129D3" w:rsidRPr="00023D70">
        <w:rPr>
          <w:vertAlign w:val="superscript"/>
          <w:lang w:val="en-US"/>
        </w:rPr>
        <w:t>87</w:t>
      </w:r>
      <w:r w:rsidR="006129D3" w:rsidRPr="00023D70">
        <w:rPr>
          <w:lang w:val="en-US"/>
        </w:rPr>
        <w:t xml:space="preserve">Sr plus </w:t>
      </w:r>
      <w:r w:rsidR="006129D3" w:rsidRPr="00023D70">
        <w:rPr>
          <w:vertAlign w:val="superscript"/>
          <w:lang w:val="en-US"/>
        </w:rPr>
        <w:t>86</w:t>
      </w:r>
      <w:r w:rsidR="006129D3" w:rsidRPr="00023D70">
        <w:rPr>
          <w:lang w:val="en-US"/>
        </w:rPr>
        <w:t xml:space="preserve">Sr assumption is not perfect as portions of </w:t>
      </w:r>
      <w:r w:rsidR="006129D3">
        <w:rPr>
          <w:lang w:val="en-US"/>
        </w:rPr>
        <w:t xml:space="preserve">total </w:t>
      </w:r>
      <w:r w:rsidR="006129D3" w:rsidRPr="00023D70">
        <w:rPr>
          <w:lang w:val="en-US"/>
        </w:rPr>
        <w:t xml:space="preserve">isotope can change. </w:t>
      </w:r>
      <w:r w:rsidR="006401CC">
        <w:rPr>
          <w:lang w:val="en-US"/>
        </w:rPr>
        <w:t>The</w:t>
      </w:r>
      <w:r w:rsidR="006129D3">
        <w:rPr>
          <w:lang w:val="en-US"/>
        </w:rPr>
        <w:t>refore, the</w:t>
      </w:r>
      <w:r w:rsidR="006401CC">
        <w:rPr>
          <w:lang w:val="en-US"/>
        </w:rPr>
        <w:t xml:space="preserve"> three different </w:t>
      </w:r>
      <w:r w:rsidRPr="00023D70">
        <w:rPr>
          <w:lang w:val="en-US"/>
        </w:rPr>
        <w:t xml:space="preserve">assumptions </w:t>
      </w:r>
      <w:r w:rsidR="006401CC">
        <w:rPr>
          <w:lang w:val="en-US"/>
        </w:rPr>
        <w:t xml:space="preserve">discussed previously </w:t>
      </w:r>
      <w:r w:rsidR="007865C5">
        <w:rPr>
          <w:lang w:val="en-US"/>
        </w:rPr>
        <w:t xml:space="preserve">(main text) </w:t>
      </w:r>
      <w:r w:rsidR="006401CC">
        <w:rPr>
          <w:lang w:val="en-US"/>
        </w:rPr>
        <w:t>were evaluated with the Montgomery and Evans (2006) dataset.</w:t>
      </w:r>
      <w:r w:rsidRPr="00023D70">
        <w:rPr>
          <w:lang w:val="en-US"/>
        </w:rPr>
        <w:t xml:space="preserve"> </w:t>
      </w:r>
      <w:r w:rsidR="006129D3">
        <w:rPr>
          <w:lang w:val="en-US"/>
        </w:rPr>
        <w:t>T</w:t>
      </w:r>
      <w:r w:rsidRPr="00023D70">
        <w:rPr>
          <w:lang w:val="en-US"/>
        </w:rPr>
        <w:t xml:space="preserve">he generally accepted 1/total Sr mixing line estimate </w:t>
      </w:r>
      <w:r w:rsidRPr="00023D70">
        <w:rPr>
          <w:lang w:val="en-US"/>
        </w:rPr>
        <w:lastRenderedPageBreak/>
        <w:t xml:space="preserve">for the indigenous </w:t>
      </w:r>
      <w:r w:rsidR="005A35EE">
        <w:rPr>
          <w:lang w:val="en-US"/>
        </w:rPr>
        <w:t xml:space="preserve">non-migrating </w:t>
      </w:r>
      <w:r w:rsidRPr="00023D70">
        <w:rPr>
          <w:lang w:val="en-US"/>
        </w:rPr>
        <w:t>group, which requires no assumptions, produces a source value of 0.709084, which is very close to the 1/</w:t>
      </w:r>
      <w:r w:rsidRPr="00023D70">
        <w:rPr>
          <w:vertAlign w:val="superscript"/>
          <w:lang w:val="en-US"/>
        </w:rPr>
        <w:t>86</w:t>
      </w:r>
      <w:r w:rsidRPr="00023D70">
        <w:rPr>
          <w:lang w:val="en-US"/>
        </w:rPr>
        <w:t xml:space="preserve">Sr mixing line estimate for the constant </w:t>
      </w:r>
      <w:r w:rsidRPr="00023D70">
        <w:rPr>
          <w:vertAlign w:val="superscript"/>
          <w:lang w:val="en-US"/>
        </w:rPr>
        <w:t>86</w:t>
      </w:r>
      <w:r w:rsidRPr="00023D70">
        <w:rPr>
          <w:lang w:val="en-US"/>
        </w:rPr>
        <w:t xml:space="preserve">Sr plus </w:t>
      </w:r>
      <w:r w:rsidRPr="00023D70">
        <w:rPr>
          <w:vertAlign w:val="superscript"/>
          <w:lang w:val="en-US"/>
        </w:rPr>
        <w:t>87</w:t>
      </w:r>
      <w:r w:rsidRPr="00023D70">
        <w:rPr>
          <w:lang w:val="en-US"/>
        </w:rPr>
        <w:t xml:space="preserve">Sr assumption (0.709083) for the Montgomery </w:t>
      </w:r>
      <w:r w:rsidR="00563EA2">
        <w:rPr>
          <w:lang w:val="en-US"/>
        </w:rPr>
        <w:t xml:space="preserve">and Evans </w:t>
      </w:r>
      <w:r w:rsidRPr="00023D70">
        <w:rPr>
          <w:lang w:val="en-US"/>
        </w:rPr>
        <w:t>(2006) dataset (Figure</w:t>
      </w:r>
      <w:r>
        <w:rPr>
          <w:lang w:val="en-US"/>
        </w:rPr>
        <w:t xml:space="preserve"> </w:t>
      </w:r>
      <w:r w:rsidR="00BB2D99">
        <w:rPr>
          <w:lang w:val="en-US"/>
        </w:rPr>
        <w:t>S1</w:t>
      </w:r>
      <w:r w:rsidRPr="00023D70">
        <w:rPr>
          <w:lang w:val="en-US"/>
        </w:rPr>
        <w:t>c). Both 1/total Sr and 1/</w:t>
      </w:r>
      <w:r w:rsidRPr="00023D70">
        <w:rPr>
          <w:vertAlign w:val="superscript"/>
          <w:lang w:val="en-US"/>
        </w:rPr>
        <w:t>86</w:t>
      </w:r>
      <w:r w:rsidRPr="00023D70">
        <w:rPr>
          <w:lang w:val="en-US"/>
        </w:rPr>
        <w:t xml:space="preserve">Sr mixing lines </w:t>
      </w:r>
      <w:r w:rsidRPr="00023D70">
        <w:rPr>
          <w:i/>
          <w:iCs/>
          <w:lang w:val="en-US"/>
        </w:rPr>
        <w:t>y</w:t>
      </w:r>
      <w:r w:rsidRPr="00023D70">
        <w:rPr>
          <w:lang w:val="en-US"/>
        </w:rPr>
        <w:t xml:space="preserve">-intercepts are also very close to the </w:t>
      </w:r>
      <w:r w:rsidRPr="00023D70">
        <w:rPr>
          <w:vertAlign w:val="superscript"/>
          <w:lang w:val="en-US"/>
        </w:rPr>
        <w:t>86</w:t>
      </w:r>
      <w:r w:rsidRPr="00023D70">
        <w:rPr>
          <w:lang w:val="en-US"/>
        </w:rPr>
        <w:t xml:space="preserve">Sr vs. </w:t>
      </w:r>
      <w:r w:rsidRPr="00023D70">
        <w:rPr>
          <w:vertAlign w:val="superscript"/>
          <w:lang w:val="en-US"/>
        </w:rPr>
        <w:t>87</w:t>
      </w:r>
      <w:r w:rsidRPr="00023D70">
        <w:rPr>
          <w:lang w:val="en-US"/>
        </w:rPr>
        <w:t xml:space="preserve">Sr slope (0.709061) in Figure </w:t>
      </w:r>
      <w:r w:rsidR="006B0657">
        <w:rPr>
          <w:lang w:val="en-US"/>
        </w:rPr>
        <w:t>S</w:t>
      </w:r>
      <w:r>
        <w:rPr>
          <w:lang w:val="en-US"/>
        </w:rPr>
        <w:t>1</w:t>
      </w:r>
      <w:r w:rsidRPr="00023D70">
        <w:rPr>
          <w:lang w:val="en-US"/>
        </w:rPr>
        <w:t xml:space="preserve">b. </w:t>
      </w:r>
      <w:r w:rsidRPr="00023D70">
        <w:rPr>
          <w:szCs w:val="22"/>
          <w:lang w:val="en-US"/>
        </w:rPr>
        <w:t xml:space="preserve">Furthermore, small differences in portion of total element for a given isotope are dwarfed by total element concentration effects. </w:t>
      </w:r>
      <w:r w:rsidRPr="00023D70">
        <w:rPr>
          <w:lang w:val="en-US"/>
        </w:rPr>
        <w:t xml:space="preserve">Therefore, the </w:t>
      </w:r>
      <w:r w:rsidRPr="00023D70">
        <w:rPr>
          <w:vertAlign w:val="superscript"/>
          <w:lang w:val="en-US"/>
        </w:rPr>
        <w:t>86</w:t>
      </w:r>
      <w:r w:rsidRPr="00023D70">
        <w:rPr>
          <w:lang w:val="en-US"/>
        </w:rPr>
        <w:t xml:space="preserve">Sr vs. </w:t>
      </w:r>
      <w:r w:rsidRPr="00023D70">
        <w:rPr>
          <w:vertAlign w:val="superscript"/>
          <w:lang w:val="en-US"/>
        </w:rPr>
        <w:t>87</w:t>
      </w:r>
      <w:r w:rsidRPr="00023D70">
        <w:rPr>
          <w:lang w:val="en-US"/>
        </w:rPr>
        <w:t>Sr slope</w:t>
      </w:r>
      <w:r>
        <w:rPr>
          <w:lang w:val="en-US"/>
        </w:rPr>
        <w:t>,</w:t>
      </w:r>
      <w:r w:rsidRPr="00023D70">
        <w:rPr>
          <w:lang w:val="en-US"/>
        </w:rPr>
        <w:t xml:space="preserve"> calculated with a constant </w:t>
      </w:r>
      <w:r w:rsidRPr="00023D70">
        <w:rPr>
          <w:vertAlign w:val="superscript"/>
          <w:lang w:val="en-US"/>
        </w:rPr>
        <w:t>87</w:t>
      </w:r>
      <w:r w:rsidRPr="00023D70">
        <w:rPr>
          <w:lang w:val="en-US"/>
        </w:rPr>
        <w:t>Sr</w:t>
      </w:r>
      <w:r w:rsidRPr="00023D70">
        <w:rPr>
          <w:bCs/>
          <w:lang w:val="en-US"/>
        </w:rPr>
        <w:t xml:space="preserve"> plus </w:t>
      </w:r>
      <w:r w:rsidRPr="00023D70">
        <w:rPr>
          <w:bCs/>
          <w:vertAlign w:val="superscript"/>
          <w:lang w:val="en-US"/>
        </w:rPr>
        <w:t>86</w:t>
      </w:r>
      <w:r w:rsidRPr="00023D70">
        <w:rPr>
          <w:bCs/>
          <w:lang w:val="en-US"/>
        </w:rPr>
        <w:t xml:space="preserve">Sr portion assumption, </w:t>
      </w:r>
      <w:r w:rsidR="007865C5">
        <w:rPr>
          <w:bCs/>
          <w:lang w:val="en-US"/>
        </w:rPr>
        <w:t xml:space="preserve">which produces slope and </w:t>
      </w:r>
      <w:r w:rsidR="007865C5" w:rsidRPr="007865C5">
        <w:rPr>
          <w:bCs/>
          <w:i/>
          <w:iCs/>
          <w:lang w:val="en-US"/>
        </w:rPr>
        <w:t>y</w:t>
      </w:r>
      <w:r w:rsidR="007865C5">
        <w:rPr>
          <w:bCs/>
          <w:lang w:val="en-US"/>
        </w:rPr>
        <w:t xml:space="preserve">-intercept values intermediate to the other two assumptions </w:t>
      </w:r>
      <w:r w:rsidRPr="00023D70">
        <w:rPr>
          <w:bCs/>
          <w:lang w:val="en-US"/>
        </w:rPr>
        <w:t xml:space="preserve">is likely appropriate. </w:t>
      </w:r>
    </w:p>
    <w:p w14:paraId="40D88753" w14:textId="192A6293" w:rsidR="00255BC1" w:rsidRPr="00E3338F" w:rsidRDefault="00C01ED2" w:rsidP="00A62633">
      <w:pPr>
        <w:pStyle w:val="Heading1"/>
        <w:tabs>
          <w:tab w:val="center" w:pos="1627"/>
        </w:tabs>
        <w:spacing w:line="264" w:lineRule="auto"/>
        <w:ind w:left="-14" w:firstLine="0"/>
        <w:jc w:val="both"/>
        <w:rPr>
          <w:rFonts w:ascii="Times New Roman" w:hAnsi="Times New Roman" w:cs="Times New Roman"/>
          <w:sz w:val="24"/>
          <w:szCs w:val="24"/>
        </w:rPr>
      </w:pPr>
      <w:r w:rsidRPr="00E3338F">
        <w:rPr>
          <w:rFonts w:ascii="Times New Roman" w:hAnsi="Times New Roman" w:cs="Times New Roman"/>
          <w:sz w:val="24"/>
          <w:szCs w:val="24"/>
        </w:rPr>
        <w:t>4</w:t>
      </w:r>
      <w:r w:rsidR="00255BC1" w:rsidRPr="00E3338F">
        <w:rPr>
          <w:rFonts w:ascii="Times New Roman" w:hAnsi="Times New Roman" w:cs="Times New Roman"/>
          <w:sz w:val="24"/>
          <w:szCs w:val="24"/>
        </w:rPr>
        <w:t xml:space="preserve">      Data </w:t>
      </w:r>
      <w:r w:rsidR="00A84C57" w:rsidRPr="00E3338F">
        <w:rPr>
          <w:rFonts w:ascii="Times New Roman" w:hAnsi="Times New Roman" w:cs="Times New Roman"/>
          <w:sz w:val="24"/>
          <w:szCs w:val="24"/>
        </w:rPr>
        <w:t>Re-e</w:t>
      </w:r>
      <w:r w:rsidR="00255BC1" w:rsidRPr="00E3338F">
        <w:rPr>
          <w:rFonts w:ascii="Times New Roman" w:hAnsi="Times New Roman" w:cs="Times New Roman"/>
          <w:sz w:val="24"/>
          <w:szCs w:val="24"/>
        </w:rPr>
        <w:t>valuations</w:t>
      </w:r>
    </w:p>
    <w:p w14:paraId="6A140912" w14:textId="5BFE3F73" w:rsidR="0016102D" w:rsidRPr="00023D70" w:rsidRDefault="00DF5498" w:rsidP="0016102D">
      <w:pPr>
        <w:pStyle w:val="Paragraph"/>
        <w:spacing w:before="0" w:after="3" w:line="473" w:lineRule="auto"/>
        <w:ind w:right="14"/>
        <w:jc w:val="both"/>
        <w:rPr>
          <w:lang w:val="en-US"/>
        </w:rPr>
      </w:pPr>
      <w:r>
        <w:rPr>
          <w:lang w:val="en-US"/>
        </w:rPr>
        <w:t>I</w:t>
      </w:r>
      <w:r w:rsidR="0016102D" w:rsidRPr="00023D70">
        <w:rPr>
          <w:lang w:val="en-US"/>
        </w:rPr>
        <w:t xml:space="preserve">sotopic datasets from Sr isotope studies (presented below) suggest that the theoretical concepts demonstrated with artificial </w:t>
      </w:r>
      <w:r w:rsidR="0016102D" w:rsidRPr="00023D70">
        <w:rPr>
          <w:vertAlign w:val="superscript"/>
          <w:lang w:val="en-US"/>
        </w:rPr>
        <w:t>87</w:t>
      </w:r>
      <w:r w:rsidR="0016102D" w:rsidRPr="00023D70">
        <w:rPr>
          <w:lang w:val="en-US"/>
        </w:rPr>
        <w:t>Sr:</w:t>
      </w:r>
      <w:r w:rsidR="0016102D" w:rsidRPr="00023D70">
        <w:rPr>
          <w:vertAlign w:val="superscript"/>
          <w:lang w:val="en-US"/>
        </w:rPr>
        <w:t>86</w:t>
      </w:r>
      <w:r w:rsidR="0016102D" w:rsidRPr="00023D70">
        <w:rPr>
          <w:lang w:val="en-US"/>
        </w:rPr>
        <w:t xml:space="preserve">Sr ratio datasets and simulations </w:t>
      </w:r>
      <w:r w:rsidR="009707AF">
        <w:rPr>
          <w:lang w:val="en-US"/>
        </w:rPr>
        <w:t>(</w:t>
      </w:r>
      <w:r w:rsidR="00C1509C">
        <w:rPr>
          <w:lang w:val="en-US"/>
        </w:rPr>
        <w:t>M</w:t>
      </w:r>
      <w:r w:rsidR="00774AFB">
        <w:rPr>
          <w:lang w:val="en-US"/>
        </w:rPr>
        <w:t xml:space="preserve">oots </w:t>
      </w:r>
      <w:r w:rsidR="00C1509C">
        <w:rPr>
          <w:lang w:val="en-US"/>
        </w:rPr>
        <w:t xml:space="preserve">et al. </w:t>
      </w:r>
      <w:r w:rsidR="009707AF">
        <w:rPr>
          <w:lang w:val="en-US"/>
        </w:rPr>
        <w:t>202</w:t>
      </w:r>
      <w:r w:rsidR="00774AFB">
        <w:rPr>
          <w:lang w:val="en-US"/>
        </w:rPr>
        <w:t>4</w:t>
      </w:r>
      <w:r w:rsidR="009707AF">
        <w:rPr>
          <w:lang w:val="en-US"/>
        </w:rPr>
        <w:t xml:space="preserve">) </w:t>
      </w:r>
      <w:r w:rsidR="0016102D" w:rsidRPr="00023D70">
        <w:rPr>
          <w:lang w:val="en-US"/>
        </w:rPr>
        <w:t xml:space="preserve">apply. </w:t>
      </w:r>
    </w:p>
    <w:p w14:paraId="1DACF532" w14:textId="48739423" w:rsidR="0016102D" w:rsidRPr="0016102D" w:rsidRDefault="00C01ED2" w:rsidP="0016102D">
      <w:pPr>
        <w:pStyle w:val="Heading1"/>
        <w:spacing w:after="3" w:line="473" w:lineRule="auto"/>
        <w:ind w:left="0" w:right="14"/>
        <w:jc w:val="both"/>
        <w:rPr>
          <w:rFonts w:ascii="Times New Roman" w:hAnsi="Times New Roman" w:cs="Times New Roman"/>
          <w:b w:val="0"/>
          <w:sz w:val="24"/>
          <w:szCs w:val="24"/>
        </w:rPr>
      </w:pPr>
      <w:r>
        <w:rPr>
          <w:rFonts w:ascii="Times New Roman" w:hAnsi="Times New Roman" w:cs="Times New Roman"/>
          <w:sz w:val="24"/>
          <w:szCs w:val="24"/>
        </w:rPr>
        <w:t>4</w:t>
      </w:r>
      <w:r w:rsidR="0016102D" w:rsidRPr="0016102D">
        <w:rPr>
          <w:rFonts w:ascii="Times New Roman" w:hAnsi="Times New Roman" w:cs="Times New Roman"/>
          <w:sz w:val="24"/>
          <w:szCs w:val="24"/>
        </w:rPr>
        <w:t xml:space="preserve">.1 Studies 1), 2) and 3) Sr Sources Suggest Ancient Migration Patterns for Human Populations, Movements for an Ancient Bovine and a Prehistoric Mammoth. </w:t>
      </w:r>
    </w:p>
    <w:p w14:paraId="0F474A18" w14:textId="77777777" w:rsidR="0016102D" w:rsidRPr="00023D70" w:rsidRDefault="0016102D" w:rsidP="0016102D">
      <w:pPr>
        <w:pStyle w:val="Paragraph"/>
        <w:spacing w:before="0" w:after="3" w:line="473" w:lineRule="auto"/>
        <w:ind w:right="14"/>
        <w:jc w:val="both"/>
        <w:rPr>
          <w:lang w:val="en-US"/>
        </w:rPr>
      </w:pPr>
      <w:r w:rsidRPr="00023D70">
        <w:rPr>
          <w:lang w:val="en-US"/>
        </w:rPr>
        <w:t xml:space="preserve">Knowing how isotopic sources change within a landscape can help answer scientific questions regarding the sources, partitioning, or provenance of natural materials or organisms via their </w:t>
      </w:r>
      <w:hyperlink r:id="rId8" w:tooltip="Isotopic signature" w:history="1">
        <w:r w:rsidRPr="00023D70">
          <w:rPr>
            <w:lang w:val="en-US"/>
          </w:rPr>
          <w:t>isotopic signatures</w:t>
        </w:r>
      </w:hyperlink>
      <w:r w:rsidRPr="00023D70">
        <w:rPr>
          <w:lang w:val="en-US"/>
        </w:rPr>
        <w:t xml:space="preserve"> (West et al. 2009; Bataille et al. 2020). Applications include resolving questions about </w:t>
      </w:r>
      <w:hyperlink r:id="rId9" w:tooltip="Human migration" w:history="1">
        <w:r w:rsidRPr="00023D70">
          <w:rPr>
            <w:lang w:val="en-US"/>
          </w:rPr>
          <w:t>migration</w:t>
        </w:r>
      </w:hyperlink>
      <w:r w:rsidRPr="00023D70">
        <w:rPr>
          <w:lang w:val="en-US"/>
        </w:rPr>
        <w:t xml:space="preserve">, Earth's </w:t>
      </w:r>
      <w:hyperlink r:id="rId10" w:tooltip="Biogeochemical cycle" w:history="1">
        <w:r w:rsidRPr="00023D70">
          <w:rPr>
            <w:lang w:val="en-US"/>
          </w:rPr>
          <w:t>element cycles</w:t>
        </w:r>
      </w:hyperlink>
      <w:r w:rsidRPr="00023D70">
        <w:rPr>
          <w:lang w:val="en-US"/>
        </w:rPr>
        <w:t xml:space="preserve">, </w:t>
      </w:r>
      <w:hyperlink r:id="rId11" w:tooltip="Water resources" w:history="1">
        <w:r w:rsidRPr="00023D70">
          <w:rPr>
            <w:lang w:val="en-US"/>
          </w:rPr>
          <w:t>human water use</w:t>
        </w:r>
      </w:hyperlink>
      <w:r w:rsidRPr="00023D70">
        <w:rPr>
          <w:lang w:val="en-US"/>
        </w:rPr>
        <w:t xml:space="preserve">, </w:t>
      </w:r>
      <w:hyperlink r:id="rId12" w:tooltip="Climate" w:history="1">
        <w:r w:rsidRPr="00023D70">
          <w:rPr>
            <w:lang w:val="en-US"/>
          </w:rPr>
          <w:t>climate</w:t>
        </w:r>
      </w:hyperlink>
      <w:r w:rsidRPr="00023D70">
        <w:rPr>
          <w:lang w:val="en-US"/>
        </w:rPr>
        <w:t xml:space="preserve">, </w:t>
      </w:r>
      <w:hyperlink r:id="rId13" w:tooltip="Archaeology" w:history="1">
        <w:r w:rsidRPr="00023D70">
          <w:rPr>
            <w:lang w:val="en-US"/>
          </w:rPr>
          <w:t>archaeological reconstructions</w:t>
        </w:r>
      </w:hyperlink>
      <w:r w:rsidRPr="00023D70">
        <w:rPr>
          <w:lang w:val="en-US"/>
        </w:rPr>
        <w:t xml:space="preserve">, </w:t>
      </w:r>
      <w:hyperlink r:id="rId14" w:tooltip="Forensic science" w:history="1">
        <w:r w:rsidRPr="00023D70">
          <w:rPr>
            <w:lang w:val="en-US"/>
          </w:rPr>
          <w:t>forensic science</w:t>
        </w:r>
      </w:hyperlink>
      <w:r w:rsidRPr="00023D70">
        <w:rPr>
          <w:lang w:val="en-US"/>
        </w:rPr>
        <w:t xml:space="preserve">, and </w:t>
      </w:r>
      <w:hyperlink r:id="rId15" w:tooltip="Pollution" w:history="1">
        <w:r w:rsidRPr="00023D70">
          <w:rPr>
            <w:lang w:val="en-US"/>
          </w:rPr>
          <w:t>pollution</w:t>
        </w:r>
      </w:hyperlink>
      <w:r w:rsidRPr="00023D70">
        <w:rPr>
          <w:lang w:val="en-US"/>
        </w:rPr>
        <w:t xml:space="preserve"> (West et al. 2009; Bataille et al. 2020). </w:t>
      </w:r>
    </w:p>
    <w:p w14:paraId="3CF246C5" w14:textId="5FA1E44F" w:rsidR="0016102D" w:rsidRPr="00023D70" w:rsidRDefault="0016102D" w:rsidP="0016102D">
      <w:pPr>
        <w:pStyle w:val="Newparagraph"/>
        <w:spacing w:after="3" w:line="473" w:lineRule="auto"/>
        <w:ind w:right="14"/>
        <w:jc w:val="both"/>
        <w:rPr>
          <w:lang w:val="en-US"/>
        </w:rPr>
      </w:pPr>
      <w:r w:rsidRPr="00023D70">
        <w:rPr>
          <w:lang w:val="en-US"/>
        </w:rPr>
        <w:t xml:space="preserve">An isoscape is essentially a map of changing isotopic signatures that represents possible sources made from either geographic samples or mechanistic models (Bataille et al. 2020). Isoscapes </w:t>
      </w:r>
      <w:r w:rsidR="00040A0F">
        <w:rPr>
          <w:lang w:val="en-US"/>
        </w:rPr>
        <w:t>for</w:t>
      </w:r>
      <w:r w:rsidRPr="00023D70">
        <w:rPr>
          <w:lang w:val="en-US"/>
        </w:rPr>
        <w:t xml:space="preserve"> </w:t>
      </w:r>
      <w:hyperlink r:id="rId16" w:tooltip="Hydrogen" w:history="1">
        <w:r w:rsidRPr="00023D70">
          <w:rPr>
            <w:lang w:val="en-US"/>
          </w:rPr>
          <w:t>H</w:t>
        </w:r>
      </w:hyperlink>
      <w:r w:rsidRPr="00023D70">
        <w:rPr>
          <w:lang w:val="en-US"/>
        </w:rPr>
        <w:t xml:space="preserve">, </w:t>
      </w:r>
      <w:hyperlink r:id="rId17" w:tooltip="Carbon" w:history="1">
        <w:r w:rsidRPr="00023D70">
          <w:rPr>
            <w:lang w:val="en-US"/>
          </w:rPr>
          <w:t>C</w:t>
        </w:r>
      </w:hyperlink>
      <w:r w:rsidRPr="00023D70">
        <w:rPr>
          <w:lang w:val="en-US"/>
        </w:rPr>
        <w:t xml:space="preserve">, </w:t>
      </w:r>
      <w:hyperlink r:id="rId18" w:tooltip="Oxygen" w:history="1">
        <w:r w:rsidRPr="00023D70">
          <w:rPr>
            <w:lang w:val="en-US"/>
          </w:rPr>
          <w:t>O</w:t>
        </w:r>
      </w:hyperlink>
      <w:r w:rsidRPr="00023D70">
        <w:rPr>
          <w:lang w:val="en-US"/>
        </w:rPr>
        <w:t xml:space="preserve">, </w:t>
      </w:r>
      <w:hyperlink r:id="rId19" w:tooltip="Nitrogen" w:history="1">
        <w:r w:rsidRPr="00023D70">
          <w:rPr>
            <w:lang w:val="en-US"/>
          </w:rPr>
          <w:t>N</w:t>
        </w:r>
      </w:hyperlink>
      <w:r w:rsidRPr="00023D70">
        <w:rPr>
          <w:lang w:val="en-US"/>
        </w:rPr>
        <w:t xml:space="preserve">, Sr and </w:t>
      </w:r>
      <w:hyperlink r:id="rId20" w:tooltip="Sulfur" w:history="1">
        <w:r w:rsidRPr="00023D70">
          <w:rPr>
            <w:lang w:val="en-US"/>
          </w:rPr>
          <w:t>S</w:t>
        </w:r>
      </w:hyperlink>
      <w:r w:rsidRPr="00023D70">
        <w:rPr>
          <w:lang w:val="en-US"/>
        </w:rPr>
        <w:t xml:space="preserve"> isotopes have been created for many locations and applications (West et al. 2009; Bataille et al. 2020). Isoscape researchers often match observed isotopic ratios with similar source isotopic ratios for specific locations to define geographical relationships. For example, migration patterns over a lifetime for an Alaskan wooly mammoth (</w:t>
      </w:r>
      <w:r w:rsidRPr="00023D70">
        <w:rPr>
          <w:i/>
          <w:iCs/>
          <w:lang w:val="en-US"/>
        </w:rPr>
        <w:t>Mammuthus primigenius</w:t>
      </w:r>
      <w:r w:rsidRPr="00023D70">
        <w:rPr>
          <w:lang w:val="en-US"/>
        </w:rPr>
        <w:t xml:space="preserve">) that lived </w:t>
      </w:r>
      <w:r w:rsidR="00040A0F">
        <w:rPr>
          <w:lang w:val="en-US"/>
        </w:rPr>
        <w:t>in Alaska</w:t>
      </w:r>
      <w:r w:rsidRPr="00023D70">
        <w:rPr>
          <w:lang w:val="en-US"/>
        </w:rPr>
        <w:t xml:space="preserve">17,000 years ago were derived from </w:t>
      </w:r>
      <w:r w:rsidRPr="00023D70">
        <w:rPr>
          <w:vertAlign w:val="superscript"/>
          <w:lang w:val="en-US"/>
        </w:rPr>
        <w:t>87</w:t>
      </w:r>
      <w:r w:rsidRPr="00023D70">
        <w:rPr>
          <w:lang w:val="en-US"/>
        </w:rPr>
        <w:t>Sr:</w:t>
      </w:r>
      <w:r w:rsidRPr="00023D70">
        <w:rPr>
          <w:vertAlign w:val="superscript"/>
          <w:lang w:val="en-US"/>
        </w:rPr>
        <w:t>86</w:t>
      </w:r>
      <w:r w:rsidRPr="00023D70">
        <w:rPr>
          <w:lang w:val="en-US"/>
        </w:rPr>
        <w:t xml:space="preserve">Sr ratios in layers of </w:t>
      </w:r>
      <w:r w:rsidRPr="00023D70">
        <w:rPr>
          <w:lang w:val="en-US"/>
        </w:rPr>
        <w:lastRenderedPageBreak/>
        <w:t>a tusk that correspond to different animal ages (Wool</w:t>
      </w:r>
      <w:r>
        <w:rPr>
          <w:lang w:val="en-US"/>
        </w:rPr>
        <w:t>l</w:t>
      </w:r>
      <w:r w:rsidRPr="00023D70">
        <w:rPr>
          <w:lang w:val="en-US"/>
        </w:rPr>
        <w:t>er et al. 2021). Similarly, tooth enamel from the 5,000-year-old corpse of a prehistoric murdered human (The Ice Man) were analyzed for Sr, Pb, O and C isotopic ratios</w:t>
      </w:r>
      <w:r>
        <w:rPr>
          <w:lang w:val="en-US"/>
        </w:rPr>
        <w:t xml:space="preserve"> (Muller et al. 2003)</w:t>
      </w:r>
      <w:r w:rsidRPr="00023D70">
        <w:rPr>
          <w:lang w:val="en-US"/>
        </w:rPr>
        <w:t>. Data suggest that this individual spent most of his life some distance from where the body was found (Muller et al. 2003). As explained below, however, without source analyses both mammoth and Ice Man reports are inconclusive.</w:t>
      </w:r>
    </w:p>
    <w:p w14:paraId="3591DB6B" w14:textId="233935A7" w:rsidR="0016102D" w:rsidRPr="006A7C98" w:rsidRDefault="0016102D" w:rsidP="0016102D">
      <w:pPr>
        <w:pStyle w:val="Newparagraph"/>
        <w:spacing w:after="3" w:line="473" w:lineRule="auto"/>
        <w:ind w:right="14"/>
        <w:jc w:val="both"/>
        <w:rPr>
          <w:b/>
          <w:lang w:val="en-US"/>
        </w:rPr>
      </w:pPr>
      <w:r w:rsidRPr="00023D70">
        <w:rPr>
          <w:lang w:val="en-US"/>
        </w:rPr>
        <w:t xml:space="preserve">An implicit assumption for determining geographic inferences from isotopic data is that observed isotopic ratios </w:t>
      </w:r>
      <w:r w:rsidR="000B7EA8">
        <w:rPr>
          <w:lang w:val="en-US"/>
        </w:rPr>
        <w:t xml:space="preserve">in animal or human tissues </w:t>
      </w:r>
      <w:r w:rsidRPr="00023D70">
        <w:rPr>
          <w:lang w:val="en-US"/>
        </w:rPr>
        <w:t xml:space="preserve">are related to sources. Without evaluations of total element (not conducted in the majority of isoscape-related research studies) true sources are often unknown. </w:t>
      </w:r>
      <w:r w:rsidR="00853266">
        <w:rPr>
          <w:lang w:val="en-US"/>
        </w:rPr>
        <w:t>T</w:t>
      </w:r>
      <w:r w:rsidRPr="00023D70">
        <w:rPr>
          <w:lang w:val="en-US"/>
        </w:rPr>
        <w:t xml:space="preserve">he observed </w:t>
      </w:r>
      <w:r w:rsidRPr="00023D70">
        <w:rPr>
          <w:vertAlign w:val="superscript"/>
          <w:lang w:val="en-US"/>
        </w:rPr>
        <w:t>87</w:t>
      </w:r>
      <w:r w:rsidRPr="00023D70">
        <w:rPr>
          <w:lang w:val="en-US"/>
        </w:rPr>
        <w:t>Sr:</w:t>
      </w:r>
      <w:r w:rsidRPr="00023D70">
        <w:rPr>
          <w:vertAlign w:val="superscript"/>
          <w:lang w:val="en-US"/>
        </w:rPr>
        <w:t>86</w:t>
      </w:r>
      <w:r w:rsidRPr="00023D70">
        <w:rPr>
          <w:lang w:val="en-US"/>
        </w:rPr>
        <w:t xml:space="preserve">Sr ratio for mammoth tusk enamel or human and livestock teeth is likely a function of both geographic location and the total Sr in a sample. If total Sr concentrations are unknown one can only assume that observed </w:t>
      </w:r>
      <w:r w:rsidRPr="00023D70">
        <w:rPr>
          <w:vertAlign w:val="superscript"/>
          <w:lang w:val="en-US"/>
        </w:rPr>
        <w:t>87</w:t>
      </w:r>
      <w:r w:rsidRPr="00023D70">
        <w:rPr>
          <w:lang w:val="en-US"/>
        </w:rPr>
        <w:t>Sr:</w:t>
      </w:r>
      <w:r w:rsidRPr="00023D70">
        <w:rPr>
          <w:vertAlign w:val="superscript"/>
          <w:lang w:val="en-US"/>
        </w:rPr>
        <w:t>86</w:t>
      </w:r>
      <w:r w:rsidRPr="00023D70">
        <w:rPr>
          <w:lang w:val="en-US"/>
        </w:rPr>
        <w:t>Sr ratios represent sources. Mathematically</w:t>
      </w:r>
      <w:r>
        <w:rPr>
          <w:lang w:val="en-US"/>
        </w:rPr>
        <w:t>,</w:t>
      </w:r>
      <w:r w:rsidRPr="00023D70">
        <w:rPr>
          <w:lang w:val="en-US"/>
        </w:rPr>
        <w:t xml:space="preserve"> this is unlikely (</w:t>
      </w:r>
      <w:r w:rsidR="00C1509C">
        <w:rPr>
          <w:lang w:val="en-US"/>
        </w:rPr>
        <w:t>M</w:t>
      </w:r>
      <w:r w:rsidR="00774AFB">
        <w:rPr>
          <w:lang w:val="en-US"/>
        </w:rPr>
        <w:t xml:space="preserve">oots </w:t>
      </w:r>
      <w:r w:rsidR="00C1509C">
        <w:rPr>
          <w:lang w:val="en-US"/>
        </w:rPr>
        <w:t xml:space="preserve">et al. </w:t>
      </w:r>
      <w:r w:rsidRPr="00023D70">
        <w:rPr>
          <w:lang w:val="en-US"/>
        </w:rPr>
        <w:t>202</w:t>
      </w:r>
      <w:r w:rsidR="00774AFB">
        <w:rPr>
          <w:lang w:val="en-US"/>
        </w:rPr>
        <w:t>4</w:t>
      </w:r>
      <w:r w:rsidRPr="00023D70">
        <w:rPr>
          <w:lang w:val="en-US"/>
        </w:rPr>
        <w:t xml:space="preserve">). The dangers of assuming that observed isotopic ratios represent sources are demonstrated below </w:t>
      </w:r>
      <w:r>
        <w:rPr>
          <w:lang w:val="en-US"/>
        </w:rPr>
        <w:t xml:space="preserve">(Figure </w:t>
      </w:r>
      <w:r w:rsidR="006B0657">
        <w:rPr>
          <w:lang w:val="en-US"/>
        </w:rPr>
        <w:t>S</w:t>
      </w:r>
      <w:r>
        <w:rPr>
          <w:lang w:val="en-US"/>
        </w:rPr>
        <w:t xml:space="preserve">1a) </w:t>
      </w:r>
      <w:r w:rsidRPr="00023D70">
        <w:rPr>
          <w:lang w:val="en-US"/>
        </w:rPr>
        <w:t>for a human migration study during the time of Viking colonization of the Western Isles of Scotland</w:t>
      </w:r>
      <w:r>
        <w:rPr>
          <w:lang w:val="en-US"/>
        </w:rPr>
        <w:t xml:space="preserve"> (Montgomery and Evans 2006)</w:t>
      </w:r>
      <w:r w:rsidRPr="00023D70">
        <w:rPr>
          <w:lang w:val="en-US"/>
        </w:rPr>
        <w:t xml:space="preserve">. </w:t>
      </w:r>
    </w:p>
    <w:p w14:paraId="379B6845" w14:textId="77777777" w:rsidR="0016102D" w:rsidRDefault="0016102D" w:rsidP="0016102D">
      <w:pPr>
        <w:pStyle w:val="Figurecaption"/>
        <w:spacing w:before="0" w:after="3" w:line="473" w:lineRule="auto"/>
        <w:ind w:right="14"/>
        <w:jc w:val="both"/>
        <w:rPr>
          <w:lang w:val="en-US"/>
        </w:rPr>
      </w:pPr>
      <w:r w:rsidRPr="006A7C98">
        <w:rPr>
          <w:noProof/>
        </w:rPr>
        <w:drawing>
          <wp:inline distT="0" distB="0" distL="0" distR="0" wp14:anchorId="55321BEB" wp14:editId="7E65E06E">
            <wp:extent cx="4571429" cy="3161905"/>
            <wp:effectExtent l="0" t="0" r="635" b="635"/>
            <wp:docPr id="1259053338" name="Picture 1" descr="A graph of different age group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3338" name="Picture 1" descr="A graph of different age groups&#10;&#10;Description automatically generated with medium confidence"/>
                    <pic:cNvPicPr/>
                  </pic:nvPicPr>
                  <pic:blipFill>
                    <a:blip r:embed="rId21"/>
                    <a:stretch>
                      <a:fillRect/>
                    </a:stretch>
                  </pic:blipFill>
                  <pic:spPr>
                    <a:xfrm>
                      <a:off x="0" y="0"/>
                      <a:ext cx="4571429" cy="3161905"/>
                    </a:xfrm>
                    <a:prstGeom prst="rect">
                      <a:avLst/>
                    </a:prstGeom>
                  </pic:spPr>
                </pic:pic>
              </a:graphicData>
            </a:graphic>
          </wp:inline>
        </w:drawing>
      </w:r>
    </w:p>
    <w:p w14:paraId="5FFBF515" w14:textId="2EB3525A" w:rsidR="0016102D" w:rsidRDefault="0016102D" w:rsidP="0016102D">
      <w:pPr>
        <w:pStyle w:val="Figurecaption"/>
        <w:spacing w:before="0" w:after="3" w:line="473" w:lineRule="auto"/>
        <w:ind w:right="14"/>
        <w:jc w:val="both"/>
        <w:rPr>
          <w:lang w:val="en-US"/>
        </w:rPr>
      </w:pPr>
      <w:r w:rsidRPr="00023D70">
        <w:rPr>
          <w:lang w:val="en-US"/>
        </w:rPr>
        <w:lastRenderedPageBreak/>
        <w:t xml:space="preserve">Figure </w:t>
      </w:r>
      <w:r w:rsidR="006B0657">
        <w:rPr>
          <w:lang w:val="en-US"/>
        </w:rPr>
        <w:t>S</w:t>
      </w:r>
      <w:r>
        <w:rPr>
          <w:lang w:val="en-US"/>
        </w:rPr>
        <w:t>1</w:t>
      </w:r>
      <w:r w:rsidRPr="00023D70">
        <w:rPr>
          <w:lang w:val="en-US"/>
        </w:rPr>
        <w:t xml:space="preserve">a. The relationship between 1/total Sr and </w:t>
      </w:r>
      <w:r w:rsidRPr="00023D70">
        <w:rPr>
          <w:vertAlign w:val="superscript"/>
          <w:lang w:val="en-US"/>
        </w:rPr>
        <w:t>87</w:t>
      </w:r>
      <w:r w:rsidRPr="00023D70">
        <w:rPr>
          <w:lang w:val="en-US"/>
        </w:rPr>
        <w:t>Sr:</w:t>
      </w:r>
      <w:r w:rsidRPr="00023D70">
        <w:rPr>
          <w:vertAlign w:val="superscript"/>
          <w:lang w:val="en-US"/>
        </w:rPr>
        <w:t>86</w:t>
      </w:r>
      <w:r w:rsidRPr="00023D70">
        <w:rPr>
          <w:lang w:val="en-US"/>
        </w:rPr>
        <w:t xml:space="preserve">Sr ratio for human tooth enamel </w:t>
      </w:r>
      <w:r w:rsidR="00B030B0">
        <w:rPr>
          <w:lang w:val="en-US"/>
        </w:rPr>
        <w:t xml:space="preserve">for individuals </w:t>
      </w:r>
      <w:r w:rsidRPr="00023D70">
        <w:rPr>
          <w:lang w:val="en-US"/>
        </w:rPr>
        <w:t>from two villages in the Western Isles of Scotland spanning the time of Viking colonization of the islands. This figure is an exact copy of Figure 8.7 in Montgomery and Evans (2006). Different linear mixing line equations with statistically different slopes (</w:t>
      </w:r>
      <w:r w:rsidRPr="00023D70">
        <w:rPr>
          <w:i/>
          <w:iCs/>
          <w:lang w:val="en-US"/>
        </w:rPr>
        <w:t xml:space="preserve">p </w:t>
      </w:r>
      <w:r w:rsidRPr="00023D70">
        <w:rPr>
          <w:lang w:val="en-US"/>
        </w:rPr>
        <w:t xml:space="preserve">&lt; 0.05) describe the villages suggesting that backgrounds differ. The statistically different </w:t>
      </w:r>
      <w:r w:rsidRPr="00023D70">
        <w:rPr>
          <w:i/>
          <w:iCs/>
          <w:lang w:val="en-US"/>
        </w:rPr>
        <w:t>y</w:t>
      </w:r>
      <w:r w:rsidRPr="00023D70">
        <w:rPr>
          <w:lang w:val="en-US"/>
        </w:rPr>
        <w:t>-intercepts (</w:t>
      </w:r>
      <w:r w:rsidRPr="00023D70">
        <w:rPr>
          <w:i/>
          <w:iCs/>
          <w:lang w:val="en-US"/>
        </w:rPr>
        <w:t xml:space="preserve">p </w:t>
      </w:r>
      <w:r w:rsidRPr="00023D70">
        <w:rPr>
          <w:lang w:val="en-US"/>
        </w:rPr>
        <w:t xml:space="preserve">&lt; 0.05) defining the Sr source ratio for the two villages are 0.70908 and 0.70397 for the Indigenous Machair and Immigrant Silicate dwellers respectively. </w:t>
      </w:r>
    </w:p>
    <w:p w14:paraId="5FF6148C" w14:textId="77777777" w:rsidR="0016102D" w:rsidRPr="00AC2124" w:rsidRDefault="0016102D" w:rsidP="0016102D">
      <w:pPr>
        <w:ind w:left="0" w:right="14"/>
      </w:pPr>
      <w:r>
        <w:t>-</w:t>
      </w:r>
    </w:p>
    <w:p w14:paraId="7E7F2A9A" w14:textId="58E3022A" w:rsidR="0016102D" w:rsidRPr="00023D70" w:rsidRDefault="0016102D" w:rsidP="0016102D">
      <w:pPr>
        <w:pStyle w:val="Newparagraph"/>
        <w:spacing w:after="3" w:line="473" w:lineRule="auto"/>
        <w:ind w:right="14"/>
        <w:jc w:val="both"/>
        <w:rPr>
          <w:lang w:val="en-US"/>
        </w:rPr>
      </w:pPr>
      <w:r w:rsidRPr="00023D70">
        <w:rPr>
          <w:lang w:val="en-US"/>
        </w:rPr>
        <w:t xml:space="preserve">Two different linear </w:t>
      </w:r>
      <w:r>
        <w:rPr>
          <w:lang w:val="en-US"/>
        </w:rPr>
        <w:t xml:space="preserve">mixing line </w:t>
      </w:r>
      <w:r w:rsidRPr="00023D70">
        <w:rPr>
          <w:lang w:val="en-US"/>
        </w:rPr>
        <w:t>equations with statistically different slopes (</w:t>
      </w:r>
      <w:r w:rsidRPr="00023D70">
        <w:rPr>
          <w:i/>
          <w:iCs/>
          <w:lang w:val="en-US"/>
        </w:rPr>
        <w:t xml:space="preserve">p </w:t>
      </w:r>
      <w:r w:rsidRPr="00023D70">
        <w:rPr>
          <w:lang w:val="en-US"/>
        </w:rPr>
        <w:t>&lt; 0.05) describe the two villages</w:t>
      </w:r>
      <w:r>
        <w:rPr>
          <w:lang w:val="en-US"/>
        </w:rPr>
        <w:t xml:space="preserve"> (Figure </w:t>
      </w:r>
      <w:r w:rsidR="006B0657">
        <w:rPr>
          <w:lang w:val="en-US"/>
        </w:rPr>
        <w:t>S</w:t>
      </w:r>
      <w:r>
        <w:rPr>
          <w:lang w:val="en-US"/>
        </w:rPr>
        <w:t>1a),</w:t>
      </w:r>
      <w:r w:rsidRPr="00023D70">
        <w:rPr>
          <w:lang w:val="en-US"/>
        </w:rPr>
        <w:t xml:space="preserve"> suggesting backgrounds </w:t>
      </w:r>
      <w:r>
        <w:rPr>
          <w:lang w:val="en-US"/>
        </w:rPr>
        <w:t xml:space="preserve">differ. </w:t>
      </w:r>
      <w:r w:rsidRPr="00023D70">
        <w:rPr>
          <w:lang w:val="en-US"/>
        </w:rPr>
        <w:t xml:space="preserve">Confidence levels (95%) for the two </w:t>
      </w:r>
      <w:r w:rsidRPr="00023D70">
        <w:rPr>
          <w:i/>
          <w:iCs/>
          <w:lang w:val="en-US"/>
        </w:rPr>
        <w:t>y</w:t>
      </w:r>
      <w:r w:rsidRPr="00023D70">
        <w:rPr>
          <w:lang w:val="en-US"/>
        </w:rPr>
        <w:t>-intercepts do not overlap.</w:t>
      </w:r>
      <w:r>
        <w:rPr>
          <w:lang w:val="en-US"/>
        </w:rPr>
        <w:t xml:space="preserve"> The statistically significant </w:t>
      </w:r>
      <w:r w:rsidRPr="0078592A">
        <w:rPr>
          <w:i/>
          <w:iCs/>
          <w:lang w:val="en-US"/>
        </w:rPr>
        <w:t>y</w:t>
      </w:r>
      <w:r>
        <w:rPr>
          <w:lang w:val="en-US"/>
        </w:rPr>
        <w:t>-intercepts (</w:t>
      </w:r>
      <w:r w:rsidRPr="00023D70">
        <w:rPr>
          <w:i/>
          <w:iCs/>
          <w:lang w:val="en-US"/>
        </w:rPr>
        <w:t xml:space="preserve">p </w:t>
      </w:r>
      <w:r w:rsidRPr="00023D70">
        <w:rPr>
          <w:lang w:val="en-US"/>
        </w:rPr>
        <w:t>&lt; 0.05</w:t>
      </w:r>
      <w:r>
        <w:rPr>
          <w:lang w:val="en-US"/>
        </w:rPr>
        <w:t>) suggest</w:t>
      </w:r>
      <w:r w:rsidRPr="00023D70">
        <w:rPr>
          <w:lang w:val="en-US"/>
        </w:rPr>
        <w:t xml:space="preserve"> Immigrant Silicate and Indigenous Machair dwellers</w:t>
      </w:r>
      <w:r>
        <w:rPr>
          <w:lang w:val="en-US"/>
        </w:rPr>
        <w:t xml:space="preserve"> have different </w:t>
      </w:r>
      <w:r w:rsidR="00B030B0">
        <w:rPr>
          <w:lang w:val="en-US"/>
        </w:rPr>
        <w:t xml:space="preserve">Sr </w:t>
      </w:r>
      <w:r>
        <w:rPr>
          <w:lang w:val="en-US"/>
        </w:rPr>
        <w:t xml:space="preserve">sources. </w:t>
      </w:r>
      <w:r w:rsidRPr="00023D70">
        <w:rPr>
          <w:lang w:val="en-US"/>
        </w:rPr>
        <w:t xml:space="preserve">Indigenous Machair dwellers have a source of 0.7098 (close to </w:t>
      </w:r>
      <w:r>
        <w:rPr>
          <w:lang w:val="en-US"/>
        </w:rPr>
        <w:t xml:space="preserve">modern </w:t>
      </w:r>
      <w:r w:rsidRPr="00023D70">
        <w:rPr>
          <w:lang w:val="en-US"/>
        </w:rPr>
        <w:t xml:space="preserve">seawater). The Immigrant Silicate dwellers source of 0.70397 reflects a low </w:t>
      </w:r>
      <w:r w:rsidRPr="00023D70">
        <w:rPr>
          <w:vertAlign w:val="superscript"/>
          <w:lang w:val="en-US"/>
        </w:rPr>
        <w:t>87</w:t>
      </w:r>
      <w:r w:rsidRPr="00023D70">
        <w:rPr>
          <w:lang w:val="en-US"/>
        </w:rPr>
        <w:t>Sr</w:t>
      </w:r>
      <w:r>
        <w:rPr>
          <w:lang w:val="en-US"/>
        </w:rPr>
        <w:t>:</w:t>
      </w:r>
      <w:r w:rsidRPr="00023D70">
        <w:rPr>
          <w:vertAlign w:val="superscript"/>
          <w:lang w:val="en-US"/>
        </w:rPr>
        <w:t>86</w:t>
      </w:r>
      <w:r w:rsidRPr="00023D70">
        <w:rPr>
          <w:lang w:val="en-US"/>
        </w:rPr>
        <w:t>Sr ratio source from igneous rock with much more silica.</w:t>
      </w:r>
      <w:r>
        <w:rPr>
          <w:lang w:val="en-US"/>
        </w:rPr>
        <w:t xml:space="preserve"> In this example, </w:t>
      </w:r>
      <w:r>
        <w:rPr>
          <w:noProof/>
          <w:lang w:val="en-US"/>
        </w:rPr>
        <w:t>a constant source (imply</w:t>
      </w:r>
      <w:r w:rsidR="00516AF3">
        <w:rPr>
          <w:noProof/>
          <w:lang w:val="en-US"/>
        </w:rPr>
        <w:t>ied by</w:t>
      </w:r>
      <w:r>
        <w:rPr>
          <w:noProof/>
          <w:lang w:val="en-US"/>
        </w:rPr>
        <w:t xml:space="preserve"> a linear </w:t>
      </w:r>
      <w:r w:rsidRPr="000C4831">
        <w:rPr>
          <w:noProof/>
          <w:vertAlign w:val="superscript"/>
          <w:lang w:val="en-US"/>
        </w:rPr>
        <w:t>86</w:t>
      </w:r>
      <w:r>
        <w:rPr>
          <w:noProof/>
          <w:lang w:val="en-US"/>
        </w:rPr>
        <w:t xml:space="preserve">Sr vs. </w:t>
      </w:r>
      <w:r w:rsidRPr="000C4831">
        <w:rPr>
          <w:noProof/>
          <w:vertAlign w:val="superscript"/>
          <w:lang w:val="en-US"/>
        </w:rPr>
        <w:t>87</w:t>
      </w:r>
      <w:r>
        <w:rPr>
          <w:noProof/>
          <w:lang w:val="en-US"/>
        </w:rPr>
        <w:t xml:space="preserve">Sr relationship) that produces linear mixing lines adequately explains the results. Linear </w:t>
      </w:r>
      <w:r w:rsidRPr="0048095B">
        <w:rPr>
          <w:noProof/>
          <w:vertAlign w:val="superscript"/>
          <w:lang w:val="en-US"/>
        </w:rPr>
        <w:t>86</w:t>
      </w:r>
      <w:r>
        <w:rPr>
          <w:noProof/>
          <w:lang w:val="en-US"/>
        </w:rPr>
        <w:t xml:space="preserve">Sr vs. </w:t>
      </w:r>
      <w:r w:rsidRPr="0048095B">
        <w:rPr>
          <w:noProof/>
          <w:vertAlign w:val="superscript"/>
          <w:lang w:val="en-US"/>
        </w:rPr>
        <w:t>87</w:t>
      </w:r>
      <w:r>
        <w:rPr>
          <w:noProof/>
          <w:lang w:val="en-US"/>
        </w:rPr>
        <w:t xml:space="preserve">Sr relationsthips for various assumptions (as discussed above) are shown in Figure </w:t>
      </w:r>
      <w:r w:rsidR="006B0657">
        <w:rPr>
          <w:noProof/>
          <w:lang w:val="en-US"/>
        </w:rPr>
        <w:t>S</w:t>
      </w:r>
      <w:r>
        <w:rPr>
          <w:noProof/>
          <w:lang w:val="en-US"/>
        </w:rPr>
        <w:t>1b.</w:t>
      </w:r>
    </w:p>
    <w:p w14:paraId="6F925DCA" w14:textId="384D5685" w:rsidR="0016102D" w:rsidRPr="00023D70" w:rsidRDefault="0016102D" w:rsidP="0016102D">
      <w:pPr>
        <w:pStyle w:val="Newparagraph"/>
        <w:spacing w:after="3" w:line="473" w:lineRule="auto"/>
        <w:ind w:right="14"/>
        <w:jc w:val="both"/>
        <w:rPr>
          <w:lang w:val="en-US"/>
        </w:rPr>
      </w:pPr>
      <w:r w:rsidRPr="00023D70">
        <w:rPr>
          <w:lang w:val="en-US"/>
        </w:rPr>
        <w:t xml:space="preserve">The relatively flat mixing line for Indigenous Machair dwellers </w:t>
      </w:r>
      <w:r>
        <w:rPr>
          <w:lang w:val="en-US"/>
        </w:rPr>
        <w:t xml:space="preserve">(Figure </w:t>
      </w:r>
      <w:r w:rsidR="006B0657">
        <w:rPr>
          <w:lang w:val="en-US"/>
        </w:rPr>
        <w:t>S</w:t>
      </w:r>
      <w:r>
        <w:rPr>
          <w:lang w:val="en-US"/>
        </w:rPr>
        <w:t xml:space="preserve">1a) </w:t>
      </w:r>
      <w:r w:rsidRPr="00023D70">
        <w:rPr>
          <w:lang w:val="en-US"/>
        </w:rPr>
        <w:t>suggests that backgrounds and sources are similar, as expected, for long-term stationary residents at an ocean</w:t>
      </w:r>
      <w:r>
        <w:rPr>
          <w:lang w:val="en-US"/>
        </w:rPr>
        <w:t>-</w:t>
      </w:r>
      <w:r w:rsidRPr="00023D70">
        <w:rPr>
          <w:lang w:val="en-US"/>
        </w:rPr>
        <w:t xml:space="preserve">influenced calcareous site with </w:t>
      </w:r>
      <w:r w:rsidRPr="00023D70">
        <w:rPr>
          <w:vertAlign w:val="superscript"/>
          <w:lang w:val="en-US"/>
        </w:rPr>
        <w:t>87</w:t>
      </w:r>
      <w:r w:rsidRPr="00023D70">
        <w:rPr>
          <w:lang w:val="en-US"/>
        </w:rPr>
        <w:t>Sr:</w:t>
      </w:r>
      <w:r w:rsidRPr="00023D70">
        <w:rPr>
          <w:vertAlign w:val="superscript"/>
          <w:lang w:val="en-US"/>
        </w:rPr>
        <w:t>86</w:t>
      </w:r>
      <w:r w:rsidRPr="00023D70">
        <w:rPr>
          <w:lang w:val="en-US"/>
        </w:rPr>
        <w:t xml:space="preserve">Sr ratios that approximate seawater (0.7091). Similarly, the herbivores at the same site have an average </w:t>
      </w:r>
      <w:r w:rsidRPr="00023D70">
        <w:rPr>
          <w:vertAlign w:val="superscript"/>
          <w:lang w:val="en-US"/>
        </w:rPr>
        <w:t>87</w:t>
      </w:r>
      <w:r w:rsidRPr="00023D70">
        <w:rPr>
          <w:lang w:val="en-US"/>
        </w:rPr>
        <w:t>Sr</w:t>
      </w:r>
      <w:r>
        <w:rPr>
          <w:lang w:val="en-US"/>
        </w:rPr>
        <w:t>:</w:t>
      </w:r>
      <w:r w:rsidRPr="00023D70">
        <w:rPr>
          <w:vertAlign w:val="superscript"/>
          <w:lang w:val="en-US"/>
        </w:rPr>
        <w:t>86</w:t>
      </w:r>
      <w:r w:rsidRPr="00023D70">
        <w:rPr>
          <w:lang w:val="en-US"/>
        </w:rPr>
        <w:t>Sr ratio that approximates seawater. The source for herbivores, however, cannot be accurately determined because there are too few points to define an accurate mixing line.</w:t>
      </w:r>
    </w:p>
    <w:p w14:paraId="5D24F45C" w14:textId="77777777" w:rsidR="0016102D" w:rsidRDefault="0016102D" w:rsidP="0016102D">
      <w:pPr>
        <w:pStyle w:val="Newparagraph"/>
        <w:spacing w:after="3" w:line="473" w:lineRule="auto"/>
        <w:ind w:right="14"/>
        <w:jc w:val="both"/>
        <w:rPr>
          <w:lang w:val="en-US"/>
        </w:rPr>
      </w:pPr>
      <w:r w:rsidRPr="00C04E07">
        <w:rPr>
          <w:lang w:val="en-US"/>
        </w:rPr>
        <w:t xml:space="preserve">Montgomery and Evans </w:t>
      </w:r>
      <w:r w:rsidRPr="00023D70">
        <w:rPr>
          <w:lang w:val="en-US"/>
        </w:rPr>
        <w:t xml:space="preserve">(2006) </w:t>
      </w:r>
      <w:r>
        <w:rPr>
          <w:lang w:val="en-US"/>
        </w:rPr>
        <w:t>are</w:t>
      </w:r>
      <w:r w:rsidRPr="00023D70">
        <w:rPr>
          <w:lang w:val="en-US"/>
        </w:rPr>
        <w:t xml:space="preserve"> correct. Resolving archaeological populations with strontium mixing diagrams is required to define sources. Without a mixing diagram analysis, </w:t>
      </w:r>
      <w:r w:rsidRPr="00023D70">
        <w:rPr>
          <w:lang w:val="en-US"/>
        </w:rPr>
        <w:lastRenderedPageBreak/>
        <w:t xml:space="preserve">there would be little to report other than the </w:t>
      </w:r>
      <w:r>
        <w:rPr>
          <w:lang w:val="en-US"/>
        </w:rPr>
        <w:t xml:space="preserve">mean </w:t>
      </w:r>
      <w:r w:rsidRPr="00023D70">
        <w:rPr>
          <w:vertAlign w:val="superscript"/>
          <w:lang w:val="en-US"/>
        </w:rPr>
        <w:t>87</w:t>
      </w:r>
      <w:r w:rsidRPr="00023D70">
        <w:rPr>
          <w:lang w:val="en-US"/>
        </w:rPr>
        <w:t>Sr:</w:t>
      </w:r>
      <w:r w:rsidRPr="00023D70">
        <w:rPr>
          <w:vertAlign w:val="superscript"/>
          <w:lang w:val="en-US"/>
        </w:rPr>
        <w:t>86</w:t>
      </w:r>
      <w:r w:rsidRPr="00023D70">
        <w:rPr>
          <w:lang w:val="en-US"/>
        </w:rPr>
        <w:t xml:space="preserve">Sr ratios are similar for both populations with Immigrant Silicate dwellers having more variability. Researchers could then only match the similar observed ratios for the two villages with known </w:t>
      </w:r>
      <w:r w:rsidRPr="00023D70">
        <w:rPr>
          <w:vertAlign w:val="superscript"/>
          <w:lang w:val="en-US"/>
        </w:rPr>
        <w:t>87</w:t>
      </w:r>
      <w:r w:rsidRPr="00023D70">
        <w:rPr>
          <w:lang w:val="en-US"/>
        </w:rPr>
        <w:t>Sr:</w:t>
      </w:r>
      <w:r w:rsidRPr="00023D70">
        <w:rPr>
          <w:vertAlign w:val="superscript"/>
          <w:lang w:val="en-US"/>
        </w:rPr>
        <w:t>86</w:t>
      </w:r>
      <w:r w:rsidRPr="00023D70">
        <w:rPr>
          <w:lang w:val="en-US"/>
        </w:rPr>
        <w:t xml:space="preserve">Sr ratios at specific locations (as done in the </w:t>
      </w:r>
      <w:r>
        <w:rPr>
          <w:lang w:val="en-US"/>
        </w:rPr>
        <w:t>m</w:t>
      </w:r>
      <w:r w:rsidRPr="00023D70">
        <w:rPr>
          <w:lang w:val="en-US"/>
        </w:rPr>
        <w:t>ammoth study above). Results would wrongly suggest that residents of both villages originated from the same location. Observed ratios usually do not represent a source.</w:t>
      </w:r>
    </w:p>
    <w:p w14:paraId="5F59D8C9" w14:textId="4C9CEBD2" w:rsidR="0016102D" w:rsidRPr="00397C08" w:rsidRDefault="0016102D" w:rsidP="00397C08">
      <w:pPr>
        <w:pStyle w:val="Figurecaption"/>
        <w:spacing w:before="0" w:after="3" w:line="473" w:lineRule="auto"/>
        <w:ind w:right="14"/>
        <w:jc w:val="both"/>
        <w:rPr>
          <w:lang w:val="en-US"/>
        </w:rPr>
      </w:pPr>
      <w:r>
        <w:rPr>
          <w:lang w:val="en-US"/>
        </w:rPr>
        <w:tab/>
      </w:r>
      <w:r w:rsidRPr="00023D70">
        <w:rPr>
          <w:lang w:val="en-US"/>
        </w:rPr>
        <w:t xml:space="preserve">The </w:t>
      </w:r>
      <w:r w:rsidRPr="00023D70">
        <w:rPr>
          <w:i/>
          <w:iCs/>
          <w:lang w:val="en-US"/>
        </w:rPr>
        <w:t>y</w:t>
      </w:r>
      <w:r w:rsidRPr="00023D70">
        <w:rPr>
          <w:lang w:val="en-US"/>
        </w:rPr>
        <w:t xml:space="preserve">-intercepts for the equations for the modified </w:t>
      </w:r>
      <w:r w:rsidRPr="00E967D1">
        <w:rPr>
          <w:i/>
          <w:iCs/>
          <w:lang w:val="en-US"/>
        </w:rPr>
        <w:t>y</w:t>
      </w:r>
      <w:r>
        <w:rPr>
          <w:lang w:val="en-US"/>
        </w:rPr>
        <w:t xml:space="preserve">-intercept corrected </w:t>
      </w:r>
      <w:r w:rsidRPr="00023D70">
        <w:rPr>
          <w:lang w:val="en-US"/>
        </w:rPr>
        <w:t xml:space="preserve">mixing diagram for the two groups of individuals </w:t>
      </w:r>
      <w:r>
        <w:rPr>
          <w:lang w:val="en-US"/>
        </w:rPr>
        <w:t xml:space="preserve">(data not shown) </w:t>
      </w:r>
      <w:r w:rsidRPr="00023D70">
        <w:rPr>
          <w:lang w:val="en-US"/>
        </w:rPr>
        <w:t xml:space="preserve">match the slopes for </w:t>
      </w:r>
      <w:r w:rsidRPr="00023D70">
        <w:rPr>
          <w:vertAlign w:val="superscript"/>
          <w:lang w:val="en-US"/>
        </w:rPr>
        <w:t>86</w:t>
      </w:r>
      <w:r w:rsidRPr="00023D70">
        <w:rPr>
          <w:lang w:val="en-US"/>
        </w:rPr>
        <w:t xml:space="preserve">Sr vs. </w:t>
      </w:r>
      <w:r w:rsidRPr="00023D70">
        <w:rPr>
          <w:vertAlign w:val="superscript"/>
          <w:lang w:val="en-US"/>
        </w:rPr>
        <w:t>87</w:t>
      </w:r>
      <w:r w:rsidRPr="00023D70">
        <w:rPr>
          <w:lang w:val="en-US"/>
        </w:rPr>
        <w:t xml:space="preserve">Sr linear equations for the two groups shown in Figure </w:t>
      </w:r>
      <w:r w:rsidR="006B0657">
        <w:rPr>
          <w:lang w:val="en-US"/>
        </w:rPr>
        <w:t>S</w:t>
      </w:r>
      <w:r>
        <w:rPr>
          <w:lang w:val="en-US"/>
        </w:rPr>
        <w:t>1</w:t>
      </w:r>
      <w:r w:rsidRPr="00023D70">
        <w:rPr>
          <w:lang w:val="en-US"/>
        </w:rPr>
        <w:t xml:space="preserve">b. These </w:t>
      </w:r>
      <w:r w:rsidRPr="00023D70">
        <w:rPr>
          <w:i/>
          <w:iCs/>
          <w:lang w:val="en-US"/>
        </w:rPr>
        <w:t>y</w:t>
      </w:r>
      <w:r w:rsidRPr="00023D70">
        <w:rPr>
          <w:lang w:val="en-US"/>
        </w:rPr>
        <w:t>-intercepts also match the mixing lines (1/</w:t>
      </w:r>
      <w:r w:rsidRPr="00023D70">
        <w:rPr>
          <w:vertAlign w:val="superscript"/>
          <w:lang w:val="en-US"/>
        </w:rPr>
        <w:t>86</w:t>
      </w:r>
      <w:r w:rsidRPr="00023D70">
        <w:rPr>
          <w:lang w:val="en-US"/>
        </w:rPr>
        <w:t>Sr vs. observed</w:t>
      </w:r>
      <w:r w:rsidRPr="00023D70">
        <w:rPr>
          <w:i/>
          <w:iCs/>
          <w:lang w:val="en-US"/>
        </w:rPr>
        <w:t xml:space="preserve"> </w:t>
      </w:r>
      <w:r w:rsidRPr="00023D70">
        <w:rPr>
          <w:vertAlign w:val="superscript"/>
          <w:lang w:val="en-US"/>
        </w:rPr>
        <w:t>87</w:t>
      </w:r>
      <w:r w:rsidRPr="00023D70">
        <w:rPr>
          <w:lang w:val="en-US"/>
        </w:rPr>
        <w:t>Sr:</w:t>
      </w:r>
      <w:r w:rsidRPr="00023D70">
        <w:rPr>
          <w:vertAlign w:val="superscript"/>
          <w:lang w:val="en-US"/>
        </w:rPr>
        <w:t>86</w:t>
      </w:r>
      <w:r w:rsidRPr="00023D70">
        <w:rPr>
          <w:lang w:val="en-US"/>
        </w:rPr>
        <w:t xml:space="preserve">Sr ratio) shown in Figure </w:t>
      </w:r>
      <w:r w:rsidR="006B0657">
        <w:rPr>
          <w:lang w:val="en-US"/>
        </w:rPr>
        <w:t>S</w:t>
      </w:r>
      <w:r>
        <w:rPr>
          <w:lang w:val="en-US"/>
        </w:rPr>
        <w:t>1</w:t>
      </w:r>
      <w:r w:rsidRPr="00023D70">
        <w:rPr>
          <w:lang w:val="en-US"/>
        </w:rPr>
        <w:t>c. Any of the proposed methods for dealing with confounded</w:t>
      </w:r>
      <w:r>
        <w:rPr>
          <w:lang w:val="en-US"/>
        </w:rPr>
        <w:t xml:space="preserve"> </w:t>
      </w:r>
      <w:r w:rsidRPr="00023D70">
        <w:rPr>
          <w:lang w:val="en-US"/>
        </w:rPr>
        <w:t xml:space="preserve">ratios </w:t>
      </w:r>
      <w:r>
        <w:rPr>
          <w:lang w:val="en-US"/>
        </w:rPr>
        <w:t xml:space="preserve">for constant source systems </w:t>
      </w:r>
      <w:r w:rsidRPr="00023D70">
        <w:rPr>
          <w:lang w:val="en-US"/>
        </w:rPr>
        <w:t xml:space="preserve">described </w:t>
      </w:r>
      <w:r>
        <w:rPr>
          <w:lang w:val="en-US"/>
        </w:rPr>
        <w:t xml:space="preserve">in </w:t>
      </w:r>
      <w:r w:rsidR="00CC110C">
        <w:rPr>
          <w:lang w:val="en-US"/>
        </w:rPr>
        <w:t>the main text</w:t>
      </w:r>
      <w:r w:rsidR="007865C5">
        <w:rPr>
          <w:lang w:val="en-US"/>
        </w:rPr>
        <w:t xml:space="preserve"> </w:t>
      </w:r>
      <w:r w:rsidRPr="00023D70">
        <w:rPr>
          <w:lang w:val="en-US"/>
        </w:rPr>
        <w:t>(denominator vs. numerator slopes,</w:t>
      </w:r>
      <w:r>
        <w:rPr>
          <w:lang w:val="en-US"/>
        </w:rPr>
        <w:t xml:space="preserve"> </w:t>
      </w:r>
      <w:r w:rsidRPr="00023D70">
        <w:rPr>
          <w:lang w:val="en-US"/>
        </w:rPr>
        <w:t>traditional mixing diagrams, 1/total denominator</w:t>
      </w:r>
      <w:r w:rsidRPr="000A4C3D">
        <w:rPr>
          <w:lang w:val="en-US"/>
        </w:rPr>
        <w:t xml:space="preserve"> </w:t>
      </w:r>
      <w:r w:rsidRPr="00023D70">
        <w:rPr>
          <w:lang w:val="en-US"/>
        </w:rPr>
        <w:t xml:space="preserve">isotope mixing diagrams, and average </w:t>
      </w:r>
      <w:r w:rsidRPr="00023D70">
        <w:rPr>
          <w:i/>
          <w:iCs/>
          <w:lang w:val="en-US"/>
        </w:rPr>
        <w:t>y</w:t>
      </w:r>
      <w:r w:rsidRPr="00023D70">
        <w:rPr>
          <w:lang w:val="en-US"/>
        </w:rPr>
        <w:t>-intercept corrected values</w:t>
      </w:r>
      <w:r>
        <w:rPr>
          <w:lang w:val="en-US"/>
        </w:rPr>
        <w:t>)</w:t>
      </w:r>
      <w:r w:rsidRPr="00023D70">
        <w:rPr>
          <w:lang w:val="en-US"/>
        </w:rPr>
        <w:t xml:space="preserve"> provide the same interpretation. Derivative approaches were not applied since denominator vs. numerator functions were linear</w:t>
      </w:r>
      <w:r>
        <w:rPr>
          <w:lang w:val="en-US"/>
        </w:rPr>
        <w:t xml:space="preserve"> (</w:t>
      </w:r>
      <w:r w:rsidRPr="006A1B09">
        <w:rPr>
          <w:i/>
          <w:iCs/>
          <w:lang w:val="en-US"/>
        </w:rPr>
        <w:t>x</w:t>
      </w:r>
      <w:r w:rsidRPr="006A1B09">
        <w:rPr>
          <w:vertAlign w:val="superscript"/>
          <w:lang w:val="en-US"/>
        </w:rPr>
        <w:t>2</w:t>
      </w:r>
      <w:r>
        <w:rPr>
          <w:lang w:val="en-US"/>
        </w:rPr>
        <w:t xml:space="preserve"> term in polynomial regression not statistically significant </w:t>
      </w:r>
      <w:r w:rsidRPr="006A1B09">
        <w:rPr>
          <w:i/>
          <w:iCs/>
          <w:lang w:val="en-US"/>
        </w:rPr>
        <w:t>p</w:t>
      </w:r>
      <w:r>
        <w:rPr>
          <w:i/>
          <w:iCs/>
          <w:lang w:val="en-US"/>
        </w:rPr>
        <w:t xml:space="preserve"> </w:t>
      </w:r>
      <w:r>
        <w:rPr>
          <w:lang w:val="en-US"/>
        </w:rPr>
        <w:t>= 0.639)</w:t>
      </w:r>
      <w:r w:rsidRPr="00023D70">
        <w:rPr>
          <w:lang w:val="en-US"/>
        </w:rPr>
        <w:t xml:space="preserve">. The </w:t>
      </w:r>
      <w:r w:rsidRPr="00023D70">
        <w:rPr>
          <w:vertAlign w:val="superscript"/>
          <w:lang w:val="en-US"/>
        </w:rPr>
        <w:t>87</w:t>
      </w:r>
      <w:r w:rsidRPr="00023D70">
        <w:rPr>
          <w:lang w:val="en-US"/>
        </w:rPr>
        <w:t>Sr:</w:t>
      </w:r>
      <w:r w:rsidRPr="00023D70">
        <w:rPr>
          <w:vertAlign w:val="superscript"/>
          <w:lang w:val="en-US"/>
        </w:rPr>
        <w:t>86</w:t>
      </w:r>
      <w:r w:rsidRPr="00023D70">
        <w:rPr>
          <w:lang w:val="en-US"/>
        </w:rPr>
        <w:t xml:space="preserve">Sr ratios of sources is far more informative than simple observed </w:t>
      </w:r>
      <w:r w:rsidRPr="00023D70">
        <w:rPr>
          <w:vertAlign w:val="superscript"/>
          <w:lang w:val="en-US"/>
        </w:rPr>
        <w:t>87</w:t>
      </w:r>
      <w:r w:rsidRPr="00023D70">
        <w:rPr>
          <w:lang w:val="en-US"/>
        </w:rPr>
        <w:t>Sr:</w:t>
      </w:r>
      <w:r w:rsidRPr="00023D70">
        <w:rPr>
          <w:vertAlign w:val="superscript"/>
          <w:lang w:val="en-US"/>
        </w:rPr>
        <w:t>86</w:t>
      </w:r>
      <w:r w:rsidRPr="00023D70">
        <w:rPr>
          <w:lang w:val="en-US"/>
        </w:rPr>
        <w:t>Sr ratios.</w:t>
      </w:r>
    </w:p>
    <w:p w14:paraId="14DE7775" w14:textId="77777777" w:rsidR="0016102D" w:rsidRPr="00023D70" w:rsidRDefault="0016102D" w:rsidP="0016102D">
      <w:pPr>
        <w:ind w:left="0" w:right="14"/>
        <w:rPr>
          <w:rFonts w:asciiTheme="majorBidi" w:hAnsiTheme="majorBidi" w:cstheme="majorBidi"/>
          <w:b/>
        </w:rPr>
      </w:pPr>
      <w:r w:rsidRPr="00FA3E04">
        <w:rPr>
          <w:noProof/>
        </w:rPr>
        <w:drawing>
          <wp:inline distT="0" distB="0" distL="0" distR="0" wp14:anchorId="255FE8E7" wp14:editId="6B76B304">
            <wp:extent cx="4571429" cy="2714286"/>
            <wp:effectExtent l="0" t="0" r="635" b="0"/>
            <wp:docPr id="1123613853" name="Picture 1" descr="Graphical user interface,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613853" name="Picture 1" descr="Graphical user interface, chart&#10;&#10;Description automatically generated with medium confidence"/>
                    <pic:cNvPicPr/>
                  </pic:nvPicPr>
                  <pic:blipFill>
                    <a:blip r:embed="rId22"/>
                    <a:stretch>
                      <a:fillRect/>
                    </a:stretch>
                  </pic:blipFill>
                  <pic:spPr>
                    <a:xfrm>
                      <a:off x="0" y="0"/>
                      <a:ext cx="4571429" cy="2714286"/>
                    </a:xfrm>
                    <a:prstGeom prst="rect">
                      <a:avLst/>
                    </a:prstGeom>
                  </pic:spPr>
                </pic:pic>
              </a:graphicData>
            </a:graphic>
          </wp:inline>
        </w:drawing>
      </w:r>
    </w:p>
    <w:p w14:paraId="35996E37" w14:textId="17342372" w:rsidR="0016102D" w:rsidRDefault="0016102D" w:rsidP="0016102D">
      <w:pPr>
        <w:pStyle w:val="Figurecaption"/>
        <w:spacing w:before="0" w:after="3" w:line="473" w:lineRule="auto"/>
        <w:ind w:right="14"/>
        <w:jc w:val="both"/>
        <w:rPr>
          <w:lang w:val="en-US"/>
        </w:rPr>
      </w:pPr>
      <w:r w:rsidRPr="00023D70">
        <w:rPr>
          <w:lang w:val="en-US" w:eastAsia="ja-JP"/>
        </w:rPr>
        <w:t xml:space="preserve">Figure </w:t>
      </w:r>
      <w:r w:rsidR="006B0657">
        <w:rPr>
          <w:lang w:val="en-US" w:eastAsia="ja-JP"/>
        </w:rPr>
        <w:t>S</w:t>
      </w:r>
      <w:r>
        <w:rPr>
          <w:lang w:val="en-US" w:eastAsia="ja-JP"/>
        </w:rPr>
        <w:t>1</w:t>
      </w:r>
      <w:r w:rsidRPr="00023D70">
        <w:rPr>
          <w:lang w:val="en-US" w:eastAsia="ja-JP"/>
        </w:rPr>
        <w:t xml:space="preserve">b. The relationship between </w:t>
      </w:r>
      <w:r w:rsidRPr="00023D70">
        <w:rPr>
          <w:vertAlign w:val="superscript"/>
          <w:lang w:val="en-US"/>
        </w:rPr>
        <w:t>86</w:t>
      </w:r>
      <w:r w:rsidRPr="00023D70">
        <w:rPr>
          <w:lang w:val="en-US"/>
        </w:rPr>
        <w:t>Sr and</w:t>
      </w:r>
      <w:r w:rsidRPr="00023D70">
        <w:rPr>
          <w:lang w:val="en-US" w:eastAsia="ja-JP"/>
        </w:rPr>
        <w:t xml:space="preserve"> </w:t>
      </w:r>
      <w:r w:rsidRPr="00023D70">
        <w:rPr>
          <w:vertAlign w:val="superscript"/>
          <w:lang w:val="en-US"/>
        </w:rPr>
        <w:t>87</w:t>
      </w:r>
      <w:r w:rsidRPr="00023D70">
        <w:rPr>
          <w:lang w:val="en-US"/>
        </w:rPr>
        <w:t>Sr</w:t>
      </w:r>
      <w:r w:rsidRPr="00023D70">
        <w:rPr>
          <w:lang w:val="en-US" w:eastAsia="ja-JP"/>
        </w:rPr>
        <w:t xml:space="preserve"> for human tooth enamel from two villages in </w:t>
      </w:r>
      <w:r w:rsidRPr="00023D70">
        <w:rPr>
          <w:lang w:val="en-US"/>
        </w:rPr>
        <w:t xml:space="preserve">the Western Isles of Scotland spanning the time of Viking colonization of the islands. Calculating </w:t>
      </w:r>
      <w:r w:rsidRPr="00023D70">
        <w:rPr>
          <w:vertAlign w:val="superscript"/>
          <w:lang w:val="en-US"/>
        </w:rPr>
        <w:lastRenderedPageBreak/>
        <w:t>86</w:t>
      </w:r>
      <w:r w:rsidRPr="00023D70">
        <w:rPr>
          <w:lang w:val="en-US"/>
        </w:rPr>
        <w:t xml:space="preserve">Sr and </w:t>
      </w:r>
      <w:r w:rsidRPr="00023D70">
        <w:rPr>
          <w:vertAlign w:val="superscript"/>
          <w:lang w:val="en-US"/>
        </w:rPr>
        <w:t>87</w:t>
      </w:r>
      <w:r w:rsidRPr="00023D70">
        <w:rPr>
          <w:lang w:val="en-US"/>
        </w:rPr>
        <w:t xml:space="preserve">Sr regression equations requires some assumptions since total Sr consists of the sum of four unknown isotope concentrations. Regression lines for three different assumptions were evaluated for the Immigrant Silicate Dwellers </w:t>
      </w:r>
      <w:r>
        <w:rPr>
          <w:lang w:val="en-US"/>
        </w:rPr>
        <w:t xml:space="preserve">(top three equations) </w:t>
      </w:r>
      <w:r w:rsidRPr="00023D70">
        <w:rPr>
          <w:lang w:val="en-US"/>
        </w:rPr>
        <w:t xml:space="preserve">using values for the SRM 987 Strontium Carbonate standard: (1) </w:t>
      </w:r>
      <w:r w:rsidRPr="00023D70">
        <w:rPr>
          <w:vertAlign w:val="superscript"/>
          <w:lang w:val="en-US"/>
        </w:rPr>
        <w:t>86</w:t>
      </w:r>
      <w:r w:rsidRPr="00023D70">
        <w:rPr>
          <w:lang w:val="en-US"/>
        </w:rPr>
        <w:t xml:space="preserve">Sr remains constant and is equal to the standard value of 9.8566%, (2) The sum of </w:t>
      </w:r>
      <w:r w:rsidRPr="00023D70">
        <w:rPr>
          <w:vertAlign w:val="superscript"/>
          <w:lang w:val="en-US"/>
        </w:rPr>
        <w:t>86</w:t>
      </w:r>
      <w:r w:rsidRPr="00023D70">
        <w:rPr>
          <w:lang w:val="en-US"/>
        </w:rPr>
        <w:t xml:space="preserve">Sr and </w:t>
      </w:r>
      <w:r w:rsidRPr="00023D70">
        <w:rPr>
          <w:vertAlign w:val="superscript"/>
          <w:lang w:val="en-US"/>
        </w:rPr>
        <w:t>87</w:t>
      </w:r>
      <w:r w:rsidRPr="00023D70">
        <w:rPr>
          <w:lang w:val="en-US"/>
        </w:rPr>
        <w:t xml:space="preserve">Sr remains constant and is equal to the standard value of 9.8566% +7.0015%, and (3) </w:t>
      </w:r>
      <w:r w:rsidRPr="00023D70">
        <w:rPr>
          <w:vertAlign w:val="superscript"/>
          <w:lang w:val="en-US"/>
        </w:rPr>
        <w:t>87</w:t>
      </w:r>
      <w:r w:rsidRPr="00023D70">
        <w:rPr>
          <w:lang w:val="en-US"/>
        </w:rPr>
        <w:t xml:space="preserve">Sr remains constant and is equal to the standard value of 7.0015%. All three approaches produce similar results. </w:t>
      </w:r>
      <w:r w:rsidR="007865C5">
        <w:rPr>
          <w:lang w:val="en-US"/>
        </w:rPr>
        <w:t xml:space="preserve">Assumption 2 values (in red) have slopes and </w:t>
      </w:r>
      <w:r w:rsidR="007865C5" w:rsidRPr="007865C5">
        <w:rPr>
          <w:i/>
          <w:iCs/>
          <w:lang w:val="en-US"/>
        </w:rPr>
        <w:t>y</w:t>
      </w:r>
      <w:r w:rsidR="007865C5">
        <w:rPr>
          <w:lang w:val="en-US"/>
        </w:rPr>
        <w:t xml:space="preserve">-intercepts with values between the other two assumptions. </w:t>
      </w:r>
      <w:r w:rsidRPr="00023D70">
        <w:rPr>
          <w:lang w:val="en-US"/>
        </w:rPr>
        <w:t>Data after Montgomery and Evans (2006).</w:t>
      </w:r>
    </w:p>
    <w:p w14:paraId="5A25FBFC" w14:textId="77777777" w:rsidR="0016102D" w:rsidRDefault="0016102D" w:rsidP="0016102D">
      <w:pPr>
        <w:ind w:left="0" w:right="14"/>
      </w:pPr>
      <w:r>
        <w:t>-</w:t>
      </w:r>
    </w:p>
    <w:p w14:paraId="7E40E1BD" w14:textId="09E224FD" w:rsidR="0016102D" w:rsidRPr="006A1B09" w:rsidRDefault="0016102D" w:rsidP="0016102D">
      <w:pPr>
        <w:pStyle w:val="Newparagraph"/>
        <w:spacing w:after="3" w:line="473" w:lineRule="auto"/>
        <w:ind w:right="14"/>
        <w:jc w:val="both"/>
        <w:rPr>
          <w:lang w:val="en-US"/>
        </w:rPr>
      </w:pPr>
      <w:r w:rsidRPr="00023D70">
        <w:rPr>
          <w:lang w:val="en-US"/>
        </w:rPr>
        <w:t>The 1/</w:t>
      </w:r>
      <w:r w:rsidRPr="00023D70">
        <w:rPr>
          <w:vertAlign w:val="superscript"/>
          <w:lang w:val="en-US"/>
        </w:rPr>
        <w:t>86</w:t>
      </w:r>
      <w:r w:rsidRPr="00023D70">
        <w:rPr>
          <w:lang w:val="en-US"/>
        </w:rPr>
        <w:t xml:space="preserve">Sr vs. vs. </w:t>
      </w:r>
      <w:r w:rsidRPr="00023D70">
        <w:rPr>
          <w:vertAlign w:val="superscript"/>
          <w:lang w:val="en-US"/>
        </w:rPr>
        <w:t>87</w:t>
      </w:r>
      <w:r w:rsidRPr="00023D70">
        <w:rPr>
          <w:lang w:val="en-US"/>
        </w:rPr>
        <w:t>Sr:</w:t>
      </w:r>
      <w:r w:rsidRPr="00023D70">
        <w:rPr>
          <w:vertAlign w:val="superscript"/>
          <w:lang w:val="en-US"/>
        </w:rPr>
        <w:t>86</w:t>
      </w:r>
      <w:r w:rsidRPr="00023D70">
        <w:rPr>
          <w:lang w:val="en-US"/>
        </w:rPr>
        <w:t>Sr ratio form of mi</w:t>
      </w:r>
      <w:r>
        <w:rPr>
          <w:lang w:val="en-US"/>
        </w:rPr>
        <w:t>x</w:t>
      </w:r>
      <w:r w:rsidRPr="00023D70">
        <w:rPr>
          <w:lang w:val="en-US"/>
        </w:rPr>
        <w:t xml:space="preserve">ing lines shown in Figure </w:t>
      </w:r>
      <w:r w:rsidR="006B0657">
        <w:rPr>
          <w:lang w:val="en-US"/>
        </w:rPr>
        <w:t>S</w:t>
      </w:r>
      <w:r>
        <w:rPr>
          <w:lang w:val="en-US"/>
        </w:rPr>
        <w:t>1</w:t>
      </w:r>
      <w:r w:rsidRPr="00023D70">
        <w:rPr>
          <w:lang w:val="en-US"/>
        </w:rPr>
        <w:t xml:space="preserve">c, confirm the results presented by the original authors in Figure </w:t>
      </w:r>
      <w:r w:rsidR="006B0657">
        <w:rPr>
          <w:lang w:val="en-US"/>
        </w:rPr>
        <w:t>S</w:t>
      </w:r>
      <w:r>
        <w:rPr>
          <w:lang w:val="en-US"/>
        </w:rPr>
        <w:t>1</w:t>
      </w:r>
      <w:r w:rsidRPr="00023D70">
        <w:rPr>
          <w:lang w:val="en-US"/>
        </w:rPr>
        <w:t xml:space="preserve">a. </w:t>
      </w:r>
      <w:r>
        <w:rPr>
          <w:lang w:val="en-US"/>
        </w:rPr>
        <w:t xml:space="preserve">Differing </w:t>
      </w:r>
      <w:r w:rsidRPr="004C78A2">
        <w:rPr>
          <w:i/>
          <w:iCs/>
          <w:lang w:val="en-US"/>
        </w:rPr>
        <w:t>y</w:t>
      </w:r>
      <w:r>
        <w:rPr>
          <w:lang w:val="en-US"/>
        </w:rPr>
        <w:t xml:space="preserve">-intercepts suggest different sources for the two populations (0.7098 and 0.70399). These source estimates approximate slope estimates in Figure </w:t>
      </w:r>
      <w:r w:rsidR="006B0657">
        <w:rPr>
          <w:lang w:val="en-US"/>
        </w:rPr>
        <w:t>S</w:t>
      </w:r>
      <w:r>
        <w:rPr>
          <w:lang w:val="en-US"/>
        </w:rPr>
        <w:t xml:space="preserve">1b for the Indigenous Machair and Immigrant Silicate Dwellers respectively. </w:t>
      </w:r>
      <w:r w:rsidRPr="00023D70">
        <w:rPr>
          <w:lang w:val="en-US"/>
        </w:rPr>
        <w:t xml:space="preserve">Mixing plot slopes are statistically </w:t>
      </w:r>
      <w:r>
        <w:rPr>
          <w:lang w:val="en-US"/>
        </w:rPr>
        <w:t>different</w:t>
      </w:r>
      <w:r w:rsidRPr="00023D70">
        <w:rPr>
          <w:lang w:val="en-US"/>
        </w:rPr>
        <w:t xml:space="preserve"> (</w:t>
      </w:r>
      <w:r w:rsidRPr="00023D70">
        <w:rPr>
          <w:i/>
          <w:iCs/>
          <w:lang w:val="en-US"/>
        </w:rPr>
        <w:t xml:space="preserve">p </w:t>
      </w:r>
      <w:r w:rsidRPr="00023D70">
        <w:rPr>
          <w:lang w:val="en-US"/>
        </w:rPr>
        <w:t xml:space="preserve">&lt; 0.0001), suggesting different backgrounds (the flatter the mixing line, the smaller the difference between source and background). </w:t>
      </w:r>
    </w:p>
    <w:p w14:paraId="1A20FEC8" w14:textId="77777777" w:rsidR="0016102D" w:rsidRDefault="0016102D" w:rsidP="0016102D">
      <w:pPr>
        <w:pStyle w:val="Figurecaption"/>
        <w:spacing w:before="0" w:after="3" w:line="473" w:lineRule="auto"/>
        <w:ind w:right="14"/>
        <w:jc w:val="both"/>
        <w:rPr>
          <w:lang w:val="en-US"/>
        </w:rPr>
      </w:pPr>
      <w:r w:rsidRPr="00FA3E04">
        <w:rPr>
          <w:noProof/>
        </w:rPr>
        <w:drawing>
          <wp:inline distT="0" distB="0" distL="0" distR="0" wp14:anchorId="43BE9D22" wp14:editId="029F04C9">
            <wp:extent cx="4571429" cy="2666667"/>
            <wp:effectExtent l="0" t="0" r="635" b="635"/>
            <wp:docPr id="172221710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217101" name="Picture 1" descr="Chart, scatter chart&#10;&#10;Description automatically generated"/>
                    <pic:cNvPicPr/>
                  </pic:nvPicPr>
                  <pic:blipFill>
                    <a:blip r:embed="rId23"/>
                    <a:stretch>
                      <a:fillRect/>
                    </a:stretch>
                  </pic:blipFill>
                  <pic:spPr>
                    <a:xfrm>
                      <a:off x="0" y="0"/>
                      <a:ext cx="4571429" cy="2666667"/>
                    </a:xfrm>
                    <a:prstGeom prst="rect">
                      <a:avLst/>
                    </a:prstGeom>
                  </pic:spPr>
                </pic:pic>
              </a:graphicData>
            </a:graphic>
          </wp:inline>
        </w:drawing>
      </w:r>
    </w:p>
    <w:p w14:paraId="7EDB0084" w14:textId="43B1AA7E" w:rsidR="0016102D" w:rsidRDefault="0016102D" w:rsidP="0016102D">
      <w:pPr>
        <w:pStyle w:val="Figurecaption"/>
        <w:spacing w:before="0" w:after="3" w:line="473" w:lineRule="auto"/>
        <w:ind w:right="14"/>
        <w:jc w:val="both"/>
        <w:rPr>
          <w:lang w:val="en-US"/>
        </w:rPr>
      </w:pPr>
      <w:r w:rsidRPr="00023D70">
        <w:rPr>
          <w:lang w:val="en-US"/>
        </w:rPr>
        <w:lastRenderedPageBreak/>
        <w:t xml:space="preserve">Figure </w:t>
      </w:r>
      <w:r w:rsidR="006B0657">
        <w:rPr>
          <w:lang w:val="en-US"/>
        </w:rPr>
        <w:t>S</w:t>
      </w:r>
      <w:r>
        <w:rPr>
          <w:lang w:val="en-US"/>
        </w:rPr>
        <w:t>1</w:t>
      </w:r>
      <w:r w:rsidRPr="00023D70">
        <w:rPr>
          <w:lang w:val="en-US"/>
        </w:rPr>
        <w:t>c. Mixing diagram for 1/</w:t>
      </w:r>
      <w:r w:rsidRPr="00023D70">
        <w:rPr>
          <w:vertAlign w:val="superscript"/>
          <w:lang w:val="en-US"/>
        </w:rPr>
        <w:t>86</w:t>
      </w:r>
      <w:r w:rsidRPr="00023D70">
        <w:rPr>
          <w:lang w:val="en-US"/>
        </w:rPr>
        <w:t xml:space="preserve">Sr vs. </w:t>
      </w:r>
      <w:r w:rsidRPr="00023D70">
        <w:rPr>
          <w:vertAlign w:val="superscript"/>
          <w:lang w:val="en-US"/>
        </w:rPr>
        <w:t>87</w:t>
      </w:r>
      <w:r w:rsidRPr="00023D70">
        <w:rPr>
          <w:lang w:val="en-US"/>
        </w:rPr>
        <w:t>Sr:</w:t>
      </w:r>
      <w:r w:rsidRPr="00023D70">
        <w:rPr>
          <w:vertAlign w:val="superscript"/>
          <w:lang w:val="en-US"/>
        </w:rPr>
        <w:t>86</w:t>
      </w:r>
      <w:r w:rsidRPr="00023D70">
        <w:rPr>
          <w:lang w:val="en-US"/>
        </w:rPr>
        <w:t xml:space="preserve">Sr ratio for individuals </w:t>
      </w:r>
      <w:r w:rsidRPr="00023D70">
        <w:rPr>
          <w:lang w:val="en-US" w:eastAsia="ja-JP"/>
        </w:rPr>
        <w:t xml:space="preserve">from two villages in </w:t>
      </w:r>
      <w:r w:rsidRPr="00023D70">
        <w:rPr>
          <w:lang w:val="en-US"/>
        </w:rPr>
        <w:t xml:space="preserve">the Western Isles of Scotland spanning the time of Viking colonization of the islands. The original authors suggest that points occur in two very different biospheres which allows the differentiation of the two groups even though </w:t>
      </w:r>
      <w:r w:rsidRPr="00023D70">
        <w:rPr>
          <w:vertAlign w:val="superscript"/>
          <w:lang w:val="en-US"/>
        </w:rPr>
        <w:t>87</w:t>
      </w:r>
      <w:r w:rsidRPr="00023D70">
        <w:rPr>
          <w:lang w:val="en-US"/>
        </w:rPr>
        <w:t>Sr:</w:t>
      </w:r>
      <w:r w:rsidRPr="00023D70">
        <w:rPr>
          <w:vertAlign w:val="superscript"/>
          <w:lang w:val="en-US"/>
        </w:rPr>
        <w:t>86</w:t>
      </w:r>
      <w:r w:rsidRPr="00023D70">
        <w:rPr>
          <w:lang w:val="en-US"/>
        </w:rPr>
        <w:t xml:space="preserve">Sr ratio values overlap. </w:t>
      </w:r>
      <w:r>
        <w:rPr>
          <w:lang w:val="en-US"/>
        </w:rPr>
        <w:t xml:space="preserve">Slopes for these alternate forms of mixing lines approximate the </w:t>
      </w:r>
      <w:r w:rsidRPr="00023D70">
        <w:rPr>
          <w:lang w:val="en-US"/>
        </w:rPr>
        <w:t xml:space="preserve">original </w:t>
      </w:r>
      <w:r w:rsidRPr="00023D70">
        <w:rPr>
          <w:vertAlign w:val="superscript"/>
          <w:lang w:val="en-US"/>
        </w:rPr>
        <w:t>86</w:t>
      </w:r>
      <w:r w:rsidRPr="00023D70">
        <w:rPr>
          <w:lang w:val="en-US"/>
        </w:rPr>
        <w:t xml:space="preserve">Sr vs. </w:t>
      </w:r>
      <w:r w:rsidRPr="00023D70">
        <w:rPr>
          <w:vertAlign w:val="superscript"/>
          <w:lang w:val="en-US"/>
        </w:rPr>
        <w:t>87</w:t>
      </w:r>
      <w:r w:rsidRPr="00023D70">
        <w:rPr>
          <w:lang w:val="en-US"/>
        </w:rPr>
        <w:t xml:space="preserve">Sr positive </w:t>
      </w:r>
      <w:r w:rsidRPr="00023D70">
        <w:rPr>
          <w:i/>
          <w:iCs/>
          <w:lang w:val="en-US"/>
        </w:rPr>
        <w:t>y</w:t>
      </w:r>
      <w:r w:rsidRPr="00023D70">
        <w:rPr>
          <w:lang w:val="en-US"/>
        </w:rPr>
        <w:t xml:space="preserve">-intercepts. </w:t>
      </w:r>
      <w:r>
        <w:rPr>
          <w:lang w:val="en-US"/>
        </w:rPr>
        <w:t xml:space="preserve">The </w:t>
      </w:r>
      <w:r w:rsidRPr="00B02FA4">
        <w:rPr>
          <w:i/>
          <w:iCs/>
          <w:lang w:val="en-US"/>
        </w:rPr>
        <w:t>y</w:t>
      </w:r>
      <w:r>
        <w:rPr>
          <w:lang w:val="en-US"/>
        </w:rPr>
        <w:t xml:space="preserve">-intercepts approximate the </w:t>
      </w:r>
      <w:r w:rsidRPr="00023D70">
        <w:rPr>
          <w:lang w:val="en-US"/>
        </w:rPr>
        <w:t xml:space="preserve">original </w:t>
      </w:r>
      <w:r w:rsidRPr="00023D70">
        <w:rPr>
          <w:vertAlign w:val="superscript"/>
          <w:lang w:val="en-US"/>
        </w:rPr>
        <w:t>86</w:t>
      </w:r>
      <w:r w:rsidRPr="00023D70">
        <w:rPr>
          <w:lang w:val="en-US"/>
        </w:rPr>
        <w:t xml:space="preserve">Sr vs. </w:t>
      </w:r>
      <w:r w:rsidRPr="00023D70">
        <w:rPr>
          <w:vertAlign w:val="superscript"/>
          <w:lang w:val="en-US"/>
        </w:rPr>
        <w:t>87</w:t>
      </w:r>
      <w:r w:rsidRPr="00023D70">
        <w:rPr>
          <w:lang w:val="en-US"/>
        </w:rPr>
        <w:t xml:space="preserve">Sr </w:t>
      </w:r>
      <w:r>
        <w:rPr>
          <w:lang w:val="en-US"/>
        </w:rPr>
        <w:t xml:space="preserve">slopes. </w:t>
      </w:r>
      <w:r w:rsidRPr="00023D70">
        <w:rPr>
          <w:lang w:val="en-US"/>
        </w:rPr>
        <w:t xml:space="preserve">Data after Montgomery and Evans (2006). </w:t>
      </w:r>
    </w:p>
    <w:p w14:paraId="32AFBB32" w14:textId="77777777" w:rsidR="0016102D" w:rsidRPr="0073616F" w:rsidRDefault="0016102D" w:rsidP="0016102D">
      <w:pPr>
        <w:ind w:left="0" w:right="14"/>
      </w:pPr>
      <w:r>
        <w:t>-</w:t>
      </w:r>
    </w:p>
    <w:p w14:paraId="1AAD2EBB" w14:textId="2FC7314E" w:rsidR="0016102D" w:rsidRPr="00023D70" w:rsidRDefault="0016102D" w:rsidP="0016102D">
      <w:pPr>
        <w:pStyle w:val="Newparagraph"/>
        <w:spacing w:after="3" w:line="473" w:lineRule="auto"/>
        <w:ind w:right="14"/>
        <w:jc w:val="both"/>
        <w:rPr>
          <w:lang w:val="en-US"/>
        </w:rPr>
      </w:pPr>
      <w:r w:rsidRPr="00023D70">
        <w:rPr>
          <w:lang w:val="en-US"/>
        </w:rPr>
        <w:t xml:space="preserve">In another migration-related example, </w:t>
      </w:r>
      <w:r w:rsidRPr="00023D70">
        <w:rPr>
          <w:vertAlign w:val="superscript"/>
          <w:lang w:val="en-US"/>
        </w:rPr>
        <w:t>87</w:t>
      </w:r>
      <w:r w:rsidRPr="00023D70">
        <w:rPr>
          <w:lang w:val="en-US"/>
        </w:rPr>
        <w:t>Sr:</w:t>
      </w:r>
      <w:r w:rsidRPr="00023D70">
        <w:rPr>
          <w:vertAlign w:val="superscript"/>
          <w:lang w:val="en-US"/>
        </w:rPr>
        <w:t>86</w:t>
      </w:r>
      <w:r w:rsidRPr="00023D70">
        <w:rPr>
          <w:lang w:val="en-US"/>
        </w:rPr>
        <w:t xml:space="preserve">Sr ratios in the third molar in an ancient bovine were evaluated at various distances from cusp to cervix (Horstwood et al. 2008). The </w:t>
      </w:r>
      <w:r w:rsidRPr="00023D70">
        <w:rPr>
          <w:vertAlign w:val="superscript"/>
          <w:lang w:val="en-US"/>
        </w:rPr>
        <w:t>87</w:t>
      </w:r>
      <w:r w:rsidRPr="00023D70">
        <w:rPr>
          <w:lang w:val="en-US"/>
        </w:rPr>
        <w:t>Sr:</w:t>
      </w:r>
      <w:r w:rsidRPr="00023D70">
        <w:rPr>
          <w:vertAlign w:val="superscript"/>
          <w:lang w:val="en-US"/>
        </w:rPr>
        <w:t>86</w:t>
      </w:r>
      <w:r w:rsidRPr="00023D70">
        <w:rPr>
          <w:lang w:val="en-US"/>
        </w:rPr>
        <w:t xml:space="preserve">Sr ratios in the tooth are much higher than the limestone source (0.7084) where the tooth was buried and significantly increase from 0.7158 to 0.7885 from cusp to cervix (Horstwood et al. 2008). The authors suggest the change from cusp to cervix is due to differences in diet that occurred as the tooth developed. The direction of change is opposite to what might be expected if the animal moved from a high </w:t>
      </w:r>
      <w:r w:rsidRPr="00023D70">
        <w:rPr>
          <w:vertAlign w:val="superscript"/>
          <w:lang w:val="en-US"/>
        </w:rPr>
        <w:t>87</w:t>
      </w:r>
      <w:r w:rsidRPr="00023D70">
        <w:rPr>
          <w:lang w:val="en-US"/>
        </w:rPr>
        <w:t>Sr:</w:t>
      </w:r>
      <w:r w:rsidRPr="00023D70">
        <w:rPr>
          <w:vertAlign w:val="superscript"/>
          <w:lang w:val="en-US"/>
        </w:rPr>
        <w:t>86</w:t>
      </w:r>
      <w:r w:rsidRPr="00023D70">
        <w:rPr>
          <w:lang w:val="en-US"/>
        </w:rPr>
        <w:t xml:space="preserve">Sr source ratio to a lower one. Therefore, the authors also suggest that the animal was likely slaughtered soon after moving to the low </w:t>
      </w:r>
      <w:r w:rsidRPr="00023D70">
        <w:rPr>
          <w:vertAlign w:val="superscript"/>
          <w:lang w:val="en-US"/>
        </w:rPr>
        <w:t>87</w:t>
      </w:r>
      <w:r w:rsidRPr="00023D70">
        <w:rPr>
          <w:lang w:val="en-US"/>
        </w:rPr>
        <w:t>Sr:</w:t>
      </w:r>
      <w:r w:rsidRPr="00023D70">
        <w:rPr>
          <w:vertAlign w:val="superscript"/>
          <w:lang w:val="en-US"/>
        </w:rPr>
        <w:t>86</w:t>
      </w:r>
      <w:r w:rsidRPr="00023D70">
        <w:rPr>
          <w:lang w:val="en-US"/>
        </w:rPr>
        <w:t>Sr source before any tooth changes could occur. We agree with the slaughter soon after arrival conclusion but suspect that there was not a change in diet as the tooth formed.</w:t>
      </w:r>
    </w:p>
    <w:p w14:paraId="7882A59B" w14:textId="4C5C3EE2" w:rsidR="00D90CDF" w:rsidRDefault="0016102D" w:rsidP="0016102D">
      <w:pPr>
        <w:pStyle w:val="Newparagraph"/>
        <w:spacing w:after="3" w:line="473" w:lineRule="auto"/>
        <w:ind w:right="14"/>
        <w:jc w:val="both"/>
        <w:rPr>
          <w:lang w:val="en-US"/>
        </w:rPr>
      </w:pPr>
      <w:r w:rsidRPr="00023D70">
        <w:rPr>
          <w:lang w:val="en-US"/>
        </w:rPr>
        <w:t xml:space="preserve">A source analysis for the bovine tooth (data not shown) resolves conflicting information. The </w:t>
      </w:r>
      <w:r w:rsidRPr="00023D70">
        <w:rPr>
          <w:vertAlign w:val="superscript"/>
          <w:lang w:val="en-US"/>
        </w:rPr>
        <w:t>86</w:t>
      </w:r>
      <w:r w:rsidRPr="00023D70">
        <w:rPr>
          <w:lang w:val="en-US"/>
        </w:rPr>
        <w:t xml:space="preserve">Sr vs. </w:t>
      </w:r>
      <w:r w:rsidRPr="00023D70">
        <w:rPr>
          <w:vertAlign w:val="superscript"/>
          <w:lang w:val="en-US"/>
        </w:rPr>
        <w:t>87</w:t>
      </w:r>
      <w:r w:rsidRPr="00023D70">
        <w:rPr>
          <w:lang w:val="en-US"/>
        </w:rPr>
        <w:t>Sr function is linear with no detectable curvature</w:t>
      </w:r>
      <w:r>
        <w:rPr>
          <w:lang w:val="en-US"/>
        </w:rPr>
        <w:t xml:space="preserve"> (</w:t>
      </w:r>
      <w:r w:rsidRPr="006A1B09">
        <w:rPr>
          <w:i/>
          <w:iCs/>
          <w:lang w:val="en-US"/>
        </w:rPr>
        <w:t>x</w:t>
      </w:r>
      <w:r w:rsidRPr="006A1B09">
        <w:rPr>
          <w:vertAlign w:val="superscript"/>
          <w:lang w:val="en-US"/>
        </w:rPr>
        <w:t>2</w:t>
      </w:r>
      <w:r>
        <w:rPr>
          <w:lang w:val="en-US"/>
        </w:rPr>
        <w:t xml:space="preserve"> term </w:t>
      </w:r>
      <w:r w:rsidRPr="006A1B09">
        <w:rPr>
          <w:i/>
          <w:iCs/>
          <w:lang w:val="en-US"/>
        </w:rPr>
        <w:t>p</w:t>
      </w:r>
      <w:r>
        <w:rPr>
          <w:i/>
          <w:iCs/>
          <w:lang w:val="en-US"/>
        </w:rPr>
        <w:t xml:space="preserve"> </w:t>
      </w:r>
      <w:r>
        <w:rPr>
          <w:lang w:val="en-US"/>
        </w:rPr>
        <w:t>= 0.527).</w:t>
      </w:r>
      <w:r w:rsidRPr="00023D70">
        <w:rPr>
          <w:lang w:val="en-US"/>
        </w:rPr>
        <w:t xml:space="preserve"> The slope (0.7244) of this function defines a constant source. A simple 1/total S</w:t>
      </w:r>
      <w:r>
        <w:rPr>
          <w:lang w:val="en-US"/>
        </w:rPr>
        <w:t>r</w:t>
      </w:r>
      <w:r w:rsidRPr="00023D70">
        <w:rPr>
          <w:lang w:val="en-US"/>
        </w:rPr>
        <w:t xml:space="preserve"> vs. </w:t>
      </w:r>
      <w:r w:rsidRPr="00023D70">
        <w:rPr>
          <w:vertAlign w:val="superscript"/>
          <w:lang w:val="en-US"/>
        </w:rPr>
        <w:t>87</w:t>
      </w:r>
      <w:r w:rsidRPr="00023D70">
        <w:rPr>
          <w:lang w:val="en-US"/>
        </w:rPr>
        <w:t>Sr:</w:t>
      </w:r>
      <w:r w:rsidRPr="00023D70">
        <w:rPr>
          <w:vertAlign w:val="superscript"/>
          <w:lang w:val="en-US"/>
        </w:rPr>
        <w:t>86</w:t>
      </w:r>
      <w:r w:rsidRPr="00023D70">
        <w:rPr>
          <w:lang w:val="en-US"/>
        </w:rPr>
        <w:t xml:space="preserve">Sr ratio mixing diagram is also linear and defines a similar source (0.7242). Both analyses suggest the animal was exposed to a constant source during tooth growth. Variation in </w:t>
      </w:r>
      <w:r w:rsidRPr="00023D70">
        <w:rPr>
          <w:vertAlign w:val="superscript"/>
          <w:lang w:val="en-US"/>
        </w:rPr>
        <w:t>87</w:t>
      </w:r>
      <w:r w:rsidRPr="00023D70">
        <w:rPr>
          <w:lang w:val="en-US"/>
        </w:rPr>
        <w:t>Sr:</w:t>
      </w:r>
      <w:r w:rsidRPr="00023D70">
        <w:rPr>
          <w:vertAlign w:val="superscript"/>
          <w:lang w:val="en-US"/>
        </w:rPr>
        <w:t>86</w:t>
      </w:r>
      <w:r w:rsidRPr="00023D70">
        <w:rPr>
          <w:lang w:val="en-US"/>
        </w:rPr>
        <w:t xml:space="preserve">Sr ratio from cusp to cervix is entirely explained by differences in total Sr. There was likely no change in diet as the tooth developed. Once again, </w:t>
      </w:r>
      <w:r>
        <w:rPr>
          <w:lang w:val="en-US"/>
        </w:rPr>
        <w:t xml:space="preserve">one cannot assume that changing </w:t>
      </w:r>
      <w:r w:rsidRPr="00023D70">
        <w:rPr>
          <w:vertAlign w:val="superscript"/>
          <w:lang w:val="en-US"/>
        </w:rPr>
        <w:t>87</w:t>
      </w:r>
      <w:r w:rsidRPr="00023D70">
        <w:rPr>
          <w:lang w:val="en-US"/>
        </w:rPr>
        <w:t>Sr:</w:t>
      </w:r>
      <w:r w:rsidRPr="00023D70">
        <w:rPr>
          <w:vertAlign w:val="superscript"/>
          <w:lang w:val="en-US"/>
        </w:rPr>
        <w:t>86</w:t>
      </w:r>
      <w:r w:rsidRPr="00023D70">
        <w:rPr>
          <w:lang w:val="en-US"/>
        </w:rPr>
        <w:t>Sr ratios are</w:t>
      </w:r>
      <w:r>
        <w:rPr>
          <w:lang w:val="en-US"/>
        </w:rPr>
        <w:t xml:space="preserve"> </w:t>
      </w:r>
      <w:r w:rsidRPr="00023D70">
        <w:rPr>
          <w:lang w:val="en-US"/>
        </w:rPr>
        <w:t xml:space="preserve">related to </w:t>
      </w:r>
      <w:r>
        <w:rPr>
          <w:lang w:val="en-US"/>
        </w:rPr>
        <w:lastRenderedPageBreak/>
        <w:t>changing</w:t>
      </w:r>
      <w:r w:rsidRPr="00023D70">
        <w:rPr>
          <w:lang w:val="en-US"/>
        </w:rPr>
        <w:t xml:space="preserve"> source</w:t>
      </w:r>
      <w:r>
        <w:rPr>
          <w:lang w:val="en-US"/>
        </w:rPr>
        <w:t>s</w:t>
      </w:r>
      <w:r w:rsidRPr="00023D70">
        <w:rPr>
          <w:lang w:val="en-US"/>
        </w:rPr>
        <w:t>.</w:t>
      </w:r>
      <w:r>
        <w:rPr>
          <w:lang w:val="en-US"/>
        </w:rPr>
        <w:t xml:space="preserve"> When identifying whether an individual or population resided at a specific location, it is also important to establish that isotopic source ratios are constant for a period of interest. Otherwise, it will be impossible to link changing source ratios derived from </w:t>
      </w:r>
      <w:r w:rsidR="00B030B0">
        <w:rPr>
          <w:lang w:val="en-US"/>
        </w:rPr>
        <w:t xml:space="preserve">tissues in </w:t>
      </w:r>
      <w:r>
        <w:rPr>
          <w:lang w:val="en-US"/>
        </w:rPr>
        <w:t xml:space="preserve">a migrating subject(s) with a geographic location. This is emphasized in a re-evaluation of a migration study where Kowalik et al. (2023) used data from a fossilized European mammoth tooth to support back and forth migrations (250 to 400 km). They suggest the mammoth moved from Southern </w:t>
      </w:r>
      <w:r>
        <w:t>Poland (</w:t>
      </w:r>
      <w:r>
        <w:rPr>
          <w:lang w:val="en-US"/>
        </w:rPr>
        <w:t xml:space="preserve">low </w:t>
      </w:r>
      <w:r w:rsidRPr="007D3E3A">
        <w:rPr>
          <w:vertAlign w:val="superscript"/>
          <w:lang w:val="en-US"/>
        </w:rPr>
        <w:t>87</w:t>
      </w:r>
      <w:r>
        <w:rPr>
          <w:lang w:val="en-US"/>
        </w:rPr>
        <w:t>Sr:</w:t>
      </w:r>
      <w:r w:rsidRPr="007D3E3A">
        <w:rPr>
          <w:vertAlign w:val="superscript"/>
          <w:lang w:val="en-US"/>
        </w:rPr>
        <w:t>86</w:t>
      </w:r>
      <w:r>
        <w:rPr>
          <w:lang w:val="en-US"/>
        </w:rPr>
        <w:t xml:space="preserve">Sr ratio) </w:t>
      </w:r>
      <w:r>
        <w:t>in winter to the Polish midlands (</w:t>
      </w:r>
      <w:r>
        <w:rPr>
          <w:lang w:val="en-US"/>
        </w:rPr>
        <w:t xml:space="preserve">higher total Sr with higher </w:t>
      </w:r>
      <w:r w:rsidRPr="007D3E3A">
        <w:rPr>
          <w:vertAlign w:val="superscript"/>
          <w:lang w:val="en-US"/>
        </w:rPr>
        <w:t>87</w:t>
      </w:r>
      <w:r>
        <w:rPr>
          <w:lang w:val="en-US"/>
        </w:rPr>
        <w:t>Sr:</w:t>
      </w:r>
      <w:r w:rsidRPr="007D3E3A">
        <w:rPr>
          <w:vertAlign w:val="superscript"/>
          <w:lang w:val="en-US"/>
        </w:rPr>
        <w:t>86</w:t>
      </w:r>
      <w:r>
        <w:rPr>
          <w:lang w:val="en-US"/>
        </w:rPr>
        <w:t xml:space="preserve">Sr ratio) </w:t>
      </w:r>
      <w:r>
        <w:t>each summer</w:t>
      </w:r>
      <w:r>
        <w:rPr>
          <w:lang w:val="en-US"/>
        </w:rPr>
        <w:t xml:space="preserve"> over a ten-year period. </w:t>
      </w:r>
    </w:p>
    <w:p w14:paraId="542275AA" w14:textId="670A1505" w:rsidR="00720BBA" w:rsidRDefault="00D90CDF" w:rsidP="00720BBA">
      <w:pPr>
        <w:pStyle w:val="Newparagraph"/>
        <w:spacing w:after="3" w:line="473" w:lineRule="auto"/>
        <w:ind w:right="144"/>
        <w:jc w:val="both"/>
      </w:pPr>
      <w:r>
        <w:rPr>
          <w:lang w:val="en-US" w:eastAsia="ja-JP"/>
        </w:rPr>
        <w:t xml:space="preserve">Figure </w:t>
      </w:r>
      <w:r w:rsidR="006B0657">
        <w:rPr>
          <w:lang w:val="en-US" w:eastAsia="ja-JP"/>
        </w:rPr>
        <w:t>S</w:t>
      </w:r>
      <w:r w:rsidR="00F97431">
        <w:rPr>
          <w:lang w:val="en-US" w:eastAsia="ja-JP"/>
        </w:rPr>
        <w:t>1d</w:t>
      </w:r>
      <w:r>
        <w:rPr>
          <w:lang w:val="en-US" w:eastAsia="ja-JP"/>
        </w:rPr>
        <w:t xml:space="preserve"> shows the seasonal patterns for </w:t>
      </w:r>
      <w:r w:rsidRPr="006A4A98">
        <w:rPr>
          <w:vertAlign w:val="superscript"/>
          <w:lang w:val="en-US" w:eastAsia="ja-JP"/>
        </w:rPr>
        <w:t>87</w:t>
      </w:r>
      <w:r>
        <w:rPr>
          <w:lang w:val="en-US" w:eastAsia="ja-JP"/>
        </w:rPr>
        <w:t>Sr:</w:t>
      </w:r>
      <w:r w:rsidRPr="006A4A98">
        <w:rPr>
          <w:vertAlign w:val="superscript"/>
          <w:lang w:val="en-US" w:eastAsia="ja-JP"/>
        </w:rPr>
        <w:t>8</w:t>
      </w:r>
      <w:r w:rsidRPr="006945BB">
        <w:rPr>
          <w:vertAlign w:val="superscript"/>
          <w:lang w:val="en-US" w:eastAsia="ja-JP"/>
        </w:rPr>
        <w:t>6</w:t>
      </w:r>
      <w:r>
        <w:rPr>
          <w:lang w:val="en-US" w:eastAsia="ja-JP"/>
        </w:rPr>
        <w:t xml:space="preserve">Sr ratio and total Sr for positions between cusp and cervix on a fossilized mammoth tooth (Kowalik et al. 2023). </w:t>
      </w:r>
      <w:r>
        <w:t xml:space="preserve">The </w:t>
      </w:r>
      <w:r w:rsidRPr="00EC799E">
        <w:rPr>
          <w:vertAlign w:val="superscript"/>
        </w:rPr>
        <w:t>87</w:t>
      </w:r>
      <w:r>
        <w:t>Sr:</w:t>
      </w:r>
      <w:r w:rsidRPr="00EC799E">
        <w:rPr>
          <w:vertAlign w:val="superscript"/>
        </w:rPr>
        <w:t>86</w:t>
      </w:r>
      <w:r>
        <w:t xml:space="preserve">Sr peak for the last year in Figure </w:t>
      </w:r>
      <w:r w:rsidR="006B0657">
        <w:t>S</w:t>
      </w:r>
      <w:r w:rsidR="00F97431">
        <w:t>1d</w:t>
      </w:r>
      <w:r>
        <w:t xml:space="preserve"> starts earlier than the total Sr peak, thus this year, was not used in the analyses presented below. We have added red (~mid-summer) and grey (~January) boxes to the authors original figure to delineate time periods with </w:t>
      </w:r>
      <w:r w:rsidRPr="00111AEA">
        <w:rPr>
          <w:vertAlign w:val="superscript"/>
        </w:rPr>
        <w:t>87</w:t>
      </w:r>
      <w:r>
        <w:t>Sr:</w:t>
      </w:r>
      <w:r w:rsidRPr="00111AEA">
        <w:rPr>
          <w:vertAlign w:val="superscript"/>
        </w:rPr>
        <w:t>86</w:t>
      </w:r>
      <w:r>
        <w:t xml:space="preserve">Sr peaks and troughs. </w:t>
      </w:r>
    </w:p>
    <w:p w14:paraId="78D03E56" w14:textId="33456605" w:rsidR="00720BBA" w:rsidRDefault="00AE4221" w:rsidP="00720BBA">
      <w:pPr>
        <w:pStyle w:val="Newparagraph"/>
        <w:spacing w:after="3" w:line="473" w:lineRule="auto"/>
        <w:ind w:right="144" w:firstLine="0"/>
        <w:jc w:val="both"/>
      </w:pPr>
      <w:r w:rsidRPr="00AE4221">
        <w:rPr>
          <w:noProof/>
        </w:rPr>
        <w:drawing>
          <wp:inline distT="0" distB="0" distL="0" distR="0" wp14:anchorId="0867972D" wp14:editId="55270D4A">
            <wp:extent cx="5845810" cy="2893060"/>
            <wp:effectExtent l="0" t="0" r="2540" b="2540"/>
            <wp:docPr id="12585752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575238" name=""/>
                    <pic:cNvPicPr/>
                  </pic:nvPicPr>
                  <pic:blipFill>
                    <a:blip r:embed="rId24"/>
                    <a:stretch>
                      <a:fillRect/>
                    </a:stretch>
                  </pic:blipFill>
                  <pic:spPr>
                    <a:xfrm>
                      <a:off x="0" y="0"/>
                      <a:ext cx="5845810" cy="2893060"/>
                    </a:xfrm>
                    <a:prstGeom prst="rect">
                      <a:avLst/>
                    </a:prstGeom>
                  </pic:spPr>
                </pic:pic>
              </a:graphicData>
            </a:graphic>
          </wp:inline>
        </w:drawing>
      </w:r>
    </w:p>
    <w:p w14:paraId="7A81CA1B" w14:textId="66FDB248" w:rsidR="00D90CDF" w:rsidRDefault="00D90CDF" w:rsidP="00377EA2">
      <w:pPr>
        <w:pStyle w:val="Newparagraph"/>
        <w:spacing w:after="3" w:line="473" w:lineRule="auto"/>
        <w:ind w:right="144" w:firstLine="0"/>
        <w:jc w:val="both"/>
        <w:rPr>
          <w:lang w:val="en-US" w:eastAsia="ja-JP"/>
        </w:rPr>
      </w:pPr>
      <w:r>
        <w:rPr>
          <w:lang w:val="en-US" w:eastAsia="ja-JP"/>
        </w:rPr>
        <w:t xml:space="preserve">Figure </w:t>
      </w:r>
      <w:r w:rsidR="006B0657">
        <w:rPr>
          <w:lang w:val="en-US" w:eastAsia="ja-JP"/>
        </w:rPr>
        <w:t>S</w:t>
      </w:r>
      <w:r w:rsidR="00F97431">
        <w:rPr>
          <w:lang w:val="en-US" w:eastAsia="ja-JP"/>
        </w:rPr>
        <w:t>1d</w:t>
      </w:r>
      <w:r>
        <w:rPr>
          <w:lang w:val="en-US" w:eastAsia="ja-JP"/>
        </w:rPr>
        <w:t xml:space="preserve">. </w:t>
      </w:r>
      <w:r>
        <w:t xml:space="preserve">Laser ablation MC ICPMS measurements of the </w:t>
      </w:r>
      <w:r w:rsidRPr="00111AEA">
        <w:rPr>
          <w:vertAlign w:val="superscript"/>
        </w:rPr>
        <w:t>87</w:t>
      </w:r>
      <w:r>
        <w:t>Sr:</w:t>
      </w:r>
      <w:r w:rsidRPr="009B54B1">
        <w:rPr>
          <w:vertAlign w:val="superscript"/>
        </w:rPr>
        <w:t>86</w:t>
      </w:r>
      <w:r w:rsidR="009B54B1">
        <w:t>S</w:t>
      </w:r>
      <w:r w:rsidRPr="009B54B1">
        <w:t>r</w:t>
      </w:r>
      <w:r>
        <w:t xml:space="preserve"> ratio (top) and Sr and U concentrations (bottom) versus the distance along the occlusal to basal transect of a fossil mammoth tooth. The </w:t>
      </w:r>
      <w:r w:rsidRPr="00111AEA">
        <w:rPr>
          <w:vertAlign w:val="superscript"/>
        </w:rPr>
        <w:t>87</w:t>
      </w:r>
      <w:r>
        <w:t>Sr:</w:t>
      </w:r>
      <w:r w:rsidRPr="00111AEA">
        <w:rPr>
          <w:vertAlign w:val="superscript"/>
        </w:rPr>
        <w:t>86</w:t>
      </w:r>
      <w:r>
        <w:t xml:space="preserve">Sr data were smoothed using a moving average with a period of 10. </w:t>
      </w:r>
      <w:r>
        <w:lastRenderedPageBreak/>
        <w:t xml:space="preserve">Typical 2SE (standard error) uncertainty of the smoothed data is 0.015%. The brown dots (top) indicate the measured </w:t>
      </w:r>
      <w:r w:rsidRPr="00111AEA">
        <w:rPr>
          <w:vertAlign w:val="superscript"/>
        </w:rPr>
        <w:t>87</w:t>
      </w:r>
      <w:r>
        <w:t>Sr:</w:t>
      </w:r>
      <w:r w:rsidRPr="00111AEA">
        <w:rPr>
          <w:vertAlign w:val="superscript"/>
        </w:rPr>
        <w:t>86</w:t>
      </w:r>
      <w:r>
        <w:t xml:space="preserve">Sr values obtained via solution-based micro-sampled Sr isotope analysis of enamels. The vertical grey dashed lines bracket yearly segments determined by histological measurements. The local bioavailable Sr-isotopic signature for the Krakow Spadzista site is indicated by green diamonds and the light grey box across all time periods. We have added red (~mid-summer) and grey (~January) boxes to the authors original figure to delineate time periods with </w:t>
      </w:r>
      <w:r w:rsidRPr="00111AEA">
        <w:rPr>
          <w:vertAlign w:val="superscript"/>
        </w:rPr>
        <w:t>87</w:t>
      </w:r>
      <w:r>
        <w:t>Sr:</w:t>
      </w:r>
      <w:r w:rsidRPr="00111AEA">
        <w:rPr>
          <w:vertAlign w:val="superscript"/>
        </w:rPr>
        <w:t>86</w:t>
      </w:r>
      <w:r>
        <w:t xml:space="preserve">Sr peaks and troughs. The </w:t>
      </w:r>
      <w:r w:rsidRPr="00EC799E">
        <w:rPr>
          <w:vertAlign w:val="superscript"/>
        </w:rPr>
        <w:t>87</w:t>
      </w:r>
      <w:r>
        <w:t>Sr:</w:t>
      </w:r>
      <w:r w:rsidRPr="00EC799E">
        <w:rPr>
          <w:vertAlign w:val="superscript"/>
        </w:rPr>
        <w:t>86</w:t>
      </w:r>
      <w:r>
        <w:t>Sr peak for the last year starts earlier than the total Sr peak. Therefore, final year data was not used in the analyses presented below. Data from Figure 4 in Kowalik et al</w:t>
      </w:r>
      <w:r>
        <w:rPr>
          <w:lang w:val="en-US" w:eastAsia="ja-JP"/>
        </w:rPr>
        <w:t>. 2023.</w:t>
      </w:r>
    </w:p>
    <w:p w14:paraId="60337248" w14:textId="77777777" w:rsidR="00D90CDF" w:rsidRDefault="00D90CDF" w:rsidP="00D90CDF">
      <w:pPr>
        <w:pStyle w:val="Newparagraph"/>
        <w:spacing w:after="3" w:line="473" w:lineRule="auto"/>
        <w:ind w:right="144" w:firstLine="0"/>
        <w:jc w:val="both"/>
        <w:rPr>
          <w:lang w:val="en-US" w:eastAsia="ja-JP"/>
        </w:rPr>
      </w:pPr>
      <w:r>
        <w:rPr>
          <w:lang w:val="en-US" w:eastAsia="ja-JP"/>
        </w:rPr>
        <w:t>-</w:t>
      </w:r>
    </w:p>
    <w:p w14:paraId="70A58C83" w14:textId="6ED60B1C" w:rsidR="0007773C" w:rsidRDefault="0007773C" w:rsidP="00D90CDF">
      <w:pPr>
        <w:pStyle w:val="Newparagraph"/>
        <w:spacing w:after="3" w:line="473" w:lineRule="auto"/>
        <w:ind w:right="144" w:firstLine="0"/>
        <w:jc w:val="both"/>
      </w:pPr>
      <w:r>
        <w:rPr>
          <w:lang w:val="en-US" w:eastAsia="ja-JP"/>
        </w:rPr>
        <w:tab/>
      </w:r>
      <w:r w:rsidR="00B06563">
        <w:rPr>
          <w:lang w:val="en-US" w:eastAsia="ja-JP"/>
        </w:rPr>
        <w:t xml:space="preserve">We have been unable to obtain the original data that would allow a pairing of </w:t>
      </w:r>
      <w:r w:rsidR="0078777E" w:rsidRPr="005F1D50">
        <w:rPr>
          <w:vertAlign w:val="superscript"/>
          <w:lang w:val="en-US" w:eastAsia="ja-JP"/>
        </w:rPr>
        <w:t>87</w:t>
      </w:r>
      <w:r w:rsidR="0078777E">
        <w:rPr>
          <w:lang w:val="en-US" w:eastAsia="ja-JP"/>
        </w:rPr>
        <w:t>Sr:</w:t>
      </w:r>
      <w:r w:rsidR="0078777E" w:rsidRPr="005F1D50">
        <w:rPr>
          <w:vertAlign w:val="superscript"/>
          <w:lang w:val="en-US" w:eastAsia="ja-JP"/>
        </w:rPr>
        <w:t>86</w:t>
      </w:r>
      <w:r w:rsidR="0078777E">
        <w:rPr>
          <w:lang w:val="en-US" w:eastAsia="ja-JP"/>
        </w:rPr>
        <w:t xml:space="preserve">Sr ratio data with total Sr levels. </w:t>
      </w:r>
      <w:r w:rsidR="005F1D50">
        <w:rPr>
          <w:lang w:val="en-US" w:eastAsia="ja-JP"/>
        </w:rPr>
        <w:t>Therefore</w:t>
      </w:r>
      <w:r w:rsidR="007F4F4C">
        <w:rPr>
          <w:lang w:val="en-US" w:eastAsia="ja-JP"/>
        </w:rPr>
        <w:t>,</w:t>
      </w:r>
      <w:r w:rsidR="005F1D50">
        <w:rPr>
          <w:lang w:val="en-US" w:eastAsia="ja-JP"/>
        </w:rPr>
        <w:t xml:space="preserve"> an alternate analysis is described below. </w:t>
      </w:r>
      <w:r>
        <w:rPr>
          <w:lang w:val="en-US" w:eastAsia="ja-JP"/>
        </w:rPr>
        <w:t xml:space="preserve">Figures S1e and f show total Sr and </w:t>
      </w:r>
      <w:r w:rsidRPr="00FA3046">
        <w:rPr>
          <w:vertAlign w:val="superscript"/>
          <w:lang w:val="en-US" w:eastAsia="ja-JP"/>
        </w:rPr>
        <w:t>87</w:t>
      </w:r>
      <w:r>
        <w:rPr>
          <w:lang w:val="en-US" w:eastAsia="ja-JP"/>
        </w:rPr>
        <w:t>Sr:</w:t>
      </w:r>
      <w:r w:rsidRPr="00FA3046">
        <w:rPr>
          <w:vertAlign w:val="superscript"/>
          <w:lang w:val="en-US" w:eastAsia="ja-JP"/>
        </w:rPr>
        <w:t>86</w:t>
      </w:r>
      <w:r>
        <w:rPr>
          <w:lang w:val="en-US" w:eastAsia="ja-JP"/>
        </w:rPr>
        <w:t>Sr ratio</w:t>
      </w:r>
      <w:r w:rsidR="007F4837">
        <w:rPr>
          <w:lang w:val="en-US" w:eastAsia="ja-JP"/>
        </w:rPr>
        <w:t xml:space="preserve"> peak, trough and left and right shoulder points</w:t>
      </w:r>
      <w:r>
        <w:rPr>
          <w:lang w:val="en-US" w:eastAsia="ja-JP"/>
        </w:rPr>
        <w:t xml:space="preserve"> that were digitally extracted from Figure S1</w:t>
      </w:r>
      <w:r w:rsidR="007F4837">
        <w:rPr>
          <w:lang w:val="en-US" w:eastAsia="ja-JP"/>
        </w:rPr>
        <w:t>d</w:t>
      </w:r>
      <w:r>
        <w:rPr>
          <w:lang w:val="en-US" w:eastAsia="ja-JP"/>
        </w:rPr>
        <w:t xml:space="preserve">. Both total Sr (Figure S1e) and </w:t>
      </w:r>
      <w:r w:rsidRPr="00FA3046">
        <w:rPr>
          <w:vertAlign w:val="superscript"/>
          <w:lang w:val="en-US" w:eastAsia="ja-JP"/>
        </w:rPr>
        <w:t>87</w:t>
      </w:r>
      <w:r>
        <w:rPr>
          <w:lang w:val="en-US" w:eastAsia="ja-JP"/>
        </w:rPr>
        <w:t>Sr:</w:t>
      </w:r>
      <w:r w:rsidRPr="00FA3046">
        <w:rPr>
          <w:vertAlign w:val="superscript"/>
          <w:lang w:val="en-US" w:eastAsia="ja-JP"/>
        </w:rPr>
        <w:t>86</w:t>
      </w:r>
      <w:r>
        <w:rPr>
          <w:lang w:val="en-US" w:eastAsia="ja-JP"/>
        </w:rPr>
        <w:t xml:space="preserve">Sr ratio (Figure S1f) are plotted </w:t>
      </w:r>
      <w:r>
        <w:t xml:space="preserve">versus the distance along an occlusal to basal transect of the fossil tooth. </w:t>
      </w:r>
    </w:p>
    <w:p w14:paraId="527306E6" w14:textId="10FA8A29" w:rsidR="00B030B0" w:rsidRDefault="00B030B0" w:rsidP="00B030B0">
      <w:pPr>
        <w:pStyle w:val="Newparagraph"/>
        <w:spacing w:after="3" w:line="473" w:lineRule="auto"/>
        <w:ind w:right="144" w:firstLine="0"/>
        <w:jc w:val="both"/>
      </w:pPr>
      <w:r>
        <w:tab/>
        <w:t xml:space="preserve">As was the case for the ancient bovine tooth, total Sr is variable suggesting that </w:t>
      </w:r>
      <w:r w:rsidRPr="00B030B0">
        <w:rPr>
          <w:vertAlign w:val="superscript"/>
        </w:rPr>
        <w:t>87</w:t>
      </w:r>
      <w:r>
        <w:t>Sr:</w:t>
      </w:r>
      <w:r w:rsidRPr="00B030B0">
        <w:rPr>
          <w:vertAlign w:val="superscript"/>
        </w:rPr>
        <w:t>86</w:t>
      </w:r>
      <w:r>
        <w:t xml:space="preserve">Sr ratios will be a function of both total Sr and possible changing diets associated with changes in geographic locations. Within a given year, </w:t>
      </w:r>
      <w:r w:rsidRPr="00FA3046">
        <w:rPr>
          <w:vertAlign w:val="superscript"/>
        </w:rPr>
        <w:t>87</w:t>
      </w:r>
      <w:r>
        <w:t>Sr:</w:t>
      </w:r>
      <w:r w:rsidRPr="00FA3046">
        <w:rPr>
          <w:vertAlign w:val="superscript"/>
        </w:rPr>
        <w:t>86</w:t>
      </w:r>
      <w:r>
        <w:t xml:space="preserve">Sr ratios increase with increases in total Sr, but over time, total Sr increases while </w:t>
      </w:r>
      <w:r w:rsidRPr="00FA3046">
        <w:rPr>
          <w:vertAlign w:val="superscript"/>
        </w:rPr>
        <w:t>87</w:t>
      </w:r>
      <w:r>
        <w:t>Sr:</w:t>
      </w:r>
      <w:r w:rsidRPr="00FA3046">
        <w:rPr>
          <w:vertAlign w:val="superscript"/>
        </w:rPr>
        <w:t>86</w:t>
      </w:r>
      <w:r>
        <w:t xml:space="preserve">Sr ratios decrease. Other than the fact that </w:t>
      </w:r>
      <w:r w:rsidRPr="00B75148">
        <w:rPr>
          <w:vertAlign w:val="superscript"/>
        </w:rPr>
        <w:t>87</w:t>
      </w:r>
      <w:r>
        <w:t>Sr:</w:t>
      </w:r>
      <w:r w:rsidRPr="00B75148">
        <w:rPr>
          <w:vertAlign w:val="superscript"/>
        </w:rPr>
        <w:t>86</w:t>
      </w:r>
      <w:r>
        <w:t>Sr values are likely confounded</w:t>
      </w:r>
      <w:r w:rsidR="00B75148">
        <w:t>,</w:t>
      </w:r>
      <w:r>
        <w:t xml:space="preserve"> it is difficult to determine the impact of variable total Sr on migration interpretations involving changing </w:t>
      </w:r>
      <w:r w:rsidRPr="00B75148">
        <w:rPr>
          <w:vertAlign w:val="superscript"/>
        </w:rPr>
        <w:t>87</w:t>
      </w:r>
      <w:r>
        <w:t>Sr:</w:t>
      </w:r>
      <w:r w:rsidRPr="00B75148">
        <w:rPr>
          <w:vertAlign w:val="superscript"/>
        </w:rPr>
        <w:t>86</w:t>
      </w:r>
      <w:r w:rsidR="00B75148">
        <w:t>Sr</w:t>
      </w:r>
      <w:r>
        <w:t xml:space="preserve"> ratios.</w:t>
      </w:r>
      <w:r w:rsidR="00B75148">
        <w:t xml:space="preserve"> However, our limited data does allow an evaluation of whether source evaluations from peak or through time periods are stable over time.</w:t>
      </w:r>
    </w:p>
    <w:p w14:paraId="57868E45" w14:textId="76CA57F6" w:rsidR="00B75148" w:rsidRDefault="00B75148" w:rsidP="00B75148">
      <w:pPr>
        <w:pStyle w:val="Newparagraph"/>
        <w:spacing w:after="3" w:line="473" w:lineRule="auto"/>
        <w:ind w:right="144" w:firstLine="0"/>
        <w:jc w:val="both"/>
        <w:rPr>
          <w:lang w:val="en-US" w:eastAsia="ja-JP"/>
        </w:rPr>
      </w:pPr>
      <w:r>
        <w:rPr>
          <w:lang w:val="en-US" w:eastAsia="ja-JP"/>
        </w:rPr>
        <w:tab/>
        <w:t xml:space="preserve">Possible food types could differ in total Sr and </w:t>
      </w:r>
      <w:r w:rsidRPr="0073042E">
        <w:rPr>
          <w:vertAlign w:val="superscript"/>
          <w:lang w:val="en-US" w:eastAsia="ja-JP"/>
        </w:rPr>
        <w:t>87</w:t>
      </w:r>
      <w:r>
        <w:rPr>
          <w:lang w:val="en-US" w:eastAsia="ja-JP"/>
        </w:rPr>
        <w:t>Sr:</w:t>
      </w:r>
      <w:r w:rsidRPr="0073042E">
        <w:rPr>
          <w:vertAlign w:val="superscript"/>
          <w:lang w:val="en-US" w:eastAsia="ja-JP"/>
        </w:rPr>
        <w:t>86</w:t>
      </w:r>
      <w:r>
        <w:rPr>
          <w:lang w:val="en-US" w:eastAsia="ja-JP"/>
        </w:rPr>
        <w:t xml:space="preserve">Sr sources when comparing bleak winter conditions in January with more lush and variable food sources at the height of the </w:t>
      </w:r>
      <w:r>
        <w:rPr>
          <w:lang w:val="en-US" w:eastAsia="ja-JP"/>
        </w:rPr>
        <w:lastRenderedPageBreak/>
        <w:t xml:space="preserve">growing season in mid-summer even if the mammoth did not migrate. </w:t>
      </w:r>
      <w:r>
        <w:t xml:space="preserve">A migratory lifestyle may have been the exception rather than the rule for large herbivores (Wooller et al. 2021; </w:t>
      </w:r>
      <w:r>
        <w:rPr>
          <w:lang w:val="en-US" w:eastAsia="ja-JP"/>
        </w:rPr>
        <w:t>Kowalik et al. 2023</w:t>
      </w:r>
      <w:r>
        <w:t xml:space="preserve">). </w:t>
      </w:r>
      <w:r>
        <w:rPr>
          <w:lang w:val="en-US" w:eastAsia="ja-JP"/>
        </w:rPr>
        <w:t xml:space="preserve">Furthermore, small patches of highly desirable food with different </w:t>
      </w:r>
      <w:r w:rsidR="00F85A7D">
        <w:rPr>
          <w:lang w:val="en-US" w:eastAsia="ja-JP"/>
        </w:rPr>
        <w:t xml:space="preserve">total Sr and </w:t>
      </w:r>
      <w:r>
        <w:rPr>
          <w:lang w:val="en-US" w:eastAsia="ja-JP"/>
        </w:rPr>
        <w:t xml:space="preserve">isotopic </w:t>
      </w:r>
      <w:r w:rsidR="00F85A7D">
        <w:rPr>
          <w:lang w:val="en-US" w:eastAsia="ja-JP"/>
        </w:rPr>
        <w:t>ratios</w:t>
      </w:r>
      <w:r>
        <w:rPr>
          <w:lang w:val="en-US" w:eastAsia="ja-JP"/>
        </w:rPr>
        <w:t xml:space="preserve"> could be encountered even within a restricted area. </w:t>
      </w:r>
    </w:p>
    <w:p w14:paraId="5DFCA428" w14:textId="77777777" w:rsidR="00B75148" w:rsidRDefault="00B75148" w:rsidP="00B75148">
      <w:pPr>
        <w:pStyle w:val="Newparagraph"/>
        <w:spacing w:after="3" w:line="473" w:lineRule="auto"/>
        <w:ind w:right="144"/>
        <w:jc w:val="both"/>
        <w:rPr>
          <w:lang w:val="en-US" w:eastAsia="ja-JP"/>
        </w:rPr>
      </w:pPr>
      <w:r>
        <w:rPr>
          <w:lang w:val="en-US" w:eastAsia="ja-JP"/>
        </w:rPr>
        <w:t xml:space="preserve">Our cursory analysis suggests </w:t>
      </w:r>
      <w:r w:rsidRPr="0073042E">
        <w:rPr>
          <w:vertAlign w:val="superscript"/>
          <w:lang w:val="en-US" w:eastAsia="ja-JP"/>
        </w:rPr>
        <w:t>87</w:t>
      </w:r>
      <w:r>
        <w:rPr>
          <w:lang w:val="en-US" w:eastAsia="ja-JP"/>
        </w:rPr>
        <w:t>Sr:</w:t>
      </w:r>
      <w:r w:rsidRPr="0073042E">
        <w:rPr>
          <w:vertAlign w:val="superscript"/>
          <w:lang w:val="en-US" w:eastAsia="ja-JP"/>
        </w:rPr>
        <w:t>86</w:t>
      </w:r>
      <w:r>
        <w:rPr>
          <w:lang w:val="en-US" w:eastAsia="ja-JP"/>
        </w:rPr>
        <w:t xml:space="preserve">Sr became more enriched as total Sr increases for the 9 years of summer data we evaluated. Sources appear to be constant for the same 9 years as total Sr increases over time in January. We are not claiming the mammoth migration routes the original authors propose are incorrect. More analyses are required. The purpose of this example is to demonstrate that a clear up and down pattern of observed </w:t>
      </w:r>
      <w:r w:rsidRPr="00383545">
        <w:rPr>
          <w:vertAlign w:val="superscript"/>
          <w:lang w:val="en-US" w:eastAsia="ja-JP"/>
        </w:rPr>
        <w:t>87</w:t>
      </w:r>
      <w:r>
        <w:rPr>
          <w:lang w:val="en-US" w:eastAsia="ja-JP"/>
        </w:rPr>
        <w:t>Sr:</w:t>
      </w:r>
      <w:r w:rsidRPr="00383545">
        <w:rPr>
          <w:vertAlign w:val="superscript"/>
          <w:lang w:val="en-US" w:eastAsia="ja-JP"/>
        </w:rPr>
        <w:t>86</w:t>
      </w:r>
      <w:r>
        <w:rPr>
          <w:lang w:val="en-US" w:eastAsia="ja-JP"/>
        </w:rPr>
        <w:t xml:space="preserve">Sr ratios can be mathematically consistent with changing sources that are associated with observed peaks over time even when trough sources remain constant. </w:t>
      </w:r>
    </w:p>
    <w:p w14:paraId="3930079D" w14:textId="600CC003" w:rsidR="00B030B0" w:rsidRDefault="00B030B0" w:rsidP="00D90CDF">
      <w:pPr>
        <w:pStyle w:val="Newparagraph"/>
        <w:spacing w:after="3" w:line="473" w:lineRule="auto"/>
        <w:ind w:right="144" w:firstLine="0"/>
        <w:jc w:val="both"/>
        <w:rPr>
          <w:lang w:val="en-US" w:eastAsia="ja-JP"/>
        </w:rPr>
      </w:pPr>
    </w:p>
    <w:p w14:paraId="30B41364" w14:textId="29F4F570" w:rsidR="00D90CDF" w:rsidRDefault="00BB0ADE" w:rsidP="00D90CDF">
      <w:pPr>
        <w:pStyle w:val="Newparagraph"/>
        <w:spacing w:after="3" w:line="473" w:lineRule="auto"/>
        <w:ind w:right="144" w:firstLine="0"/>
        <w:jc w:val="both"/>
        <w:rPr>
          <w:lang w:val="en-US" w:eastAsia="ja-JP"/>
        </w:rPr>
      </w:pPr>
      <w:r w:rsidRPr="00BB0ADE">
        <w:rPr>
          <w:noProof/>
        </w:rPr>
        <w:drawing>
          <wp:inline distT="0" distB="0" distL="0" distR="0" wp14:anchorId="35788ACD" wp14:editId="6C71AE64">
            <wp:extent cx="4580952" cy="2590476"/>
            <wp:effectExtent l="0" t="0" r="0" b="635"/>
            <wp:docPr id="144938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38458" name=""/>
                    <pic:cNvPicPr/>
                  </pic:nvPicPr>
                  <pic:blipFill>
                    <a:blip r:embed="rId25"/>
                    <a:stretch>
                      <a:fillRect/>
                    </a:stretch>
                  </pic:blipFill>
                  <pic:spPr>
                    <a:xfrm>
                      <a:off x="0" y="0"/>
                      <a:ext cx="4580952" cy="2590476"/>
                    </a:xfrm>
                    <a:prstGeom prst="rect">
                      <a:avLst/>
                    </a:prstGeom>
                  </pic:spPr>
                </pic:pic>
              </a:graphicData>
            </a:graphic>
          </wp:inline>
        </w:drawing>
      </w:r>
    </w:p>
    <w:p w14:paraId="0758B800" w14:textId="77777777" w:rsidR="00D90CDF" w:rsidRDefault="00D90CDF" w:rsidP="00D90CDF">
      <w:pPr>
        <w:pStyle w:val="Newparagraph"/>
        <w:spacing w:after="3" w:line="473" w:lineRule="auto"/>
        <w:ind w:right="144" w:firstLine="0"/>
        <w:jc w:val="both"/>
        <w:rPr>
          <w:lang w:val="en-US" w:eastAsia="ja-JP"/>
        </w:rPr>
      </w:pPr>
    </w:p>
    <w:p w14:paraId="71979537" w14:textId="34C7EE30" w:rsidR="00D90CDF" w:rsidRDefault="00D90CDF" w:rsidP="00D90CDF">
      <w:pPr>
        <w:pStyle w:val="Newparagraph"/>
        <w:spacing w:after="3" w:line="473" w:lineRule="auto"/>
        <w:ind w:right="144" w:firstLine="0"/>
        <w:jc w:val="both"/>
        <w:rPr>
          <w:lang w:val="en-US" w:eastAsia="ja-JP"/>
        </w:rPr>
      </w:pPr>
      <w:r>
        <w:rPr>
          <w:lang w:val="en-US" w:eastAsia="ja-JP"/>
        </w:rPr>
        <w:t xml:space="preserve">Figure </w:t>
      </w:r>
      <w:r w:rsidR="006B0657">
        <w:rPr>
          <w:lang w:val="en-US" w:eastAsia="ja-JP"/>
        </w:rPr>
        <w:t>S</w:t>
      </w:r>
      <w:r w:rsidR="00F97431">
        <w:rPr>
          <w:lang w:val="en-US" w:eastAsia="ja-JP"/>
        </w:rPr>
        <w:t>1e</w:t>
      </w:r>
      <w:r>
        <w:rPr>
          <w:lang w:val="en-US" w:eastAsia="ja-JP"/>
        </w:rPr>
        <w:t xml:space="preserve">. Digitally extracted data for total Sr </w:t>
      </w:r>
      <w:r>
        <w:t>versus the distance along an occlusal to basal transect of a fossil mammoth tooth shown in Figure S</w:t>
      </w:r>
      <w:r w:rsidR="006F1E36">
        <w:t>1</w:t>
      </w:r>
      <w:r>
        <w:t xml:space="preserve">a. Total Sr values identified as trough (grey) correspond to the minimum total Sr in the grey box regions marked in Figure </w:t>
      </w:r>
      <w:r w:rsidR="006B0657">
        <w:t>S</w:t>
      </w:r>
      <w:r w:rsidR="00F97431">
        <w:t>1d</w:t>
      </w:r>
      <w:r>
        <w:t xml:space="preserve">. The peak (orange) total Sr values correspond to the maximum values in the orange box regions </w:t>
      </w:r>
      <w:r>
        <w:lastRenderedPageBreak/>
        <w:t xml:space="preserve">marked in Figure </w:t>
      </w:r>
      <w:r w:rsidR="006B0657">
        <w:t>S</w:t>
      </w:r>
      <w:r w:rsidR="00F97431">
        <w:t>1d</w:t>
      </w:r>
      <w:r>
        <w:t>. The left and right shoulders of each peak are identified as midway between the trough and peak (left shoulder) and a point the same distance from the peak (right shoulder). The slope is statistically significant (</w:t>
      </w:r>
      <w:r w:rsidRPr="009B613E">
        <w:rPr>
          <w:i/>
          <w:iCs/>
        </w:rPr>
        <w:t>p</w:t>
      </w:r>
      <w:r w:rsidR="00064E3A">
        <w:rPr>
          <w:i/>
          <w:iCs/>
        </w:rPr>
        <w:t xml:space="preserve"> </w:t>
      </w:r>
      <w:r>
        <w:t>=</w:t>
      </w:r>
      <w:r w:rsidR="00064E3A">
        <w:t xml:space="preserve"> </w:t>
      </w:r>
      <w:r>
        <w:t>0.00290). Data after Kowalik et al</w:t>
      </w:r>
      <w:r>
        <w:rPr>
          <w:lang w:val="en-US" w:eastAsia="ja-JP"/>
        </w:rPr>
        <w:t>. 2023.</w:t>
      </w:r>
    </w:p>
    <w:p w14:paraId="5F44482E" w14:textId="2CFE105F" w:rsidR="00D90CDF" w:rsidRDefault="00DD43A8" w:rsidP="00D90CDF">
      <w:pPr>
        <w:pStyle w:val="Newparagraph"/>
        <w:spacing w:after="3" w:line="473" w:lineRule="auto"/>
        <w:ind w:right="144" w:firstLine="0"/>
        <w:jc w:val="both"/>
        <w:rPr>
          <w:lang w:val="en-US" w:eastAsia="ja-JP"/>
        </w:rPr>
      </w:pPr>
      <w:r w:rsidRPr="00DD43A8">
        <w:rPr>
          <w:noProof/>
        </w:rPr>
        <w:drawing>
          <wp:inline distT="0" distB="0" distL="0" distR="0" wp14:anchorId="29C6D2A5" wp14:editId="4B8BDE61">
            <wp:extent cx="4571429" cy="2809524"/>
            <wp:effectExtent l="0" t="0" r="635" b="0"/>
            <wp:docPr id="1853112346" name="Picture 1" descr="A graph with blue and orang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112346" name="Picture 1" descr="A graph with blue and orange dots&#10;&#10;Description automatically generated"/>
                    <pic:cNvPicPr/>
                  </pic:nvPicPr>
                  <pic:blipFill>
                    <a:blip r:embed="rId26"/>
                    <a:stretch>
                      <a:fillRect/>
                    </a:stretch>
                  </pic:blipFill>
                  <pic:spPr>
                    <a:xfrm>
                      <a:off x="0" y="0"/>
                      <a:ext cx="4571429" cy="2809524"/>
                    </a:xfrm>
                    <a:prstGeom prst="rect">
                      <a:avLst/>
                    </a:prstGeom>
                  </pic:spPr>
                </pic:pic>
              </a:graphicData>
            </a:graphic>
          </wp:inline>
        </w:drawing>
      </w:r>
    </w:p>
    <w:p w14:paraId="5991E773" w14:textId="26A5B0AE" w:rsidR="00D90CDF" w:rsidRDefault="00D90CDF" w:rsidP="00D90CDF">
      <w:pPr>
        <w:pStyle w:val="Newparagraph"/>
        <w:spacing w:after="3" w:line="473" w:lineRule="auto"/>
        <w:ind w:right="144" w:firstLine="0"/>
        <w:jc w:val="both"/>
        <w:rPr>
          <w:lang w:val="en-US" w:eastAsia="ja-JP"/>
        </w:rPr>
      </w:pPr>
      <w:r>
        <w:rPr>
          <w:lang w:val="en-US" w:eastAsia="ja-JP"/>
        </w:rPr>
        <w:t xml:space="preserve">Figure </w:t>
      </w:r>
      <w:r w:rsidR="006B0657">
        <w:rPr>
          <w:lang w:val="en-US" w:eastAsia="ja-JP"/>
        </w:rPr>
        <w:t>S</w:t>
      </w:r>
      <w:r w:rsidR="00F97431">
        <w:rPr>
          <w:lang w:val="en-US" w:eastAsia="ja-JP"/>
        </w:rPr>
        <w:t>1f</w:t>
      </w:r>
      <w:r>
        <w:rPr>
          <w:lang w:val="en-US" w:eastAsia="ja-JP"/>
        </w:rPr>
        <w:t xml:space="preserve">. Digitally extracted data for total </w:t>
      </w:r>
      <w:r w:rsidRPr="007A699F">
        <w:rPr>
          <w:vertAlign w:val="superscript"/>
          <w:lang w:val="en-US" w:eastAsia="ja-JP"/>
        </w:rPr>
        <w:t>87</w:t>
      </w:r>
      <w:r>
        <w:rPr>
          <w:lang w:val="en-US" w:eastAsia="ja-JP"/>
        </w:rPr>
        <w:t>Sr:</w:t>
      </w:r>
      <w:r w:rsidRPr="007A699F">
        <w:rPr>
          <w:vertAlign w:val="superscript"/>
          <w:lang w:val="en-US" w:eastAsia="ja-JP"/>
        </w:rPr>
        <w:t>86</w:t>
      </w:r>
      <w:r>
        <w:rPr>
          <w:lang w:val="en-US" w:eastAsia="ja-JP"/>
        </w:rPr>
        <w:t xml:space="preserve">Sr ratio </w:t>
      </w:r>
      <w:r>
        <w:t xml:space="preserve">versus the distance along an occlusal to basal transect of a fossil mammoth tooth shown in Figure </w:t>
      </w:r>
      <w:r w:rsidR="006B0657">
        <w:t>S</w:t>
      </w:r>
      <w:r w:rsidR="00F97431">
        <w:t>1d</w:t>
      </w:r>
      <w:r>
        <w:t xml:space="preserve"> Values shown are the smoothed </w:t>
      </w:r>
      <w:r w:rsidRPr="007A699F">
        <w:rPr>
          <w:vertAlign w:val="superscript"/>
        </w:rPr>
        <w:t>87</w:t>
      </w:r>
      <w:r>
        <w:t>Sr:</w:t>
      </w:r>
      <w:r w:rsidRPr="007A699F">
        <w:rPr>
          <w:vertAlign w:val="superscript"/>
        </w:rPr>
        <w:t>86</w:t>
      </w:r>
      <w:r>
        <w:t xml:space="preserve">Sr values associated with trough, left shoulder, peak and right shoulder total Sr values presented in Figure </w:t>
      </w:r>
      <w:r w:rsidR="006B0657">
        <w:t>S</w:t>
      </w:r>
      <w:r w:rsidR="00F97431">
        <w:t>1e</w:t>
      </w:r>
      <w:r>
        <w:t>. The slope is statistically significant (</w:t>
      </w:r>
      <w:r w:rsidRPr="009B613E">
        <w:rPr>
          <w:i/>
          <w:iCs/>
        </w:rPr>
        <w:t>p</w:t>
      </w:r>
      <w:r w:rsidR="00064E3A">
        <w:rPr>
          <w:i/>
          <w:iCs/>
        </w:rPr>
        <w:t xml:space="preserve"> </w:t>
      </w:r>
      <w:r>
        <w:t>=</w:t>
      </w:r>
      <w:r w:rsidR="00064E3A">
        <w:t xml:space="preserve"> </w:t>
      </w:r>
      <w:r>
        <w:t>0.006117).</w:t>
      </w:r>
      <w:r w:rsidRPr="009B613E">
        <w:t xml:space="preserve"> </w:t>
      </w:r>
      <w:r>
        <w:t>Data after Kowalik et al</w:t>
      </w:r>
      <w:r>
        <w:rPr>
          <w:lang w:val="en-US" w:eastAsia="ja-JP"/>
        </w:rPr>
        <w:t>. 2023.</w:t>
      </w:r>
    </w:p>
    <w:p w14:paraId="4D68FF58" w14:textId="27CCE561" w:rsidR="00D90CDF" w:rsidRDefault="00F64DEC" w:rsidP="00D90CDF">
      <w:pPr>
        <w:pStyle w:val="Newparagraph"/>
        <w:spacing w:after="3" w:line="473" w:lineRule="auto"/>
        <w:ind w:right="144" w:firstLine="0"/>
        <w:jc w:val="both"/>
        <w:rPr>
          <w:lang w:val="en-US" w:eastAsia="ja-JP"/>
        </w:rPr>
      </w:pPr>
      <w:r w:rsidRPr="00F64DEC">
        <w:rPr>
          <w:noProof/>
        </w:rPr>
        <w:drawing>
          <wp:inline distT="0" distB="0" distL="0" distR="0" wp14:anchorId="7A887B33" wp14:editId="60EB3FDF">
            <wp:extent cx="4571429" cy="2761905"/>
            <wp:effectExtent l="0" t="0" r="635" b="635"/>
            <wp:docPr id="1742150427" name="Picture 1" descr="A graph of a graph of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150427" name="Picture 1" descr="A graph of a graph of numbers and a line&#10;&#10;Description automatically generated with medium confidence"/>
                    <pic:cNvPicPr/>
                  </pic:nvPicPr>
                  <pic:blipFill>
                    <a:blip r:embed="rId27"/>
                    <a:stretch>
                      <a:fillRect/>
                    </a:stretch>
                  </pic:blipFill>
                  <pic:spPr>
                    <a:xfrm>
                      <a:off x="0" y="0"/>
                      <a:ext cx="4571429" cy="2761905"/>
                    </a:xfrm>
                    <a:prstGeom prst="rect">
                      <a:avLst/>
                    </a:prstGeom>
                  </pic:spPr>
                </pic:pic>
              </a:graphicData>
            </a:graphic>
          </wp:inline>
        </w:drawing>
      </w:r>
    </w:p>
    <w:p w14:paraId="5018A145" w14:textId="3044ECFE" w:rsidR="00D90CDF" w:rsidRDefault="00D90CDF" w:rsidP="00D90CDF">
      <w:pPr>
        <w:pStyle w:val="Newparagraph"/>
        <w:spacing w:after="3" w:line="473" w:lineRule="auto"/>
        <w:ind w:right="144" w:firstLine="0"/>
        <w:jc w:val="both"/>
        <w:rPr>
          <w:lang w:val="en-US" w:eastAsia="ja-JP"/>
        </w:rPr>
      </w:pPr>
      <w:r>
        <w:rPr>
          <w:lang w:val="en-US" w:eastAsia="ja-JP"/>
        </w:rPr>
        <w:lastRenderedPageBreak/>
        <w:t>Figure S</w:t>
      </w:r>
      <w:r w:rsidR="00F97431">
        <w:rPr>
          <w:lang w:val="en-US" w:eastAsia="ja-JP"/>
        </w:rPr>
        <w:t>1g</w:t>
      </w:r>
      <w:r>
        <w:rPr>
          <w:lang w:val="en-US" w:eastAsia="ja-JP"/>
        </w:rPr>
        <w:t xml:space="preserve">. The relationship between </w:t>
      </w:r>
      <w:r w:rsidRPr="007A699F">
        <w:rPr>
          <w:vertAlign w:val="superscript"/>
          <w:lang w:val="en-US" w:eastAsia="ja-JP"/>
        </w:rPr>
        <w:t>86</w:t>
      </w:r>
      <w:r>
        <w:rPr>
          <w:lang w:val="en-US" w:eastAsia="ja-JP"/>
        </w:rPr>
        <w:t xml:space="preserve">Sr and </w:t>
      </w:r>
      <w:r w:rsidRPr="007A699F">
        <w:rPr>
          <w:vertAlign w:val="superscript"/>
          <w:lang w:val="en-US" w:eastAsia="ja-JP"/>
        </w:rPr>
        <w:t>87</w:t>
      </w:r>
      <w:r>
        <w:rPr>
          <w:lang w:val="en-US" w:eastAsia="ja-JP"/>
        </w:rPr>
        <w:t>Sr for peak and trough points for the data collected from a fossil mammoth tooth that is presented in Figures S</w:t>
      </w:r>
      <w:r w:rsidR="00FF41FB">
        <w:rPr>
          <w:lang w:val="en-US" w:eastAsia="ja-JP"/>
        </w:rPr>
        <w:t>1</w:t>
      </w:r>
      <w:r w:rsidR="00714C0B">
        <w:rPr>
          <w:lang w:val="en-US" w:eastAsia="ja-JP"/>
        </w:rPr>
        <w:t>e</w:t>
      </w:r>
      <w:r>
        <w:rPr>
          <w:lang w:val="en-US" w:eastAsia="ja-JP"/>
        </w:rPr>
        <w:t xml:space="preserve"> and </w:t>
      </w:r>
      <w:r w:rsidR="00714C0B">
        <w:rPr>
          <w:lang w:val="en-US" w:eastAsia="ja-JP"/>
        </w:rPr>
        <w:t>f</w:t>
      </w:r>
      <w:r>
        <w:rPr>
          <w:lang w:val="en-US" w:eastAsia="ja-JP"/>
        </w:rPr>
        <w:t>.</w:t>
      </w:r>
      <w:r w:rsidRPr="009B613E">
        <w:t xml:space="preserve"> </w:t>
      </w:r>
      <w:r w:rsidR="00714C0B">
        <w:t xml:space="preserve">Regression equations are color-coded to match data points. </w:t>
      </w:r>
      <w:r>
        <w:t>Linear slopes are statistically significant for both trough and peak data (</w:t>
      </w:r>
      <w:r w:rsidRPr="009B613E">
        <w:rPr>
          <w:i/>
          <w:iCs/>
        </w:rPr>
        <w:t>p</w:t>
      </w:r>
      <w:r>
        <w:t xml:space="preserve"> &lt; 10</w:t>
      </w:r>
      <w:r w:rsidRPr="009B613E">
        <w:rPr>
          <w:vertAlign w:val="superscript"/>
        </w:rPr>
        <w:t>-18</w:t>
      </w:r>
      <w:r>
        <w:t xml:space="preserve">). The linear </w:t>
      </w:r>
      <w:r w:rsidRPr="008D0A3C">
        <w:rPr>
          <w:i/>
          <w:iCs/>
        </w:rPr>
        <w:t>y</w:t>
      </w:r>
      <w:r>
        <w:t>-intercept is statistically significant for the trough (</w:t>
      </w:r>
      <w:r w:rsidRPr="009B613E">
        <w:rPr>
          <w:i/>
          <w:iCs/>
        </w:rPr>
        <w:t>p</w:t>
      </w:r>
      <w:r>
        <w:t xml:space="preserve"> = 0.03603) but not for the peak. Neither the </w:t>
      </w:r>
      <w:r w:rsidRPr="00D07400">
        <w:rPr>
          <w:i/>
          <w:iCs/>
        </w:rPr>
        <w:t>x</w:t>
      </w:r>
      <w:r w:rsidRPr="008D0A3C">
        <w:rPr>
          <w:vertAlign w:val="superscript"/>
        </w:rPr>
        <w:t>2</w:t>
      </w:r>
      <w:r>
        <w:t xml:space="preserve"> term or </w:t>
      </w:r>
      <w:r w:rsidRPr="008D0A3C">
        <w:rPr>
          <w:i/>
          <w:iCs/>
        </w:rPr>
        <w:t>y</w:t>
      </w:r>
      <w:r>
        <w:t xml:space="preserve">-intercept are significant for </w:t>
      </w:r>
      <w:r w:rsidR="006E728C">
        <w:t xml:space="preserve">the polynomial fit of </w:t>
      </w:r>
      <w:r>
        <w:t>the trough data (</w:t>
      </w:r>
      <w:r w:rsidRPr="008D0A3C">
        <w:rPr>
          <w:i/>
          <w:iCs/>
        </w:rPr>
        <w:t>p</w:t>
      </w:r>
      <w:r>
        <w:t xml:space="preserve"> = 0.533 and 0.738 respectively). Both the polynomial </w:t>
      </w:r>
      <w:r w:rsidRPr="00D07400">
        <w:rPr>
          <w:i/>
          <w:iCs/>
        </w:rPr>
        <w:t>x</w:t>
      </w:r>
      <w:r w:rsidRPr="008D0A3C">
        <w:rPr>
          <w:vertAlign w:val="superscript"/>
        </w:rPr>
        <w:t>2</w:t>
      </w:r>
      <w:r>
        <w:t xml:space="preserve"> term and </w:t>
      </w:r>
      <w:r w:rsidRPr="008D0A3C">
        <w:rPr>
          <w:i/>
          <w:iCs/>
        </w:rPr>
        <w:t>y</w:t>
      </w:r>
      <w:r>
        <w:t>-intercept approach statistical significance for the peak data (</w:t>
      </w:r>
      <w:r w:rsidRPr="008D0A3C">
        <w:rPr>
          <w:i/>
          <w:iCs/>
        </w:rPr>
        <w:t>p</w:t>
      </w:r>
      <w:r>
        <w:t xml:space="preserve"> = 0.102 and 0.113 respectively). Data after Kowalik et al</w:t>
      </w:r>
      <w:r>
        <w:rPr>
          <w:lang w:val="en-US" w:eastAsia="ja-JP"/>
        </w:rPr>
        <w:t>. 2023.</w:t>
      </w:r>
    </w:p>
    <w:p w14:paraId="5BEFA6C9" w14:textId="77777777" w:rsidR="00D90CDF" w:rsidRDefault="00D90CDF" w:rsidP="00D90CDF">
      <w:pPr>
        <w:pStyle w:val="Newparagraph"/>
        <w:spacing w:after="3" w:line="473" w:lineRule="auto"/>
        <w:ind w:right="144" w:firstLine="0"/>
        <w:jc w:val="both"/>
        <w:rPr>
          <w:lang w:val="en-US" w:eastAsia="ja-JP"/>
        </w:rPr>
      </w:pPr>
      <w:r>
        <w:rPr>
          <w:lang w:val="en-US" w:eastAsia="ja-JP"/>
        </w:rPr>
        <w:t>-</w:t>
      </w:r>
    </w:p>
    <w:p w14:paraId="0D1E8D8C" w14:textId="50ECF4EC" w:rsidR="00390395" w:rsidRDefault="00D90CDF" w:rsidP="00390395">
      <w:pPr>
        <w:pStyle w:val="Newparagraph"/>
        <w:spacing w:after="3" w:line="473" w:lineRule="auto"/>
        <w:ind w:right="144" w:firstLine="0"/>
        <w:jc w:val="both"/>
      </w:pPr>
      <w:r>
        <w:rPr>
          <w:lang w:val="en-US" w:eastAsia="ja-JP"/>
        </w:rPr>
        <w:tab/>
        <w:t xml:space="preserve">The trough data in Figure </w:t>
      </w:r>
      <w:r w:rsidR="006B0657">
        <w:rPr>
          <w:lang w:val="en-US" w:eastAsia="ja-JP"/>
        </w:rPr>
        <w:t>S</w:t>
      </w:r>
      <w:r w:rsidR="00F97431">
        <w:rPr>
          <w:lang w:val="en-US" w:eastAsia="ja-JP"/>
        </w:rPr>
        <w:t>1g</w:t>
      </w:r>
      <w:r>
        <w:rPr>
          <w:lang w:val="en-US" w:eastAsia="ja-JP"/>
        </w:rPr>
        <w:t xml:space="preserve"> is linear with a significantly positive </w:t>
      </w:r>
      <w:r w:rsidRPr="00165AFA">
        <w:rPr>
          <w:i/>
          <w:iCs/>
          <w:lang w:val="en-US" w:eastAsia="ja-JP"/>
        </w:rPr>
        <w:t>y</w:t>
      </w:r>
      <w:r>
        <w:rPr>
          <w:lang w:val="en-US" w:eastAsia="ja-JP"/>
        </w:rPr>
        <w:t>-intercept (</w:t>
      </w:r>
      <w:r w:rsidRPr="001D08C2">
        <w:rPr>
          <w:i/>
          <w:iCs/>
          <w:lang w:val="en-US" w:eastAsia="ja-JP"/>
        </w:rPr>
        <w:t>p</w:t>
      </w:r>
      <w:r w:rsidR="00714C0B">
        <w:rPr>
          <w:i/>
          <w:iCs/>
          <w:lang w:val="en-US" w:eastAsia="ja-JP"/>
        </w:rPr>
        <w:t xml:space="preserve"> </w:t>
      </w:r>
      <w:r>
        <w:rPr>
          <w:lang w:val="en-US" w:eastAsia="ja-JP"/>
        </w:rPr>
        <w:t>= 0.03603) and no detectable curvature (x</w:t>
      </w:r>
      <w:r w:rsidRPr="001D08C2">
        <w:rPr>
          <w:vertAlign w:val="superscript"/>
          <w:lang w:val="en-US" w:eastAsia="ja-JP"/>
        </w:rPr>
        <w:t>2</w:t>
      </w:r>
      <w:r>
        <w:rPr>
          <w:lang w:val="en-US" w:eastAsia="ja-JP"/>
        </w:rPr>
        <w:t xml:space="preserve"> term </w:t>
      </w:r>
      <w:r w:rsidRPr="00165AFA">
        <w:rPr>
          <w:i/>
          <w:iCs/>
          <w:lang w:val="en-US" w:eastAsia="ja-JP"/>
        </w:rPr>
        <w:t>p</w:t>
      </w:r>
      <w:r>
        <w:rPr>
          <w:lang w:val="en-US" w:eastAsia="ja-JP"/>
        </w:rPr>
        <w:t xml:space="preserve"> = 0.533). </w:t>
      </w:r>
      <w:r w:rsidR="00B75148">
        <w:rPr>
          <w:lang w:val="en-US" w:eastAsia="ja-JP"/>
        </w:rPr>
        <w:t xml:space="preserve">This suggests that the source for the trough time periods is constant over the nine years we evaluated. </w:t>
      </w:r>
      <w:r>
        <w:rPr>
          <w:lang w:val="en-US" w:eastAsia="ja-JP"/>
        </w:rPr>
        <w:t xml:space="preserve">As expected for a linear function with a positive </w:t>
      </w:r>
      <w:r w:rsidRPr="007E7749">
        <w:rPr>
          <w:i/>
          <w:iCs/>
          <w:lang w:val="en-US" w:eastAsia="ja-JP"/>
        </w:rPr>
        <w:t>y</w:t>
      </w:r>
      <w:r>
        <w:rPr>
          <w:lang w:val="en-US" w:eastAsia="ja-JP"/>
        </w:rPr>
        <w:t xml:space="preserve">-intercept </w:t>
      </w:r>
      <w:r w:rsidRPr="008277DC">
        <w:rPr>
          <w:vertAlign w:val="superscript"/>
          <w:lang w:val="en-US" w:eastAsia="ja-JP"/>
        </w:rPr>
        <w:t>87</w:t>
      </w:r>
      <w:r>
        <w:rPr>
          <w:lang w:val="en-US" w:eastAsia="ja-JP"/>
        </w:rPr>
        <w:t>Sr:</w:t>
      </w:r>
      <w:r w:rsidRPr="008277DC">
        <w:rPr>
          <w:vertAlign w:val="superscript"/>
          <w:lang w:val="en-US" w:eastAsia="ja-JP"/>
        </w:rPr>
        <w:t>86</w:t>
      </w:r>
      <w:r>
        <w:rPr>
          <w:lang w:val="en-US" w:eastAsia="ja-JP"/>
        </w:rPr>
        <w:t xml:space="preserve">Sr values decline for the trough points as </w:t>
      </w:r>
      <w:r w:rsidRPr="00622619">
        <w:rPr>
          <w:vertAlign w:val="superscript"/>
          <w:lang w:val="en-US" w:eastAsia="ja-JP"/>
        </w:rPr>
        <w:t>86</w:t>
      </w:r>
      <w:r>
        <w:rPr>
          <w:lang w:val="en-US" w:eastAsia="ja-JP"/>
        </w:rPr>
        <w:t>Sr increases (</w:t>
      </w:r>
      <w:r w:rsidRPr="001D08C2">
        <w:rPr>
          <w:i/>
          <w:iCs/>
          <w:lang w:val="en-US" w:eastAsia="ja-JP"/>
        </w:rPr>
        <w:t>p</w:t>
      </w:r>
      <w:r>
        <w:rPr>
          <w:lang w:val="en-US" w:eastAsia="ja-JP"/>
        </w:rPr>
        <w:t xml:space="preserve"> = 0.0285) in Figure S</w:t>
      </w:r>
      <w:r w:rsidR="006F1E36">
        <w:rPr>
          <w:lang w:val="en-US" w:eastAsia="ja-JP"/>
        </w:rPr>
        <w:t>1</w:t>
      </w:r>
      <w:r w:rsidR="00714C0B">
        <w:rPr>
          <w:lang w:val="en-US" w:eastAsia="ja-JP"/>
        </w:rPr>
        <w:t>h</w:t>
      </w:r>
      <w:r>
        <w:rPr>
          <w:lang w:val="en-US" w:eastAsia="ja-JP"/>
        </w:rPr>
        <w:t xml:space="preserve">. Because the declining </w:t>
      </w:r>
      <w:r w:rsidRPr="005B42F5">
        <w:rPr>
          <w:vertAlign w:val="superscript"/>
          <w:lang w:val="en-US" w:eastAsia="ja-JP"/>
        </w:rPr>
        <w:t>87</w:t>
      </w:r>
      <w:r>
        <w:rPr>
          <w:lang w:val="en-US" w:eastAsia="ja-JP"/>
        </w:rPr>
        <w:t>Sr:</w:t>
      </w:r>
      <w:r w:rsidRPr="005B42F5">
        <w:rPr>
          <w:vertAlign w:val="superscript"/>
          <w:lang w:val="en-US" w:eastAsia="ja-JP"/>
        </w:rPr>
        <w:t>86</w:t>
      </w:r>
      <w:r>
        <w:rPr>
          <w:lang w:val="en-US" w:eastAsia="ja-JP"/>
        </w:rPr>
        <w:t xml:space="preserve">Sr ratio points approach the slope of the </w:t>
      </w:r>
      <w:r w:rsidRPr="00165AFA">
        <w:rPr>
          <w:vertAlign w:val="superscript"/>
          <w:lang w:val="en-US" w:eastAsia="ja-JP"/>
        </w:rPr>
        <w:t>86</w:t>
      </w:r>
      <w:r>
        <w:rPr>
          <w:lang w:val="en-US" w:eastAsia="ja-JP"/>
        </w:rPr>
        <w:t xml:space="preserve">Sr vs. </w:t>
      </w:r>
      <w:r w:rsidRPr="00165AFA">
        <w:rPr>
          <w:vertAlign w:val="superscript"/>
          <w:lang w:val="en-US" w:eastAsia="ja-JP"/>
        </w:rPr>
        <w:t>87</w:t>
      </w:r>
      <w:r>
        <w:rPr>
          <w:lang w:val="en-US" w:eastAsia="ja-JP"/>
        </w:rPr>
        <w:t>Sr regression line</w:t>
      </w:r>
      <w:r w:rsidR="00714C0B">
        <w:rPr>
          <w:lang w:val="en-US" w:eastAsia="ja-JP"/>
        </w:rPr>
        <w:t xml:space="preserve"> (Figure S1g)</w:t>
      </w:r>
      <w:r>
        <w:rPr>
          <w:lang w:val="en-US" w:eastAsia="ja-JP"/>
        </w:rPr>
        <w:t xml:space="preserve">, the mean for </w:t>
      </w:r>
      <w:r w:rsidRPr="00165AFA">
        <w:rPr>
          <w:vertAlign w:val="superscript"/>
          <w:lang w:val="en-US" w:eastAsia="ja-JP"/>
        </w:rPr>
        <w:t>87</w:t>
      </w:r>
      <w:r>
        <w:rPr>
          <w:lang w:val="en-US" w:eastAsia="ja-JP"/>
        </w:rPr>
        <w:t>Sr:</w:t>
      </w:r>
      <w:r w:rsidRPr="00165AFA">
        <w:rPr>
          <w:vertAlign w:val="superscript"/>
          <w:lang w:val="en-US" w:eastAsia="ja-JP"/>
        </w:rPr>
        <w:t>86</w:t>
      </w:r>
      <w:r>
        <w:rPr>
          <w:lang w:val="en-US" w:eastAsia="ja-JP"/>
        </w:rPr>
        <w:t xml:space="preserve">Sr ratios </w:t>
      </w:r>
      <w:r w:rsidR="00714C0B">
        <w:rPr>
          <w:lang w:val="en-US" w:eastAsia="ja-JP"/>
        </w:rPr>
        <w:t xml:space="preserve">(0.7115) </w:t>
      </w:r>
      <w:r>
        <w:rPr>
          <w:lang w:val="en-US" w:eastAsia="ja-JP"/>
        </w:rPr>
        <w:t>will overestimate the likely trough source (slope</w:t>
      </w:r>
      <w:r w:rsidR="00714C0B">
        <w:rPr>
          <w:lang w:val="en-US" w:eastAsia="ja-JP"/>
        </w:rPr>
        <w:t xml:space="preserve"> = 0.71038</w:t>
      </w:r>
      <w:r>
        <w:rPr>
          <w:lang w:val="en-US" w:eastAsia="ja-JP"/>
        </w:rPr>
        <w:t>). The lack of curvature is also verified by a flat spline smoothed derivative (Figure S</w:t>
      </w:r>
      <w:r w:rsidR="006B0657">
        <w:rPr>
          <w:lang w:val="en-US" w:eastAsia="ja-JP"/>
        </w:rPr>
        <w:t>1</w:t>
      </w:r>
      <w:r w:rsidR="00714C0B">
        <w:rPr>
          <w:lang w:val="en-US" w:eastAsia="ja-JP"/>
        </w:rPr>
        <w:t>i</w:t>
      </w:r>
      <w:r>
        <w:rPr>
          <w:lang w:val="en-US" w:eastAsia="ja-JP"/>
        </w:rPr>
        <w:t>) that matches the trough slope.</w:t>
      </w:r>
      <w:r w:rsidR="00390395">
        <w:rPr>
          <w:lang w:val="en-US" w:eastAsia="ja-JP"/>
        </w:rPr>
        <w:t xml:space="preserve"> Although curvature for the 86</w:t>
      </w:r>
      <w:r w:rsidR="00390395" w:rsidRPr="00390395">
        <w:rPr>
          <w:vertAlign w:val="superscript"/>
          <w:lang w:val="en-US" w:eastAsia="ja-JP"/>
        </w:rPr>
        <w:t>Sr</w:t>
      </w:r>
      <w:r w:rsidR="00390395">
        <w:rPr>
          <w:lang w:val="en-US" w:eastAsia="ja-JP"/>
        </w:rPr>
        <w:t xml:space="preserve"> vs. </w:t>
      </w:r>
      <w:r w:rsidR="00390395" w:rsidRPr="00390395">
        <w:rPr>
          <w:vertAlign w:val="superscript"/>
          <w:lang w:val="en-US" w:eastAsia="ja-JP"/>
        </w:rPr>
        <w:t>87</w:t>
      </w:r>
      <w:r w:rsidR="00390395">
        <w:rPr>
          <w:lang w:val="en-US" w:eastAsia="ja-JP"/>
        </w:rPr>
        <w:t xml:space="preserve">Sr peak points only approach statistical significance the possibility of source changes during peak time period is intriguing. With an analysis of the complete dataset this could be confirmed. </w:t>
      </w:r>
      <w:r w:rsidR="00390395">
        <w:t xml:space="preserve">As expected, a convex polynomial with a positive </w:t>
      </w:r>
      <w:r w:rsidR="00390395" w:rsidRPr="00211E2C">
        <w:rPr>
          <w:i/>
          <w:iCs/>
        </w:rPr>
        <w:t>y</w:t>
      </w:r>
      <w:r w:rsidR="00390395">
        <w:t xml:space="preserve">-intercept would not produce declining </w:t>
      </w:r>
      <w:r w:rsidR="00390395" w:rsidRPr="00211E2C">
        <w:rPr>
          <w:vertAlign w:val="superscript"/>
        </w:rPr>
        <w:t>87</w:t>
      </w:r>
      <w:r w:rsidR="00390395">
        <w:t>Sr:</w:t>
      </w:r>
      <w:r w:rsidR="00390395" w:rsidRPr="00211E2C">
        <w:rPr>
          <w:vertAlign w:val="superscript"/>
        </w:rPr>
        <w:t>86</w:t>
      </w:r>
      <w:r w:rsidR="00390395">
        <w:t xml:space="preserve">Sr values for the peak points as </w:t>
      </w:r>
      <w:r w:rsidR="00390395" w:rsidRPr="00211E2C">
        <w:rPr>
          <w:vertAlign w:val="superscript"/>
        </w:rPr>
        <w:t>86</w:t>
      </w:r>
      <w:r w:rsidR="00390395">
        <w:t xml:space="preserve">Sr increases (Figure S1h). </w:t>
      </w:r>
    </w:p>
    <w:p w14:paraId="13DE5B3E" w14:textId="6828DECB" w:rsidR="00D90CDF" w:rsidRDefault="00D90CDF" w:rsidP="00D90CDF">
      <w:pPr>
        <w:pStyle w:val="Newparagraph"/>
        <w:spacing w:after="3" w:line="473" w:lineRule="auto"/>
        <w:ind w:right="144" w:firstLine="0"/>
        <w:jc w:val="both"/>
        <w:rPr>
          <w:lang w:val="en-US" w:eastAsia="ja-JP"/>
        </w:rPr>
      </w:pPr>
    </w:p>
    <w:p w14:paraId="545F146B" w14:textId="77777777" w:rsidR="00D90CDF" w:rsidRDefault="00D90CDF" w:rsidP="00D90CDF">
      <w:pPr>
        <w:pStyle w:val="Newparagraph"/>
        <w:spacing w:after="3" w:line="473" w:lineRule="auto"/>
        <w:ind w:right="144" w:firstLine="0"/>
        <w:jc w:val="both"/>
        <w:rPr>
          <w:lang w:val="en-US" w:eastAsia="ja-JP"/>
        </w:rPr>
      </w:pPr>
      <w:r w:rsidRPr="001A1433">
        <w:rPr>
          <w:noProof/>
        </w:rPr>
        <w:lastRenderedPageBreak/>
        <w:drawing>
          <wp:inline distT="0" distB="0" distL="0" distR="0" wp14:anchorId="0125DEBD" wp14:editId="24DEA877">
            <wp:extent cx="4580952" cy="2752381"/>
            <wp:effectExtent l="0" t="0" r="0" b="0"/>
            <wp:docPr id="1595340697"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340697" name="Picture 1" descr="A graph of a graph&#10;&#10;Description automatically generated with medium confidence"/>
                    <pic:cNvPicPr/>
                  </pic:nvPicPr>
                  <pic:blipFill>
                    <a:blip r:embed="rId28"/>
                    <a:stretch>
                      <a:fillRect/>
                    </a:stretch>
                  </pic:blipFill>
                  <pic:spPr>
                    <a:xfrm>
                      <a:off x="0" y="0"/>
                      <a:ext cx="4580952" cy="2752381"/>
                    </a:xfrm>
                    <a:prstGeom prst="rect">
                      <a:avLst/>
                    </a:prstGeom>
                  </pic:spPr>
                </pic:pic>
              </a:graphicData>
            </a:graphic>
          </wp:inline>
        </w:drawing>
      </w:r>
    </w:p>
    <w:p w14:paraId="5E9F1DDE" w14:textId="3D7AE842" w:rsidR="00D90CDF" w:rsidRDefault="00D90CDF" w:rsidP="00D90CDF">
      <w:pPr>
        <w:pStyle w:val="Newparagraph"/>
        <w:spacing w:after="3" w:line="473" w:lineRule="auto"/>
        <w:ind w:right="144" w:firstLine="0"/>
        <w:jc w:val="both"/>
        <w:rPr>
          <w:lang w:val="en-US" w:eastAsia="ja-JP"/>
        </w:rPr>
      </w:pPr>
      <w:r>
        <w:rPr>
          <w:lang w:val="en-US" w:eastAsia="ja-JP"/>
        </w:rPr>
        <w:t xml:space="preserve">Figure </w:t>
      </w:r>
      <w:r w:rsidR="006B0657">
        <w:rPr>
          <w:lang w:val="en-US" w:eastAsia="ja-JP"/>
        </w:rPr>
        <w:t>S</w:t>
      </w:r>
      <w:r w:rsidR="00F97431">
        <w:rPr>
          <w:lang w:val="en-US" w:eastAsia="ja-JP"/>
        </w:rPr>
        <w:t>1h</w:t>
      </w:r>
      <w:r>
        <w:rPr>
          <w:lang w:val="en-US" w:eastAsia="ja-JP"/>
        </w:rPr>
        <w:t xml:space="preserve">. The relationship between </w:t>
      </w:r>
      <w:r w:rsidRPr="007A699F">
        <w:rPr>
          <w:vertAlign w:val="superscript"/>
          <w:lang w:val="en-US" w:eastAsia="ja-JP"/>
        </w:rPr>
        <w:t>86</w:t>
      </w:r>
      <w:r>
        <w:rPr>
          <w:lang w:val="en-US" w:eastAsia="ja-JP"/>
        </w:rPr>
        <w:t xml:space="preserve">Sr and </w:t>
      </w:r>
      <w:r w:rsidRPr="007A699F">
        <w:rPr>
          <w:vertAlign w:val="superscript"/>
          <w:lang w:val="en-US" w:eastAsia="ja-JP"/>
        </w:rPr>
        <w:t>87</w:t>
      </w:r>
      <w:r>
        <w:rPr>
          <w:lang w:val="en-US" w:eastAsia="ja-JP"/>
        </w:rPr>
        <w:t>Sr:</w:t>
      </w:r>
      <w:r w:rsidRPr="00337ABA">
        <w:rPr>
          <w:vertAlign w:val="superscript"/>
          <w:lang w:val="en-US" w:eastAsia="ja-JP"/>
        </w:rPr>
        <w:t>86</w:t>
      </w:r>
      <w:r>
        <w:rPr>
          <w:lang w:val="en-US" w:eastAsia="ja-JP"/>
        </w:rPr>
        <w:t xml:space="preserve">Sr ratio for peak and trough points for the data collected from a fossil mammoth tooth that is presented in Figures </w:t>
      </w:r>
      <w:r w:rsidR="006B0657">
        <w:rPr>
          <w:lang w:val="en-US" w:eastAsia="ja-JP"/>
        </w:rPr>
        <w:t>S</w:t>
      </w:r>
      <w:r w:rsidR="00F97431">
        <w:rPr>
          <w:lang w:val="en-US" w:eastAsia="ja-JP"/>
        </w:rPr>
        <w:t>1e</w:t>
      </w:r>
      <w:r>
        <w:rPr>
          <w:lang w:val="en-US" w:eastAsia="ja-JP"/>
        </w:rPr>
        <w:t xml:space="preserve"> and </w:t>
      </w:r>
      <w:r w:rsidR="00F97431">
        <w:rPr>
          <w:lang w:val="en-US" w:eastAsia="ja-JP"/>
        </w:rPr>
        <w:t>f</w:t>
      </w:r>
      <w:r>
        <w:rPr>
          <w:lang w:val="en-US" w:eastAsia="ja-JP"/>
        </w:rPr>
        <w:t>. Predicted values for trough and peak points are derived from the linear trough equation and polynomial peak equation in Figure S</w:t>
      </w:r>
      <w:r w:rsidR="006F1E36">
        <w:rPr>
          <w:lang w:val="en-US" w:eastAsia="ja-JP"/>
        </w:rPr>
        <w:t>1</w:t>
      </w:r>
      <w:r>
        <w:rPr>
          <w:lang w:val="en-US" w:eastAsia="ja-JP"/>
        </w:rPr>
        <w:t xml:space="preserve">d. As expected for a linear function with a positive </w:t>
      </w:r>
      <w:r w:rsidRPr="007E7749">
        <w:rPr>
          <w:i/>
          <w:iCs/>
          <w:lang w:val="en-US" w:eastAsia="ja-JP"/>
        </w:rPr>
        <w:t>y</w:t>
      </w:r>
      <w:r>
        <w:rPr>
          <w:lang w:val="en-US" w:eastAsia="ja-JP"/>
        </w:rPr>
        <w:t>-intercept (Figure S</w:t>
      </w:r>
      <w:r w:rsidR="006F1E36">
        <w:rPr>
          <w:lang w:val="en-US" w:eastAsia="ja-JP"/>
        </w:rPr>
        <w:t>1</w:t>
      </w:r>
      <w:r>
        <w:rPr>
          <w:lang w:val="en-US" w:eastAsia="ja-JP"/>
        </w:rPr>
        <w:t xml:space="preserve">d), values decline for the trough points with increasing </w:t>
      </w:r>
      <w:r w:rsidRPr="00E843C8">
        <w:rPr>
          <w:vertAlign w:val="superscript"/>
          <w:lang w:val="en-US" w:eastAsia="ja-JP"/>
        </w:rPr>
        <w:t>86</w:t>
      </w:r>
      <w:r>
        <w:rPr>
          <w:lang w:val="en-US" w:eastAsia="ja-JP"/>
        </w:rPr>
        <w:t>Sr (</w:t>
      </w:r>
      <w:r w:rsidRPr="00EA4C66">
        <w:rPr>
          <w:i/>
          <w:iCs/>
          <w:lang w:val="en-US" w:eastAsia="ja-JP"/>
        </w:rPr>
        <w:t>p</w:t>
      </w:r>
      <w:r>
        <w:rPr>
          <w:lang w:val="en-US" w:eastAsia="ja-JP"/>
        </w:rPr>
        <w:t xml:space="preserve"> = 0.0285). A constant decline for the peak points is not expected since a convex polynomial function with a positive </w:t>
      </w:r>
      <w:r w:rsidRPr="00EA4C66">
        <w:rPr>
          <w:i/>
          <w:iCs/>
          <w:lang w:val="en-US" w:eastAsia="ja-JP"/>
        </w:rPr>
        <w:t>y</w:t>
      </w:r>
      <w:r>
        <w:rPr>
          <w:lang w:val="en-US" w:eastAsia="ja-JP"/>
        </w:rPr>
        <w:t xml:space="preserve">-intercept likely fits the data. Values positioned next to the </w:t>
      </w:r>
      <w:r w:rsidRPr="00337ABA">
        <w:rPr>
          <w:i/>
          <w:iCs/>
          <w:lang w:val="en-US" w:eastAsia="ja-JP"/>
        </w:rPr>
        <w:t>y</w:t>
      </w:r>
      <w:r>
        <w:rPr>
          <w:lang w:val="en-US" w:eastAsia="ja-JP"/>
        </w:rPr>
        <w:t xml:space="preserve">-axis are mean </w:t>
      </w:r>
      <w:r w:rsidRPr="007A699F">
        <w:rPr>
          <w:vertAlign w:val="superscript"/>
          <w:lang w:val="en-US" w:eastAsia="ja-JP"/>
        </w:rPr>
        <w:t>87</w:t>
      </w:r>
      <w:r>
        <w:rPr>
          <w:lang w:val="en-US" w:eastAsia="ja-JP"/>
        </w:rPr>
        <w:t>Sr:</w:t>
      </w:r>
      <w:r w:rsidRPr="00337ABA">
        <w:rPr>
          <w:vertAlign w:val="superscript"/>
          <w:lang w:val="en-US" w:eastAsia="ja-JP"/>
        </w:rPr>
        <w:t>86</w:t>
      </w:r>
      <w:r>
        <w:rPr>
          <w:lang w:val="en-US" w:eastAsia="ja-JP"/>
        </w:rPr>
        <w:t>Sr ratio for peak (top) and trough (bottom) points.</w:t>
      </w:r>
      <w:r w:rsidR="00AC6DF2">
        <w:rPr>
          <w:lang w:val="en-US" w:eastAsia="ja-JP"/>
        </w:rPr>
        <w:t xml:space="preserve"> </w:t>
      </w:r>
      <w:r w:rsidR="00AC6DF2">
        <w:t>Data after Kowalik et al</w:t>
      </w:r>
      <w:r w:rsidR="00AC6DF2">
        <w:rPr>
          <w:lang w:val="en-US" w:eastAsia="ja-JP"/>
        </w:rPr>
        <w:t>. 2023.</w:t>
      </w:r>
    </w:p>
    <w:p w14:paraId="1949B50D" w14:textId="77777777" w:rsidR="00D90CDF" w:rsidRDefault="00D90CDF" w:rsidP="00D90CDF">
      <w:pPr>
        <w:pStyle w:val="Newparagraph"/>
        <w:spacing w:after="3" w:line="473" w:lineRule="auto"/>
        <w:ind w:right="144" w:firstLine="0"/>
        <w:jc w:val="both"/>
        <w:rPr>
          <w:lang w:val="en-US" w:eastAsia="ja-JP"/>
        </w:rPr>
      </w:pPr>
      <w:r>
        <w:rPr>
          <w:lang w:val="en-US" w:eastAsia="ja-JP"/>
        </w:rPr>
        <w:t>-</w:t>
      </w:r>
    </w:p>
    <w:p w14:paraId="3BB380AD" w14:textId="46FFABCF" w:rsidR="00D90CDF" w:rsidRDefault="00D90CDF" w:rsidP="00D90CDF">
      <w:pPr>
        <w:pStyle w:val="Newparagraph"/>
        <w:spacing w:after="3" w:line="473" w:lineRule="auto"/>
        <w:ind w:right="144" w:firstLine="0"/>
        <w:jc w:val="both"/>
      </w:pPr>
      <w:r>
        <w:rPr>
          <w:lang w:val="en-US" w:eastAsia="ja-JP"/>
        </w:rPr>
        <w:tab/>
      </w:r>
      <w:r w:rsidR="00390395">
        <w:t xml:space="preserve">Both the mathematical derived derivative and spline smoothed cubic derivative in Figure S1i match and suggest that there may be convex curvature for the peak </w:t>
      </w:r>
      <w:r w:rsidR="00390395" w:rsidRPr="006A0E4B">
        <w:rPr>
          <w:vertAlign w:val="superscript"/>
        </w:rPr>
        <w:t>86</w:t>
      </w:r>
      <w:r w:rsidR="00390395">
        <w:t xml:space="preserve">Sr vs. </w:t>
      </w:r>
      <w:r w:rsidR="00390395" w:rsidRPr="006A0E4B">
        <w:rPr>
          <w:vertAlign w:val="superscript"/>
        </w:rPr>
        <w:t>87</w:t>
      </w:r>
      <w:r w:rsidR="00390395">
        <w:t xml:space="preserve">Sr function. </w:t>
      </w:r>
      <w:r w:rsidR="00F85A7D">
        <w:t>Both t</w:t>
      </w:r>
      <w:r w:rsidR="00390395">
        <w:t xml:space="preserve">he changing source suggested by the spline smoothed </w:t>
      </w:r>
      <w:r w:rsidR="00F85A7D">
        <w:t xml:space="preserve">and mathematical </w:t>
      </w:r>
      <w:r w:rsidR="00390395">
        <w:t>derivative</w:t>
      </w:r>
      <w:r w:rsidR="00F85A7D">
        <w:t>s</w:t>
      </w:r>
      <w:r w:rsidR="00390395">
        <w:t xml:space="preserve"> spans source estimates made by slopes for and mean </w:t>
      </w:r>
      <w:r w:rsidR="00390395" w:rsidRPr="00FB2356">
        <w:rPr>
          <w:vertAlign w:val="superscript"/>
        </w:rPr>
        <w:t>87</w:t>
      </w:r>
      <w:r w:rsidR="00390395">
        <w:t>Sr:</w:t>
      </w:r>
      <w:r w:rsidR="00390395" w:rsidRPr="00FB2356">
        <w:rPr>
          <w:vertAlign w:val="superscript"/>
        </w:rPr>
        <w:t>86</w:t>
      </w:r>
      <w:r w:rsidR="00390395">
        <w:t xml:space="preserve">Sr ratios for both trough and peak points. </w:t>
      </w:r>
    </w:p>
    <w:p w14:paraId="705C353A" w14:textId="6699F99E" w:rsidR="00D90CDF" w:rsidRDefault="00AE14F0" w:rsidP="00D90CDF">
      <w:pPr>
        <w:pStyle w:val="Newparagraph"/>
        <w:spacing w:after="3" w:line="473" w:lineRule="auto"/>
        <w:ind w:right="144" w:firstLine="0"/>
        <w:jc w:val="both"/>
        <w:rPr>
          <w:lang w:val="en-US" w:eastAsia="ja-JP"/>
        </w:rPr>
      </w:pPr>
      <w:r w:rsidRPr="00AE14F0">
        <w:rPr>
          <w:noProof/>
        </w:rPr>
        <w:lastRenderedPageBreak/>
        <w:drawing>
          <wp:inline distT="0" distB="0" distL="0" distR="0" wp14:anchorId="3C0A162A" wp14:editId="6A011515">
            <wp:extent cx="4571429" cy="2752381"/>
            <wp:effectExtent l="0" t="0" r="635" b="0"/>
            <wp:docPr id="1207685140"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685140" name="Picture 1" descr="A graph of a graph&#10;&#10;Description automatically generated with medium confidence"/>
                    <pic:cNvPicPr/>
                  </pic:nvPicPr>
                  <pic:blipFill>
                    <a:blip r:embed="rId29"/>
                    <a:stretch>
                      <a:fillRect/>
                    </a:stretch>
                  </pic:blipFill>
                  <pic:spPr>
                    <a:xfrm>
                      <a:off x="0" y="0"/>
                      <a:ext cx="4571429" cy="2752381"/>
                    </a:xfrm>
                    <a:prstGeom prst="rect">
                      <a:avLst/>
                    </a:prstGeom>
                  </pic:spPr>
                </pic:pic>
              </a:graphicData>
            </a:graphic>
          </wp:inline>
        </w:drawing>
      </w:r>
    </w:p>
    <w:p w14:paraId="1C72DDBF" w14:textId="09605E6C" w:rsidR="00D90CDF" w:rsidRDefault="00D90CDF" w:rsidP="00D90CDF">
      <w:pPr>
        <w:pStyle w:val="Newparagraph"/>
        <w:spacing w:after="3" w:line="473" w:lineRule="auto"/>
        <w:ind w:right="144" w:firstLine="0"/>
        <w:jc w:val="both"/>
        <w:rPr>
          <w:lang w:val="en-US" w:eastAsia="ja-JP"/>
        </w:rPr>
      </w:pPr>
      <w:r>
        <w:rPr>
          <w:lang w:val="en-US" w:eastAsia="ja-JP"/>
        </w:rPr>
        <w:t xml:space="preserve">Figure </w:t>
      </w:r>
      <w:r w:rsidR="006B0657">
        <w:rPr>
          <w:lang w:val="en-US" w:eastAsia="ja-JP"/>
        </w:rPr>
        <w:t>S</w:t>
      </w:r>
      <w:r w:rsidR="00F97431">
        <w:rPr>
          <w:lang w:val="en-US" w:eastAsia="ja-JP"/>
        </w:rPr>
        <w:t>1i</w:t>
      </w:r>
      <w:r>
        <w:rPr>
          <w:lang w:val="en-US" w:eastAsia="ja-JP"/>
        </w:rPr>
        <w:t xml:space="preserve">. The relationship between both linear </w:t>
      </w:r>
      <w:r w:rsidRPr="007A699F">
        <w:rPr>
          <w:vertAlign w:val="superscript"/>
          <w:lang w:val="en-US" w:eastAsia="ja-JP"/>
        </w:rPr>
        <w:t>86</w:t>
      </w:r>
      <w:r>
        <w:rPr>
          <w:lang w:val="en-US" w:eastAsia="ja-JP"/>
        </w:rPr>
        <w:t xml:space="preserve">Sr vs. </w:t>
      </w:r>
      <w:r w:rsidRPr="007A699F">
        <w:rPr>
          <w:vertAlign w:val="superscript"/>
          <w:lang w:val="en-US" w:eastAsia="ja-JP"/>
        </w:rPr>
        <w:t>87</w:t>
      </w:r>
      <w:r>
        <w:rPr>
          <w:lang w:val="en-US" w:eastAsia="ja-JP"/>
        </w:rPr>
        <w:t xml:space="preserve">Sr slopes and spline smoothed cubic derivatives plotted against </w:t>
      </w:r>
      <w:r w:rsidRPr="00337ABA">
        <w:rPr>
          <w:vertAlign w:val="superscript"/>
          <w:lang w:val="en-US" w:eastAsia="ja-JP"/>
        </w:rPr>
        <w:t>86</w:t>
      </w:r>
      <w:r>
        <w:rPr>
          <w:lang w:val="en-US" w:eastAsia="ja-JP"/>
        </w:rPr>
        <w:t>Sr concentrations for the data presented in Figure S</w:t>
      </w:r>
      <w:r w:rsidR="006F1E36">
        <w:rPr>
          <w:lang w:val="en-US" w:eastAsia="ja-JP"/>
        </w:rPr>
        <w:t>1</w:t>
      </w:r>
      <w:r w:rsidR="007132EC">
        <w:rPr>
          <w:lang w:val="en-US" w:eastAsia="ja-JP"/>
        </w:rPr>
        <w:t>g</w:t>
      </w:r>
      <w:r>
        <w:rPr>
          <w:lang w:val="en-US" w:eastAsia="ja-JP"/>
        </w:rPr>
        <w:t xml:space="preserve">. </w:t>
      </w:r>
      <w:r w:rsidR="00D94496">
        <w:rPr>
          <w:lang w:val="en-US" w:eastAsia="ja-JP"/>
        </w:rPr>
        <w:t xml:space="preserve">Individual spline smoothed derivative points for the winter season (trough points in green circles) and the </w:t>
      </w:r>
      <w:r w:rsidR="00D94496" w:rsidRPr="00D94496">
        <w:rPr>
          <w:vertAlign w:val="superscript"/>
          <w:lang w:val="en-US" w:eastAsia="ja-JP"/>
        </w:rPr>
        <w:t>8</w:t>
      </w:r>
      <w:r w:rsidR="00D94496">
        <w:rPr>
          <w:vertAlign w:val="superscript"/>
          <w:lang w:val="en-US" w:eastAsia="ja-JP"/>
        </w:rPr>
        <w:t>6</w:t>
      </w:r>
      <w:r w:rsidR="00D94496">
        <w:rPr>
          <w:lang w:val="en-US" w:eastAsia="ja-JP"/>
        </w:rPr>
        <w:t xml:space="preserve">Sr vs. </w:t>
      </w:r>
      <w:r w:rsidR="00D94496" w:rsidRPr="00D94496">
        <w:rPr>
          <w:vertAlign w:val="superscript"/>
          <w:lang w:val="en-US" w:eastAsia="ja-JP"/>
        </w:rPr>
        <w:t>87</w:t>
      </w:r>
      <w:r w:rsidR="00D94496">
        <w:rPr>
          <w:lang w:val="en-US" w:eastAsia="ja-JP"/>
        </w:rPr>
        <w:t xml:space="preserve">Sr slope are identical. </w:t>
      </w:r>
      <w:r>
        <w:rPr>
          <w:lang w:val="en-US" w:eastAsia="ja-JP"/>
        </w:rPr>
        <w:t xml:space="preserve">The spline smoothed derivatives </w:t>
      </w:r>
      <w:r w:rsidR="00D94496">
        <w:rPr>
          <w:lang w:val="en-US" w:eastAsia="ja-JP"/>
        </w:rPr>
        <w:t xml:space="preserve">(square blue points) </w:t>
      </w:r>
      <w:r>
        <w:rPr>
          <w:lang w:val="en-US" w:eastAsia="ja-JP"/>
        </w:rPr>
        <w:t xml:space="preserve">for the actual summer season </w:t>
      </w:r>
      <w:r w:rsidR="00D94496">
        <w:rPr>
          <w:lang w:val="en-US" w:eastAsia="ja-JP"/>
        </w:rPr>
        <w:t xml:space="preserve">peak </w:t>
      </w:r>
      <w:r>
        <w:rPr>
          <w:lang w:val="en-US" w:eastAsia="ja-JP"/>
        </w:rPr>
        <w:t>points evaluated (orange peak points in Figure S</w:t>
      </w:r>
      <w:r w:rsidR="006F1E36">
        <w:rPr>
          <w:lang w:val="en-US" w:eastAsia="ja-JP"/>
        </w:rPr>
        <w:t>1</w:t>
      </w:r>
      <w:r w:rsidR="00D94496">
        <w:rPr>
          <w:lang w:val="en-US" w:eastAsia="ja-JP"/>
        </w:rPr>
        <w:t>g</w:t>
      </w:r>
      <w:r>
        <w:rPr>
          <w:lang w:val="en-US" w:eastAsia="ja-JP"/>
        </w:rPr>
        <w:t>) and a mathematical derivative (blue dashed line) derived from the summer season polynomial equation in Figure S</w:t>
      </w:r>
      <w:r w:rsidR="006F1E36">
        <w:rPr>
          <w:lang w:val="en-US" w:eastAsia="ja-JP"/>
        </w:rPr>
        <w:t>1</w:t>
      </w:r>
      <w:r w:rsidR="00D94496">
        <w:rPr>
          <w:lang w:val="en-US" w:eastAsia="ja-JP"/>
        </w:rPr>
        <w:t>g</w:t>
      </w:r>
      <w:r>
        <w:rPr>
          <w:lang w:val="en-US" w:eastAsia="ja-JP"/>
        </w:rPr>
        <w:t xml:space="preserve"> are also presented. Values positioned next to the </w:t>
      </w:r>
      <w:r w:rsidRPr="00337ABA">
        <w:rPr>
          <w:i/>
          <w:iCs/>
          <w:lang w:val="en-US" w:eastAsia="ja-JP"/>
        </w:rPr>
        <w:t>y</w:t>
      </w:r>
      <w:r>
        <w:rPr>
          <w:lang w:val="en-US" w:eastAsia="ja-JP"/>
        </w:rPr>
        <w:t xml:space="preserve">-axis are mean </w:t>
      </w:r>
      <w:r w:rsidRPr="007A699F">
        <w:rPr>
          <w:vertAlign w:val="superscript"/>
          <w:lang w:val="en-US" w:eastAsia="ja-JP"/>
        </w:rPr>
        <w:t>87</w:t>
      </w:r>
      <w:r>
        <w:rPr>
          <w:lang w:val="en-US" w:eastAsia="ja-JP"/>
        </w:rPr>
        <w:t>Sr:</w:t>
      </w:r>
      <w:r w:rsidRPr="00337ABA">
        <w:rPr>
          <w:vertAlign w:val="superscript"/>
          <w:lang w:val="en-US" w:eastAsia="ja-JP"/>
        </w:rPr>
        <w:t>86</w:t>
      </w:r>
      <w:r>
        <w:rPr>
          <w:lang w:val="en-US" w:eastAsia="ja-JP"/>
        </w:rPr>
        <w:t>Sr ratio for peak (top) and trough (bottom) points shown in Figure S</w:t>
      </w:r>
      <w:r w:rsidR="006F1E36">
        <w:rPr>
          <w:lang w:val="en-US" w:eastAsia="ja-JP"/>
        </w:rPr>
        <w:t>1</w:t>
      </w:r>
      <w:r>
        <w:rPr>
          <w:lang w:val="en-US" w:eastAsia="ja-JP"/>
        </w:rPr>
        <w:t>e.</w:t>
      </w:r>
      <w:r w:rsidR="00AC6DF2">
        <w:rPr>
          <w:lang w:val="en-US" w:eastAsia="ja-JP"/>
        </w:rPr>
        <w:t xml:space="preserve"> </w:t>
      </w:r>
      <w:r w:rsidR="00AC6DF2">
        <w:t>Data after Kowalik et al</w:t>
      </w:r>
      <w:r w:rsidR="00AC6DF2">
        <w:rPr>
          <w:lang w:val="en-US" w:eastAsia="ja-JP"/>
        </w:rPr>
        <w:t>. 2023.</w:t>
      </w:r>
    </w:p>
    <w:p w14:paraId="7DB19C9C" w14:textId="77777777" w:rsidR="00D90CDF" w:rsidRDefault="00D90CDF" w:rsidP="00D90CDF">
      <w:pPr>
        <w:pStyle w:val="Newparagraph"/>
        <w:spacing w:after="3" w:line="473" w:lineRule="auto"/>
        <w:ind w:right="144" w:firstLine="0"/>
        <w:jc w:val="both"/>
        <w:rPr>
          <w:lang w:val="en-US" w:eastAsia="ja-JP"/>
        </w:rPr>
      </w:pPr>
      <w:r>
        <w:rPr>
          <w:lang w:val="en-US" w:eastAsia="ja-JP"/>
        </w:rPr>
        <w:t>-</w:t>
      </w:r>
    </w:p>
    <w:p w14:paraId="2045E4ED" w14:textId="6E530B31" w:rsidR="0016102D" w:rsidRDefault="00D90CDF" w:rsidP="00514668">
      <w:pPr>
        <w:pStyle w:val="Newparagraph"/>
        <w:spacing w:after="3" w:line="473" w:lineRule="auto"/>
        <w:ind w:right="144"/>
        <w:jc w:val="both"/>
        <w:rPr>
          <w:lang w:val="en-US"/>
        </w:rPr>
      </w:pPr>
      <w:r>
        <w:rPr>
          <w:lang w:val="en-US" w:eastAsia="ja-JP"/>
        </w:rPr>
        <w:t>Changing source patterns in an animal will be difficult to match to an unchanging source value for a specific location. If migrating populations or individuals are to be accurately linked to specific locations for a given time period, source evaluations for the time period must be constant. We have been unable to find any instances where researchers have checked if this constant assumption is verified. Analyzing data (unsmoothed) for the time periods marked in the red and grey boxes in Figure S</w:t>
      </w:r>
      <w:r w:rsidR="006F1E36">
        <w:rPr>
          <w:lang w:val="en-US" w:eastAsia="ja-JP"/>
        </w:rPr>
        <w:t>1</w:t>
      </w:r>
      <w:r>
        <w:rPr>
          <w:lang w:val="en-US" w:eastAsia="ja-JP"/>
        </w:rPr>
        <w:t xml:space="preserve">a would determine if sources were constant or changing. One will not know if sources are constant and whether determining possible migration patterns </w:t>
      </w:r>
      <w:r>
        <w:rPr>
          <w:lang w:val="en-US" w:eastAsia="ja-JP"/>
        </w:rPr>
        <w:lastRenderedPageBreak/>
        <w:t xml:space="preserve">are appropriate until </w:t>
      </w:r>
      <w:r w:rsidR="00390395">
        <w:rPr>
          <w:lang w:val="en-US" w:eastAsia="ja-JP"/>
        </w:rPr>
        <w:t xml:space="preserve">more thorough </w:t>
      </w:r>
      <w:r>
        <w:rPr>
          <w:lang w:val="en-US" w:eastAsia="ja-JP"/>
        </w:rPr>
        <w:t xml:space="preserve">source analyses are conducted. </w:t>
      </w:r>
      <w:r w:rsidR="00514668">
        <w:rPr>
          <w:lang w:val="en-US" w:eastAsia="ja-JP"/>
        </w:rPr>
        <w:t xml:space="preserve">Evidence presented here is not conclusive but it does suggest that more evaluations are required. </w:t>
      </w:r>
      <w:r w:rsidR="0016102D">
        <w:rPr>
          <w:rFonts w:cstheme="minorHAnsi"/>
          <w:bCs/>
          <w:color w:val="000000" w:themeColor="text1"/>
        </w:rPr>
        <w:t xml:space="preserve">Matching the mean of changing and widely variable </w:t>
      </w:r>
      <w:r w:rsidR="0016102D" w:rsidRPr="00DE4BF9">
        <w:rPr>
          <w:rFonts w:cstheme="minorHAnsi"/>
          <w:bCs/>
          <w:color w:val="000000" w:themeColor="text1"/>
          <w:vertAlign w:val="superscript"/>
        </w:rPr>
        <w:t>87</w:t>
      </w:r>
      <w:r w:rsidR="0016102D">
        <w:rPr>
          <w:rFonts w:cstheme="minorHAnsi"/>
          <w:bCs/>
          <w:color w:val="000000" w:themeColor="text1"/>
        </w:rPr>
        <w:t>Sr:</w:t>
      </w:r>
      <w:r w:rsidR="0016102D" w:rsidRPr="00DE4BF9">
        <w:rPr>
          <w:rFonts w:cstheme="minorHAnsi"/>
          <w:bCs/>
          <w:color w:val="000000" w:themeColor="text1"/>
          <w:vertAlign w:val="superscript"/>
        </w:rPr>
        <w:t>86</w:t>
      </w:r>
      <w:r w:rsidR="0016102D">
        <w:rPr>
          <w:rFonts w:cstheme="minorHAnsi"/>
          <w:bCs/>
          <w:color w:val="000000" w:themeColor="text1"/>
        </w:rPr>
        <w:t xml:space="preserve">Sr source ratios with constant </w:t>
      </w:r>
      <w:r w:rsidR="0016102D" w:rsidRPr="00DE4BF9">
        <w:rPr>
          <w:rFonts w:cstheme="minorHAnsi"/>
          <w:bCs/>
          <w:color w:val="000000" w:themeColor="text1"/>
          <w:vertAlign w:val="superscript"/>
        </w:rPr>
        <w:t>87</w:t>
      </w:r>
      <w:r w:rsidR="0016102D">
        <w:rPr>
          <w:rFonts w:cstheme="minorHAnsi"/>
          <w:bCs/>
          <w:color w:val="000000" w:themeColor="text1"/>
        </w:rPr>
        <w:t>Sr:</w:t>
      </w:r>
      <w:r w:rsidR="0016102D" w:rsidRPr="00DE4BF9">
        <w:rPr>
          <w:rFonts w:cstheme="minorHAnsi"/>
          <w:bCs/>
          <w:color w:val="000000" w:themeColor="text1"/>
          <w:vertAlign w:val="superscript"/>
        </w:rPr>
        <w:t>86</w:t>
      </w:r>
      <w:r w:rsidR="005D0265">
        <w:rPr>
          <w:rFonts w:cstheme="minorHAnsi"/>
          <w:bCs/>
          <w:color w:val="000000" w:themeColor="text1"/>
        </w:rPr>
        <w:t>Sr</w:t>
      </w:r>
      <w:r w:rsidR="0016102D">
        <w:rPr>
          <w:rFonts w:cstheme="minorHAnsi"/>
          <w:bCs/>
          <w:color w:val="000000" w:themeColor="text1"/>
        </w:rPr>
        <w:t xml:space="preserve"> ratios for specific locations is problematic.</w:t>
      </w:r>
      <w:r w:rsidR="00853266">
        <w:rPr>
          <w:lang w:val="en-US"/>
        </w:rPr>
        <w:t>As stated above</w:t>
      </w:r>
      <w:r w:rsidR="0016102D" w:rsidRPr="00023D70">
        <w:rPr>
          <w:lang w:val="en-US"/>
        </w:rPr>
        <w:t xml:space="preserve">, the observed </w:t>
      </w:r>
      <w:r w:rsidR="0016102D" w:rsidRPr="00023D70">
        <w:rPr>
          <w:vertAlign w:val="superscript"/>
          <w:lang w:val="en-US"/>
        </w:rPr>
        <w:t>87</w:t>
      </w:r>
      <w:r w:rsidR="0016102D" w:rsidRPr="00023D70">
        <w:rPr>
          <w:lang w:val="en-US"/>
        </w:rPr>
        <w:t>Sr:</w:t>
      </w:r>
      <w:r w:rsidR="0016102D" w:rsidRPr="00023D70">
        <w:rPr>
          <w:vertAlign w:val="superscript"/>
          <w:lang w:val="en-US"/>
        </w:rPr>
        <w:t>86</w:t>
      </w:r>
      <w:r w:rsidR="0016102D" w:rsidRPr="00023D70">
        <w:rPr>
          <w:lang w:val="en-US"/>
        </w:rPr>
        <w:t xml:space="preserve">Sr ratio for </w:t>
      </w:r>
      <w:r w:rsidR="0016102D">
        <w:rPr>
          <w:lang w:val="en-US"/>
        </w:rPr>
        <w:t xml:space="preserve">Alaskan </w:t>
      </w:r>
      <w:r w:rsidR="0016102D" w:rsidRPr="00023D70">
        <w:rPr>
          <w:lang w:val="en-US"/>
        </w:rPr>
        <w:t xml:space="preserve">mammoth tusk or human and </w:t>
      </w:r>
      <w:r w:rsidR="0016102D">
        <w:rPr>
          <w:lang w:val="en-US"/>
        </w:rPr>
        <w:t>animal</w:t>
      </w:r>
      <w:r w:rsidR="0016102D" w:rsidRPr="00023D70">
        <w:rPr>
          <w:lang w:val="en-US"/>
        </w:rPr>
        <w:t xml:space="preserve"> teeth is likely a function of both geographic location and the total Sr in a sample.</w:t>
      </w:r>
      <w:r w:rsidR="005D0265">
        <w:rPr>
          <w:lang w:val="en-US"/>
        </w:rPr>
        <w:t xml:space="preserve"> Observed </w:t>
      </w:r>
      <w:r w:rsidR="005D0265" w:rsidRPr="005D0265">
        <w:rPr>
          <w:vertAlign w:val="superscript"/>
          <w:lang w:val="en-US"/>
        </w:rPr>
        <w:t>87</w:t>
      </w:r>
      <w:r w:rsidR="005D0265">
        <w:rPr>
          <w:lang w:val="en-US"/>
        </w:rPr>
        <w:t>Sr:</w:t>
      </w:r>
      <w:r w:rsidR="005D0265" w:rsidRPr="005D0265">
        <w:rPr>
          <w:vertAlign w:val="superscript"/>
          <w:lang w:val="en-US"/>
        </w:rPr>
        <w:t>86</w:t>
      </w:r>
      <w:r w:rsidR="005D0265">
        <w:rPr>
          <w:lang w:val="en-US"/>
        </w:rPr>
        <w:t>S</w:t>
      </w:r>
      <w:r w:rsidR="007132EC">
        <w:rPr>
          <w:lang w:val="en-US"/>
        </w:rPr>
        <w:t>r</w:t>
      </w:r>
      <w:r w:rsidR="005D0265">
        <w:rPr>
          <w:lang w:val="en-US"/>
        </w:rPr>
        <w:t xml:space="preserve"> ratios do not necessarily reflect </w:t>
      </w:r>
      <w:r w:rsidR="005D0265" w:rsidRPr="005D0265">
        <w:rPr>
          <w:vertAlign w:val="superscript"/>
          <w:lang w:val="en-US"/>
        </w:rPr>
        <w:t>87</w:t>
      </w:r>
      <w:r w:rsidR="005D0265">
        <w:rPr>
          <w:lang w:val="en-US"/>
        </w:rPr>
        <w:t>Sr:</w:t>
      </w:r>
      <w:r w:rsidR="005D0265" w:rsidRPr="005D0265">
        <w:rPr>
          <w:vertAlign w:val="superscript"/>
          <w:lang w:val="en-US"/>
        </w:rPr>
        <w:t>86</w:t>
      </w:r>
      <w:r w:rsidR="005D0265">
        <w:rPr>
          <w:lang w:val="en-US"/>
        </w:rPr>
        <w:t xml:space="preserve">Sr </w:t>
      </w:r>
      <w:r w:rsidR="00B060DF">
        <w:rPr>
          <w:lang w:val="en-US"/>
        </w:rPr>
        <w:t>sources</w:t>
      </w:r>
      <w:r w:rsidR="0016102D">
        <w:rPr>
          <w:lang w:val="en-US"/>
        </w:rPr>
        <w:t>.</w:t>
      </w:r>
    </w:p>
    <w:p w14:paraId="346C2576" w14:textId="333E38D7" w:rsidR="0016102D" w:rsidRPr="00023D70" w:rsidRDefault="0016102D" w:rsidP="0016102D">
      <w:pPr>
        <w:pStyle w:val="Newparagraph"/>
        <w:spacing w:after="3" w:line="473" w:lineRule="auto"/>
        <w:ind w:right="14"/>
        <w:jc w:val="both"/>
        <w:rPr>
          <w:lang w:val="en-US"/>
        </w:rPr>
      </w:pPr>
      <w:r w:rsidRPr="00023D70">
        <w:rPr>
          <w:lang w:val="en-US"/>
        </w:rPr>
        <w:t>Of the f</w:t>
      </w:r>
      <w:r>
        <w:rPr>
          <w:lang w:val="en-US"/>
        </w:rPr>
        <w:t>ive</w:t>
      </w:r>
      <w:r w:rsidRPr="00023D70">
        <w:rPr>
          <w:lang w:val="en-US"/>
        </w:rPr>
        <w:t xml:space="preserve"> </w:t>
      </w:r>
      <w:r>
        <w:rPr>
          <w:lang w:val="en-US"/>
        </w:rPr>
        <w:t xml:space="preserve">migration </w:t>
      </w:r>
      <w:r w:rsidRPr="00023D70">
        <w:rPr>
          <w:lang w:val="en-US"/>
        </w:rPr>
        <w:t>studies discussed (</w:t>
      </w:r>
      <w:r>
        <w:rPr>
          <w:lang w:val="en-US"/>
        </w:rPr>
        <w:t xml:space="preserve">Alaskan </w:t>
      </w:r>
      <w:r w:rsidRPr="00023D70">
        <w:rPr>
          <w:lang w:val="en-US"/>
        </w:rPr>
        <w:t xml:space="preserve">Mammoth, </w:t>
      </w:r>
      <w:r>
        <w:rPr>
          <w:lang w:val="en-US"/>
        </w:rPr>
        <w:t xml:space="preserve">European Mammoth, </w:t>
      </w:r>
      <w:r w:rsidRPr="00023D70">
        <w:rPr>
          <w:lang w:val="en-US"/>
        </w:rPr>
        <w:t xml:space="preserve">Ice Man, Viking Era Human and Bovine Migrations), only the Viking Era </w:t>
      </w:r>
      <w:r w:rsidR="001D0226">
        <w:rPr>
          <w:lang w:val="en-US"/>
        </w:rPr>
        <w:t xml:space="preserve">human </w:t>
      </w:r>
      <w:r w:rsidRPr="00023D70">
        <w:rPr>
          <w:lang w:val="en-US"/>
        </w:rPr>
        <w:t xml:space="preserve">migration study conducted source analyses. The bovine </w:t>
      </w:r>
      <w:r>
        <w:rPr>
          <w:lang w:val="en-US"/>
        </w:rPr>
        <w:t xml:space="preserve">and European mammoth </w:t>
      </w:r>
      <w:r w:rsidRPr="00023D70">
        <w:rPr>
          <w:lang w:val="en-US"/>
        </w:rPr>
        <w:t>stud</w:t>
      </w:r>
      <w:r>
        <w:rPr>
          <w:lang w:val="en-US"/>
        </w:rPr>
        <w:t>ies</w:t>
      </w:r>
      <w:r w:rsidRPr="00023D70">
        <w:rPr>
          <w:lang w:val="en-US"/>
        </w:rPr>
        <w:t xml:space="preserve"> determined total Sr but did not use it in source analyses. Total isotope amounts are not presented in the other two studies. Researchers are collecting excellent data to both develop and test sophisticated hypotheses. With little additional effort, possible errors can be detected and corrected with simple alterations to current data collection and analytical methods. Although unlikely, it is possible that observed ratios represent a source, but this cannot be confirmed unless it is evaluated. Tweaking current isoscape evaluations may result in delightful</w:t>
      </w:r>
      <w:r>
        <w:rPr>
          <w:lang w:val="en-US"/>
        </w:rPr>
        <w:t>ly pleasing</w:t>
      </w:r>
      <w:r w:rsidRPr="00023D70">
        <w:rPr>
          <w:lang w:val="en-US"/>
        </w:rPr>
        <w:t xml:space="preserve"> results.</w:t>
      </w:r>
    </w:p>
    <w:p w14:paraId="3CCD6C20" w14:textId="07997940" w:rsidR="0016102D" w:rsidRPr="0016102D" w:rsidRDefault="00451079" w:rsidP="0016102D">
      <w:pPr>
        <w:pStyle w:val="Heading1"/>
        <w:spacing w:after="3" w:line="473" w:lineRule="auto"/>
        <w:ind w:left="0" w:right="14"/>
        <w:jc w:val="both"/>
        <w:rPr>
          <w:rFonts w:ascii="Times New Roman" w:hAnsi="Times New Roman" w:cs="Times New Roman"/>
          <w:b w:val="0"/>
          <w:bCs/>
          <w:sz w:val="24"/>
          <w:szCs w:val="24"/>
        </w:rPr>
      </w:pPr>
      <w:r>
        <w:rPr>
          <w:rFonts w:ascii="Times New Roman" w:hAnsi="Times New Roman" w:cs="Times New Roman"/>
          <w:sz w:val="24"/>
          <w:szCs w:val="24"/>
        </w:rPr>
        <w:t>4</w:t>
      </w:r>
      <w:r w:rsidR="0016102D" w:rsidRPr="0016102D">
        <w:rPr>
          <w:rFonts w:ascii="Times New Roman" w:hAnsi="Times New Roman" w:cs="Times New Roman"/>
          <w:sz w:val="24"/>
          <w:szCs w:val="24"/>
        </w:rPr>
        <w:t>.</w:t>
      </w:r>
      <w:r w:rsidR="0057613A">
        <w:rPr>
          <w:rFonts w:ascii="Times New Roman" w:hAnsi="Times New Roman" w:cs="Times New Roman"/>
          <w:sz w:val="24"/>
          <w:szCs w:val="24"/>
        </w:rPr>
        <w:t>2</w:t>
      </w:r>
      <w:r w:rsidR="0016102D" w:rsidRPr="0016102D">
        <w:rPr>
          <w:rFonts w:ascii="Times New Roman" w:hAnsi="Times New Roman" w:cs="Times New Roman"/>
          <w:sz w:val="24"/>
          <w:szCs w:val="24"/>
        </w:rPr>
        <w:t xml:space="preserve"> Study </w:t>
      </w:r>
      <w:r w:rsidR="0016102D">
        <w:rPr>
          <w:rFonts w:ascii="Times New Roman" w:hAnsi="Times New Roman" w:cs="Times New Roman"/>
          <w:sz w:val="24"/>
          <w:szCs w:val="24"/>
        </w:rPr>
        <w:t>5</w:t>
      </w:r>
      <w:r w:rsidR="0016102D" w:rsidRPr="0016102D">
        <w:rPr>
          <w:rFonts w:ascii="Times New Roman" w:hAnsi="Times New Roman" w:cs="Times New Roman"/>
          <w:sz w:val="24"/>
          <w:szCs w:val="24"/>
        </w:rPr>
        <w:t>) Source Analyses Improve the Interpretation of Temporal Sr Isotope Patterns in a Water Inlet</w:t>
      </w:r>
    </w:p>
    <w:p w14:paraId="2FB9D45A" w14:textId="0B8E89C0" w:rsidR="0016102D" w:rsidRDefault="0016102D" w:rsidP="0016102D">
      <w:pPr>
        <w:pStyle w:val="Paragraph"/>
        <w:spacing w:before="0" w:after="3" w:line="473" w:lineRule="auto"/>
        <w:ind w:right="14"/>
        <w:jc w:val="both"/>
        <w:rPr>
          <w:lang w:val="en-US"/>
        </w:rPr>
      </w:pPr>
      <w:r w:rsidRPr="00023D70">
        <w:rPr>
          <w:lang w:val="en-US"/>
        </w:rPr>
        <w:t>To circumvent the difficulties in direct measurement of weathering Bailey et al. (1996) used Sr isotope</w:t>
      </w:r>
      <w:r>
        <w:rPr>
          <w:lang w:val="en-US"/>
        </w:rPr>
        <w:t>s</w:t>
      </w:r>
      <w:r w:rsidRPr="00023D70">
        <w:rPr>
          <w:lang w:val="en-US"/>
        </w:rPr>
        <w:t xml:space="preserve"> to define basic cation inputs and transport in a forest ecosystem. In small watersheds where the </w:t>
      </w:r>
      <w:r w:rsidRPr="00023D70">
        <w:rPr>
          <w:vertAlign w:val="superscript"/>
          <w:lang w:val="en-US"/>
        </w:rPr>
        <w:t>87</w:t>
      </w:r>
      <w:r w:rsidRPr="00023D70">
        <w:rPr>
          <w:lang w:val="en-US"/>
        </w:rPr>
        <w:t>Sr:</w:t>
      </w:r>
      <w:r w:rsidRPr="00023D70">
        <w:rPr>
          <w:vertAlign w:val="superscript"/>
          <w:lang w:val="en-US"/>
        </w:rPr>
        <w:t>86</w:t>
      </w:r>
      <w:r w:rsidRPr="00023D70">
        <w:rPr>
          <w:lang w:val="en-US"/>
        </w:rPr>
        <w:t xml:space="preserve">Sr ratios of atmospheric and weathering inputs are distinct and relatively constant over time, this method can be used to trace the transport of Sr through the ecosystem (Graustein 1989). </w:t>
      </w:r>
      <w:r w:rsidRPr="00023D70">
        <w:rPr>
          <w:bCs/>
          <w:lang w:val="en-US"/>
        </w:rPr>
        <w:t>A re</w:t>
      </w:r>
      <w:r>
        <w:rPr>
          <w:bCs/>
          <w:lang w:val="en-US"/>
        </w:rPr>
        <w:t>-</w:t>
      </w:r>
      <w:r w:rsidRPr="00023D70">
        <w:rPr>
          <w:bCs/>
          <w:lang w:val="en-US"/>
        </w:rPr>
        <w:t xml:space="preserve">evaluation of </w:t>
      </w:r>
      <w:r>
        <w:rPr>
          <w:bCs/>
          <w:lang w:val="en-US"/>
        </w:rPr>
        <w:t>a</w:t>
      </w:r>
      <w:r w:rsidRPr="00023D70">
        <w:rPr>
          <w:bCs/>
          <w:lang w:val="en-US"/>
        </w:rPr>
        <w:t xml:space="preserve"> </w:t>
      </w:r>
      <w:r w:rsidRPr="00023D70">
        <w:rPr>
          <w:lang w:val="en-US"/>
        </w:rPr>
        <w:t xml:space="preserve">Bailey et al. (1996) dataset for </w:t>
      </w:r>
      <w:r w:rsidRPr="00023D70">
        <w:rPr>
          <w:vertAlign w:val="superscript"/>
          <w:lang w:val="en-US"/>
        </w:rPr>
        <w:t>87</w:t>
      </w:r>
      <w:r w:rsidRPr="00023D70">
        <w:rPr>
          <w:lang w:val="en-US"/>
        </w:rPr>
        <w:t>Sr:</w:t>
      </w:r>
      <w:r w:rsidRPr="00023D70">
        <w:rPr>
          <w:vertAlign w:val="superscript"/>
          <w:lang w:val="en-US"/>
        </w:rPr>
        <w:t>86</w:t>
      </w:r>
      <w:r w:rsidRPr="00023D70">
        <w:rPr>
          <w:lang w:val="en-US"/>
        </w:rPr>
        <w:t xml:space="preserve">Sr ratios for water from an inlet in the Cone Pond Watershed </w:t>
      </w:r>
      <w:r w:rsidR="006E728C">
        <w:rPr>
          <w:lang w:val="en-US"/>
        </w:rPr>
        <w:t xml:space="preserve">in New Hampshire </w:t>
      </w:r>
      <w:r w:rsidRPr="00023D70">
        <w:rPr>
          <w:lang w:val="en-US"/>
        </w:rPr>
        <w:t xml:space="preserve">demonstrates how patterns of an observed ratio can differ from what occurs when plotting changing Sr source over time. The relationship between </w:t>
      </w:r>
      <w:r w:rsidRPr="00023D70">
        <w:rPr>
          <w:vertAlign w:val="superscript"/>
          <w:lang w:val="en-US"/>
        </w:rPr>
        <w:t>86</w:t>
      </w:r>
      <w:r w:rsidRPr="00023D70">
        <w:rPr>
          <w:lang w:val="en-US"/>
        </w:rPr>
        <w:t xml:space="preserve">Sr and </w:t>
      </w:r>
      <w:r w:rsidRPr="00023D70">
        <w:rPr>
          <w:vertAlign w:val="superscript"/>
          <w:lang w:val="en-US"/>
        </w:rPr>
        <w:t>87</w:t>
      </w:r>
      <w:r w:rsidRPr="00023D70">
        <w:rPr>
          <w:lang w:val="en-US"/>
        </w:rPr>
        <w:t xml:space="preserve">Sr is described by a convex function with a statistically </w:t>
      </w:r>
      <w:r w:rsidRPr="00023D70">
        <w:rPr>
          <w:lang w:val="en-US"/>
        </w:rPr>
        <w:lastRenderedPageBreak/>
        <w:t>significant x</w:t>
      </w:r>
      <w:r w:rsidRPr="00023D70">
        <w:rPr>
          <w:vertAlign w:val="superscript"/>
          <w:lang w:val="en-US"/>
        </w:rPr>
        <w:t>2</w:t>
      </w:r>
      <w:r w:rsidRPr="00023D70">
        <w:rPr>
          <w:lang w:val="en-US"/>
        </w:rPr>
        <w:t xml:space="preserve"> term and a positive </w:t>
      </w:r>
      <w:r w:rsidRPr="00023D70">
        <w:rPr>
          <w:i/>
          <w:iCs/>
          <w:lang w:val="en-US"/>
        </w:rPr>
        <w:t>y</w:t>
      </w:r>
      <w:r w:rsidRPr="00023D70">
        <w:rPr>
          <w:lang w:val="en-US"/>
        </w:rPr>
        <w:t xml:space="preserve">-intercept (Figure </w:t>
      </w:r>
      <w:r w:rsidR="00BB2D99">
        <w:rPr>
          <w:lang w:val="en-US"/>
        </w:rPr>
        <w:t>S2</w:t>
      </w:r>
      <w:r w:rsidRPr="00023D70">
        <w:rPr>
          <w:lang w:val="en-US"/>
        </w:rPr>
        <w:t xml:space="preserve">a). </w:t>
      </w:r>
    </w:p>
    <w:p w14:paraId="07145A8A" w14:textId="7D7302A7" w:rsidR="0016102D" w:rsidRDefault="005D0265" w:rsidP="007B7FCC">
      <w:pPr>
        <w:pStyle w:val="Newparagraph"/>
        <w:spacing w:after="3" w:line="473" w:lineRule="auto"/>
        <w:ind w:right="14" w:firstLine="0"/>
        <w:jc w:val="both"/>
        <w:rPr>
          <w:lang w:val="en-US" w:eastAsia="ja-JP"/>
        </w:rPr>
      </w:pPr>
      <w:r>
        <w:rPr>
          <w:lang w:val="en-US"/>
        </w:rPr>
        <w:tab/>
      </w:r>
      <w:r w:rsidR="0016102D">
        <w:rPr>
          <w:lang w:val="en-US"/>
        </w:rPr>
        <w:t>This example was deliberately chosen to demonstrate that spline smoothed derivatives are often not as definitive as one might expect.</w:t>
      </w:r>
      <w:r w:rsidR="0016102D" w:rsidRPr="00023D70">
        <w:rPr>
          <w:lang w:val="en-US"/>
        </w:rPr>
        <w:t xml:space="preserve"> The polynomial curvature demonstrated in Figure </w:t>
      </w:r>
      <w:r w:rsidR="00BB2D99">
        <w:rPr>
          <w:lang w:val="en-US"/>
        </w:rPr>
        <w:t>S2</w:t>
      </w:r>
      <w:r w:rsidR="0016102D" w:rsidRPr="00023D70">
        <w:rPr>
          <w:lang w:val="en-US"/>
        </w:rPr>
        <w:t xml:space="preserve">a is consistent with the spline smoothed derivatives </w:t>
      </w:r>
      <w:r w:rsidR="0016102D">
        <w:rPr>
          <w:lang w:val="en-US"/>
        </w:rPr>
        <w:t xml:space="preserve">and mathematically derived derivatives presented </w:t>
      </w:r>
      <w:r w:rsidR="0016102D" w:rsidRPr="00023D70">
        <w:rPr>
          <w:lang w:val="en-US"/>
        </w:rPr>
        <w:t xml:space="preserve">in Figures </w:t>
      </w:r>
      <w:r w:rsidR="00BB2D99">
        <w:rPr>
          <w:lang w:val="en-US"/>
        </w:rPr>
        <w:t>S2</w:t>
      </w:r>
      <w:r w:rsidR="0016102D" w:rsidRPr="00023D70">
        <w:rPr>
          <w:lang w:val="en-US"/>
        </w:rPr>
        <w:t>b</w:t>
      </w:r>
      <w:r w:rsidR="0016102D">
        <w:rPr>
          <w:lang w:val="en-US"/>
        </w:rPr>
        <w:t>, but there is considerable scatter in the spline smoothed derivative</w:t>
      </w:r>
      <w:r w:rsidR="00B11033">
        <w:rPr>
          <w:lang w:val="en-US"/>
        </w:rPr>
        <w:t xml:space="preserve"> mostly due to the three highest Sr samples collected during the summer</w:t>
      </w:r>
      <w:r w:rsidR="0016102D">
        <w:rPr>
          <w:lang w:val="en-US"/>
        </w:rPr>
        <w:t xml:space="preserve">. </w:t>
      </w:r>
      <w:r w:rsidR="0016102D">
        <w:rPr>
          <w:lang w:val="en-US" w:eastAsia="ja-JP"/>
        </w:rPr>
        <w:t xml:space="preserve">Even </w:t>
      </w:r>
      <w:r w:rsidR="00EC2F0C">
        <w:rPr>
          <w:lang w:val="en-US" w:eastAsia="ja-JP"/>
        </w:rPr>
        <w:t xml:space="preserve">when </w:t>
      </w:r>
      <w:r w:rsidR="0016102D">
        <w:rPr>
          <w:lang w:val="en-US" w:eastAsia="ja-JP"/>
        </w:rPr>
        <w:t>denominator vs. numerator r</w:t>
      </w:r>
      <w:r w:rsidR="0016102D" w:rsidRPr="005D0BC3">
        <w:rPr>
          <w:vertAlign w:val="superscript"/>
          <w:lang w:val="en-US" w:eastAsia="ja-JP"/>
        </w:rPr>
        <w:t>2</w:t>
      </w:r>
      <w:r w:rsidR="0016102D">
        <w:rPr>
          <w:lang w:val="en-US" w:eastAsia="ja-JP"/>
        </w:rPr>
        <w:t xml:space="preserve"> values are spectacularly high,</w:t>
      </w:r>
      <w:r w:rsidR="00923AF1">
        <w:rPr>
          <w:lang w:val="en-US" w:eastAsia="ja-JP"/>
        </w:rPr>
        <w:t xml:space="preserve"> </w:t>
      </w:r>
      <w:r w:rsidR="00EC2F0C">
        <w:rPr>
          <w:lang w:val="en-US" w:eastAsia="ja-JP"/>
        </w:rPr>
        <w:t xml:space="preserve">and polynomial curvature is statistically significant, </w:t>
      </w:r>
      <w:r w:rsidR="00923AF1">
        <w:rPr>
          <w:lang w:val="en-US"/>
        </w:rPr>
        <w:t xml:space="preserve">enough noise </w:t>
      </w:r>
      <w:r w:rsidR="00923AF1">
        <w:rPr>
          <w:lang w:val="en-US" w:eastAsia="ja-JP"/>
        </w:rPr>
        <w:t xml:space="preserve">often exists to complicate smoothing procedures. </w:t>
      </w:r>
      <w:r w:rsidR="00B11033">
        <w:rPr>
          <w:lang w:val="en-US" w:eastAsia="ja-JP"/>
        </w:rPr>
        <w:t xml:space="preserve">In some </w:t>
      </w:r>
      <w:r w:rsidR="00BB4E80">
        <w:rPr>
          <w:lang w:val="en-US" w:eastAsia="ja-JP"/>
        </w:rPr>
        <w:t>cases,</w:t>
      </w:r>
      <w:r w:rsidR="00B11033">
        <w:rPr>
          <w:lang w:val="en-US" w:eastAsia="ja-JP"/>
        </w:rPr>
        <w:t xml:space="preserve"> the scatter is even more severe. </w:t>
      </w:r>
      <w:r w:rsidR="00923AF1" w:rsidRPr="00023D70">
        <w:rPr>
          <w:lang w:val="en-US" w:eastAsia="ja-JP"/>
        </w:rPr>
        <w:t xml:space="preserve">Not all datasets can be </w:t>
      </w:r>
      <w:r w:rsidR="00923AF1">
        <w:rPr>
          <w:lang w:val="en-US" w:eastAsia="ja-JP"/>
        </w:rPr>
        <w:t xml:space="preserve">usefully </w:t>
      </w:r>
      <w:r w:rsidR="00923AF1" w:rsidRPr="00023D70">
        <w:rPr>
          <w:lang w:val="en-US" w:eastAsia="ja-JP"/>
        </w:rPr>
        <w:t>evaluated with spline-smoothed cubic derivatives.</w:t>
      </w:r>
      <w:r w:rsidR="00923AF1">
        <w:rPr>
          <w:lang w:val="en-US" w:eastAsia="ja-JP"/>
        </w:rPr>
        <w:t xml:space="preserve"> </w:t>
      </w:r>
    </w:p>
    <w:p w14:paraId="488EA40D" w14:textId="7FE1B484" w:rsidR="008D585E" w:rsidRPr="00023D70" w:rsidRDefault="008D585E" w:rsidP="008D585E">
      <w:pPr>
        <w:pStyle w:val="Newparagraph"/>
        <w:spacing w:after="3" w:line="473" w:lineRule="auto"/>
        <w:ind w:right="14"/>
        <w:jc w:val="both"/>
        <w:rPr>
          <w:lang w:val="en-US"/>
        </w:rPr>
      </w:pPr>
      <w:r>
        <w:rPr>
          <w:lang w:val="en-US" w:eastAsia="ja-JP"/>
        </w:rPr>
        <w:t xml:space="preserve">Even so, </w:t>
      </w:r>
      <w:r>
        <w:rPr>
          <w:lang w:val="en-US"/>
        </w:rPr>
        <w:t>a</w:t>
      </w:r>
      <w:r w:rsidRPr="00023D70">
        <w:rPr>
          <w:lang w:val="en-US"/>
        </w:rPr>
        <w:t xml:space="preserve"> U-shaped relationship (more clearly shown in the insert of Figure </w:t>
      </w:r>
      <w:r>
        <w:rPr>
          <w:lang w:val="en-US"/>
        </w:rPr>
        <w:t>S2</w:t>
      </w:r>
      <w:r w:rsidRPr="00023D70">
        <w:rPr>
          <w:lang w:val="en-US"/>
        </w:rPr>
        <w:t xml:space="preserve">b) between ratio denominator and an isotopic ratio is as expected for a </w:t>
      </w:r>
      <w:r w:rsidR="00EC2F0C">
        <w:rPr>
          <w:lang w:val="en-US"/>
        </w:rPr>
        <w:t xml:space="preserve">statistically significant </w:t>
      </w:r>
      <w:r w:rsidRPr="00023D70">
        <w:rPr>
          <w:lang w:val="en-US"/>
        </w:rPr>
        <w:t xml:space="preserve">convex </w:t>
      </w:r>
      <w:r w:rsidRPr="00023D70">
        <w:rPr>
          <w:vertAlign w:val="superscript"/>
          <w:lang w:val="en-US"/>
        </w:rPr>
        <w:t>86</w:t>
      </w:r>
      <w:r w:rsidRPr="00023D70">
        <w:rPr>
          <w:lang w:val="en-US"/>
        </w:rPr>
        <w:t>Sr</w:t>
      </w:r>
      <w:r>
        <w:rPr>
          <w:lang w:val="en-US"/>
        </w:rPr>
        <w:t xml:space="preserve"> vs.</w:t>
      </w:r>
      <w:r w:rsidRPr="00023D70">
        <w:rPr>
          <w:vertAlign w:val="superscript"/>
          <w:lang w:val="en-US"/>
        </w:rPr>
        <w:t>87</w:t>
      </w:r>
      <w:r w:rsidRPr="00023D70">
        <w:rPr>
          <w:lang w:val="en-US"/>
        </w:rPr>
        <w:t xml:space="preserve">Sr function with a negative </w:t>
      </w:r>
      <w:r w:rsidRPr="00023D70">
        <w:rPr>
          <w:i/>
          <w:iCs/>
          <w:lang w:val="en-US"/>
        </w:rPr>
        <w:t>y</w:t>
      </w:r>
      <w:r w:rsidRPr="00023D70">
        <w:rPr>
          <w:lang w:val="en-US"/>
        </w:rPr>
        <w:t>-intercept (</w:t>
      </w:r>
      <w:r w:rsidR="00C1509C">
        <w:rPr>
          <w:lang w:val="en-US"/>
        </w:rPr>
        <w:t>M</w:t>
      </w:r>
      <w:r w:rsidR="00774AFB">
        <w:rPr>
          <w:lang w:val="en-US"/>
        </w:rPr>
        <w:t>oots</w:t>
      </w:r>
      <w:r w:rsidR="00C1509C">
        <w:rPr>
          <w:lang w:val="en-US"/>
        </w:rPr>
        <w:t xml:space="preserve"> et al. </w:t>
      </w:r>
      <w:r w:rsidRPr="00023D70">
        <w:rPr>
          <w:lang w:val="en-US"/>
        </w:rPr>
        <w:t>202</w:t>
      </w:r>
      <w:r w:rsidR="00774AFB">
        <w:rPr>
          <w:lang w:val="en-US"/>
        </w:rPr>
        <w:t>4</w:t>
      </w:r>
      <w:r w:rsidRPr="00023D70">
        <w:rPr>
          <w:lang w:val="en-US"/>
        </w:rPr>
        <w:t xml:space="preserve">). The relationship between total Sr and the observed </w:t>
      </w:r>
      <w:r w:rsidRPr="00023D70">
        <w:rPr>
          <w:vertAlign w:val="superscript"/>
          <w:lang w:val="en-US"/>
        </w:rPr>
        <w:t>87</w:t>
      </w:r>
      <w:r w:rsidRPr="00023D70">
        <w:rPr>
          <w:lang w:val="en-US"/>
        </w:rPr>
        <w:t>Sr:</w:t>
      </w:r>
      <w:r w:rsidRPr="00023D70">
        <w:rPr>
          <w:vertAlign w:val="superscript"/>
          <w:lang w:val="en-US"/>
        </w:rPr>
        <w:t>86</w:t>
      </w:r>
      <w:r w:rsidRPr="00023D70">
        <w:rPr>
          <w:lang w:val="en-US"/>
        </w:rPr>
        <w:t xml:space="preserve">Sr ratios and the </w:t>
      </w:r>
      <w:r>
        <w:rPr>
          <w:lang w:val="en-US"/>
        </w:rPr>
        <w:t xml:space="preserve">mathematical </w:t>
      </w:r>
      <w:r w:rsidRPr="00023D70">
        <w:rPr>
          <w:lang w:val="en-US"/>
        </w:rPr>
        <w:t>derivative</w:t>
      </w:r>
      <w:r>
        <w:rPr>
          <w:lang w:val="en-US"/>
        </w:rPr>
        <w:t>s</w:t>
      </w:r>
      <w:r w:rsidRPr="00023D70">
        <w:rPr>
          <w:lang w:val="en-US"/>
        </w:rPr>
        <w:t xml:space="preserve"> for the </w:t>
      </w:r>
      <w:r w:rsidRPr="00023D70">
        <w:rPr>
          <w:vertAlign w:val="superscript"/>
          <w:lang w:val="en-US"/>
        </w:rPr>
        <w:t>86</w:t>
      </w:r>
      <w:r w:rsidRPr="00023D70">
        <w:rPr>
          <w:lang w:val="en-US"/>
        </w:rPr>
        <w:t>Sr vs.</w:t>
      </w:r>
      <w:r w:rsidRPr="00023D70">
        <w:rPr>
          <w:vertAlign w:val="superscript"/>
          <w:lang w:val="en-US"/>
        </w:rPr>
        <w:t>87</w:t>
      </w:r>
      <w:r w:rsidRPr="00023D70">
        <w:rPr>
          <w:lang w:val="en-US"/>
        </w:rPr>
        <w:t xml:space="preserve">Sr function (Figure </w:t>
      </w:r>
      <w:r>
        <w:rPr>
          <w:lang w:val="en-US"/>
        </w:rPr>
        <w:t>S2</w:t>
      </w:r>
      <w:r w:rsidRPr="00023D70">
        <w:rPr>
          <w:lang w:val="en-US"/>
        </w:rPr>
        <w:t xml:space="preserve">b), reveals the same patterns presented for the simulated data using total Sr on the </w:t>
      </w:r>
      <w:r w:rsidRPr="00023D70">
        <w:rPr>
          <w:i/>
          <w:iCs/>
          <w:lang w:val="en-US"/>
        </w:rPr>
        <w:t>x</w:t>
      </w:r>
      <w:r w:rsidRPr="00023D70">
        <w:rPr>
          <w:lang w:val="en-US"/>
        </w:rPr>
        <w:t xml:space="preserve">-axis presented in </w:t>
      </w:r>
      <w:r w:rsidR="00774AFB">
        <w:rPr>
          <w:lang w:val="en-US"/>
        </w:rPr>
        <w:t>Moots</w:t>
      </w:r>
      <w:r w:rsidR="00C1509C">
        <w:rPr>
          <w:lang w:val="en-US"/>
        </w:rPr>
        <w:t xml:space="preserve"> et al. </w:t>
      </w:r>
      <w:r w:rsidR="00774AFB">
        <w:rPr>
          <w:lang w:val="en-US"/>
        </w:rPr>
        <w:t>(</w:t>
      </w:r>
      <w:r>
        <w:rPr>
          <w:lang w:val="en-US"/>
        </w:rPr>
        <w:t>202</w:t>
      </w:r>
      <w:r w:rsidR="00774AFB">
        <w:rPr>
          <w:lang w:val="en-US"/>
        </w:rPr>
        <w:t>4)</w:t>
      </w:r>
      <w:r>
        <w:rPr>
          <w:lang w:val="en-US"/>
        </w:rPr>
        <w:t xml:space="preserve">, </w:t>
      </w:r>
      <w:r>
        <w:rPr>
          <w:rStyle w:val="e24kjd"/>
          <w:rFonts w:asciiTheme="majorBidi" w:hAnsiTheme="majorBidi" w:cstheme="majorBidi"/>
        </w:rPr>
        <w:t xml:space="preserve">Supplemental Material: Section 12, </w:t>
      </w:r>
      <w:r w:rsidRPr="00037B43">
        <w:rPr>
          <w:lang w:val="en-US"/>
        </w:rPr>
        <w:t>S</w:t>
      </w:r>
      <w:r>
        <w:rPr>
          <w:lang w:val="en-US"/>
        </w:rPr>
        <w:t>imulations demonstrating s</w:t>
      </w:r>
      <w:r w:rsidRPr="00037B43">
        <w:rPr>
          <w:lang w:val="en-US"/>
        </w:rPr>
        <w:t>ource, background</w:t>
      </w:r>
      <w:r>
        <w:rPr>
          <w:lang w:val="en-US"/>
        </w:rPr>
        <w:t xml:space="preserve"> </w:t>
      </w:r>
      <w:r w:rsidRPr="00037B43">
        <w:rPr>
          <w:lang w:val="en-US"/>
        </w:rPr>
        <w:t xml:space="preserve">and </w:t>
      </w:r>
      <w:r w:rsidRPr="00AE0378">
        <w:rPr>
          <w:i/>
          <w:iCs/>
          <w:lang w:val="en-US"/>
        </w:rPr>
        <w:t>y</w:t>
      </w:r>
      <w:r w:rsidRPr="00037B43">
        <w:rPr>
          <w:lang w:val="en-US"/>
        </w:rPr>
        <w:t xml:space="preserve">-intercepts for </w:t>
      </w:r>
      <w:r>
        <w:rPr>
          <w:lang w:val="en-US"/>
        </w:rPr>
        <w:t>c</w:t>
      </w:r>
      <w:r w:rsidRPr="00037B43">
        <w:rPr>
          <w:lang w:val="en-US"/>
        </w:rPr>
        <w:t xml:space="preserve">urvilinear </w:t>
      </w:r>
      <w:r>
        <w:rPr>
          <w:lang w:val="en-US"/>
        </w:rPr>
        <w:t>d</w:t>
      </w:r>
      <w:r w:rsidRPr="00037B43">
        <w:rPr>
          <w:lang w:val="en-US"/>
        </w:rPr>
        <w:t xml:space="preserve">enominator vs. </w:t>
      </w:r>
      <w:r>
        <w:rPr>
          <w:lang w:val="en-US"/>
        </w:rPr>
        <w:t>n</w:t>
      </w:r>
      <w:r w:rsidRPr="00037B43">
        <w:rPr>
          <w:lang w:val="en-US"/>
        </w:rPr>
        <w:t xml:space="preserve">umerator </w:t>
      </w:r>
      <w:r>
        <w:rPr>
          <w:lang w:val="en-US"/>
        </w:rPr>
        <w:t>f</w:t>
      </w:r>
      <w:r w:rsidRPr="00037B43">
        <w:rPr>
          <w:lang w:val="en-US"/>
        </w:rPr>
        <w:t>unctions</w:t>
      </w:r>
      <w:r w:rsidRPr="00023D70">
        <w:rPr>
          <w:lang w:val="en-US"/>
        </w:rPr>
        <w:t xml:space="preserve">. </w:t>
      </w:r>
      <w:r>
        <w:rPr>
          <w:lang w:val="en-US"/>
        </w:rPr>
        <w:t>T</w:t>
      </w:r>
      <w:r w:rsidRPr="00023D70">
        <w:rPr>
          <w:lang w:val="en-US"/>
        </w:rPr>
        <w:t xml:space="preserve">he observed ratio can be negatively related (left portion) unrelated (middle portion) or positively (right portion) related to the </w:t>
      </w:r>
      <w:r>
        <w:rPr>
          <w:lang w:val="en-US"/>
        </w:rPr>
        <w:t xml:space="preserve">mathematically derived derivative </w:t>
      </w:r>
      <w:r w:rsidRPr="00023D70">
        <w:rPr>
          <w:lang w:val="en-US"/>
        </w:rPr>
        <w:t>source</w:t>
      </w:r>
      <w:r>
        <w:rPr>
          <w:lang w:val="en-US"/>
        </w:rPr>
        <w:t>.</w:t>
      </w:r>
      <w:r w:rsidRPr="00023D70">
        <w:rPr>
          <w:lang w:val="en-US"/>
        </w:rPr>
        <w:t xml:space="preserve"> </w:t>
      </w:r>
    </w:p>
    <w:p w14:paraId="312A8DCC" w14:textId="77777777" w:rsidR="008D585E" w:rsidRPr="002640DD" w:rsidRDefault="008D585E" w:rsidP="007B7FCC">
      <w:pPr>
        <w:pStyle w:val="Newparagraph"/>
        <w:spacing w:after="3" w:line="473" w:lineRule="auto"/>
        <w:ind w:right="14" w:firstLine="0"/>
        <w:jc w:val="both"/>
        <w:rPr>
          <w:lang w:val="en-US" w:eastAsia="ja-JP"/>
        </w:rPr>
      </w:pPr>
    </w:p>
    <w:p w14:paraId="32E20B71" w14:textId="77777777" w:rsidR="0016102D" w:rsidRPr="00023D70" w:rsidRDefault="0016102D" w:rsidP="0016102D">
      <w:pPr>
        <w:ind w:left="0" w:right="14"/>
        <w:rPr>
          <w:rFonts w:asciiTheme="majorBidi" w:hAnsiTheme="majorBidi" w:cstheme="majorBidi"/>
        </w:rPr>
      </w:pPr>
      <w:r w:rsidRPr="003D1D08">
        <w:rPr>
          <w:noProof/>
        </w:rPr>
        <w:lastRenderedPageBreak/>
        <w:drawing>
          <wp:inline distT="0" distB="0" distL="0" distR="0" wp14:anchorId="0C8F00D8" wp14:editId="65201D8E">
            <wp:extent cx="4561905" cy="2723809"/>
            <wp:effectExtent l="0" t="0" r="0" b="635"/>
            <wp:docPr id="430259344"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259344" name="Picture 1" descr="Chart, scatter chart&#10;&#10;Description automatically generated"/>
                    <pic:cNvPicPr/>
                  </pic:nvPicPr>
                  <pic:blipFill>
                    <a:blip r:embed="rId30"/>
                    <a:stretch>
                      <a:fillRect/>
                    </a:stretch>
                  </pic:blipFill>
                  <pic:spPr>
                    <a:xfrm>
                      <a:off x="0" y="0"/>
                      <a:ext cx="4561905" cy="2723809"/>
                    </a:xfrm>
                    <a:prstGeom prst="rect">
                      <a:avLst/>
                    </a:prstGeom>
                  </pic:spPr>
                </pic:pic>
              </a:graphicData>
            </a:graphic>
          </wp:inline>
        </w:drawing>
      </w:r>
    </w:p>
    <w:p w14:paraId="6B390846" w14:textId="20140498" w:rsidR="0016102D" w:rsidRPr="008D585E" w:rsidRDefault="0016102D" w:rsidP="008D585E">
      <w:pPr>
        <w:pStyle w:val="Figurecaption"/>
        <w:spacing w:before="0" w:after="3" w:line="473" w:lineRule="auto"/>
        <w:ind w:right="14"/>
        <w:jc w:val="both"/>
        <w:rPr>
          <w:lang w:val="en-US"/>
        </w:rPr>
      </w:pPr>
      <w:r w:rsidRPr="00023D70">
        <w:rPr>
          <w:lang w:val="en-US"/>
        </w:rPr>
        <w:t xml:space="preserve">Figure </w:t>
      </w:r>
      <w:r w:rsidR="00BB2D99">
        <w:rPr>
          <w:lang w:val="en-US"/>
        </w:rPr>
        <w:t>S2</w:t>
      </w:r>
      <w:r w:rsidRPr="00023D70">
        <w:rPr>
          <w:lang w:val="en-US"/>
        </w:rPr>
        <w:t xml:space="preserve">a. </w:t>
      </w:r>
      <w:r w:rsidRPr="00023D70">
        <w:rPr>
          <w:lang w:val="en-US" w:eastAsia="ja-JP"/>
        </w:rPr>
        <w:t xml:space="preserve">The relationship between </w:t>
      </w:r>
      <w:r w:rsidRPr="00023D70">
        <w:rPr>
          <w:color w:val="000000" w:themeColor="text1"/>
          <w:vertAlign w:val="superscript"/>
          <w:lang w:val="en-US"/>
        </w:rPr>
        <w:t>86</w:t>
      </w:r>
      <w:r w:rsidRPr="00023D70">
        <w:rPr>
          <w:color w:val="000000" w:themeColor="text1"/>
          <w:lang w:val="en-US"/>
        </w:rPr>
        <w:t>Sr and</w:t>
      </w:r>
      <w:r w:rsidRPr="00023D70">
        <w:rPr>
          <w:lang w:val="en-US" w:eastAsia="ja-JP"/>
        </w:rPr>
        <w:t xml:space="preserve"> </w:t>
      </w:r>
      <w:r w:rsidRPr="00023D70">
        <w:rPr>
          <w:color w:val="000000" w:themeColor="text1"/>
          <w:vertAlign w:val="superscript"/>
          <w:lang w:val="en-US"/>
        </w:rPr>
        <w:t>87</w:t>
      </w:r>
      <w:r w:rsidRPr="00023D70">
        <w:rPr>
          <w:color w:val="000000" w:themeColor="text1"/>
          <w:lang w:val="en-US"/>
        </w:rPr>
        <w:t>Sr</w:t>
      </w:r>
      <w:r w:rsidRPr="00023D70">
        <w:rPr>
          <w:lang w:val="en-US" w:eastAsia="ja-JP"/>
        </w:rPr>
        <w:t xml:space="preserve"> for samples collected from an inlet surrounded by forests </w:t>
      </w:r>
      <w:r w:rsidRPr="00023D70">
        <w:rPr>
          <w:lang w:val="en-US"/>
        </w:rPr>
        <w:t>from the Cone Pond Watershed, White Mountains National Forest, Thornton, New Hampshire each month over one-year. The one outlier (December sampling time) was excluded from the analysis because of an excessive residual and excessive leverage. Therefore, only January through November samples were analyzed. Data after Bailey et al. (1996).</w:t>
      </w:r>
    </w:p>
    <w:p w14:paraId="1B8F0F7F" w14:textId="0E10CD17" w:rsidR="0016102D" w:rsidRPr="00023D70" w:rsidRDefault="001C5B6A" w:rsidP="0016102D">
      <w:pPr>
        <w:ind w:left="0" w:right="14"/>
        <w:rPr>
          <w:rFonts w:asciiTheme="majorBidi" w:hAnsiTheme="majorBidi" w:cstheme="majorBidi"/>
          <w:b/>
          <w:bCs/>
        </w:rPr>
      </w:pPr>
      <w:r w:rsidRPr="001C5B6A">
        <w:rPr>
          <w:noProof/>
        </w:rPr>
        <w:drawing>
          <wp:inline distT="0" distB="0" distL="0" distR="0" wp14:anchorId="3598953E" wp14:editId="39A2339B">
            <wp:extent cx="4866667" cy="2904762"/>
            <wp:effectExtent l="0" t="0" r="0" b="0"/>
            <wp:docPr id="1215749093" name="Picture 1" descr="A graph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749093" name="Picture 1" descr="A graph of a graph&#10;&#10;Description automatically generated with medium confidence"/>
                    <pic:cNvPicPr/>
                  </pic:nvPicPr>
                  <pic:blipFill>
                    <a:blip r:embed="rId31"/>
                    <a:stretch>
                      <a:fillRect/>
                    </a:stretch>
                  </pic:blipFill>
                  <pic:spPr>
                    <a:xfrm>
                      <a:off x="0" y="0"/>
                      <a:ext cx="4866667" cy="2904762"/>
                    </a:xfrm>
                    <a:prstGeom prst="rect">
                      <a:avLst/>
                    </a:prstGeom>
                  </pic:spPr>
                </pic:pic>
              </a:graphicData>
            </a:graphic>
          </wp:inline>
        </w:drawing>
      </w:r>
    </w:p>
    <w:p w14:paraId="5A524B89" w14:textId="2253924A" w:rsidR="0016102D" w:rsidRDefault="0016102D" w:rsidP="0016102D">
      <w:pPr>
        <w:pStyle w:val="Figurecaption"/>
        <w:spacing w:before="0" w:after="3" w:line="473" w:lineRule="auto"/>
        <w:ind w:right="14"/>
        <w:jc w:val="both"/>
        <w:rPr>
          <w:lang w:val="en-US"/>
        </w:rPr>
      </w:pPr>
      <w:r w:rsidRPr="00023D70">
        <w:rPr>
          <w:lang w:val="en-US"/>
        </w:rPr>
        <w:t xml:space="preserve">Figure </w:t>
      </w:r>
      <w:r w:rsidR="00BB2D99">
        <w:rPr>
          <w:lang w:val="en-US"/>
        </w:rPr>
        <w:t>S2</w:t>
      </w:r>
      <w:r w:rsidRPr="00023D70">
        <w:rPr>
          <w:lang w:val="en-US"/>
        </w:rPr>
        <w:t>b.</w:t>
      </w:r>
      <w:r w:rsidRPr="00023D70">
        <w:rPr>
          <w:lang w:val="en-US" w:eastAsia="ja-JP"/>
        </w:rPr>
        <w:t xml:space="preserve"> </w:t>
      </w:r>
      <w:r w:rsidRPr="00023D70">
        <w:rPr>
          <w:lang w:val="en-US"/>
        </w:rPr>
        <w:t xml:space="preserve">Relationship between </w:t>
      </w:r>
      <w:r w:rsidRPr="00023D70">
        <w:rPr>
          <w:vertAlign w:val="superscript"/>
          <w:lang w:val="en-US"/>
        </w:rPr>
        <w:t>86</w:t>
      </w:r>
      <w:r w:rsidRPr="00023D70">
        <w:rPr>
          <w:lang w:val="en-US"/>
        </w:rPr>
        <w:t xml:space="preserve">Sr vs. </w:t>
      </w:r>
      <w:r w:rsidRPr="00023D70">
        <w:rPr>
          <w:vertAlign w:val="superscript"/>
          <w:lang w:val="en-US"/>
        </w:rPr>
        <w:t>87</w:t>
      </w:r>
      <w:r w:rsidRPr="00023D70">
        <w:rPr>
          <w:lang w:val="en-US"/>
        </w:rPr>
        <w:t>Sr:</w:t>
      </w:r>
      <w:r w:rsidRPr="00023D70">
        <w:rPr>
          <w:vertAlign w:val="superscript"/>
          <w:lang w:val="en-US"/>
        </w:rPr>
        <w:t>86</w:t>
      </w:r>
      <w:r w:rsidRPr="00023D70">
        <w:rPr>
          <w:lang w:val="en-US"/>
        </w:rPr>
        <w:t xml:space="preserve">Sr ratio and </w:t>
      </w:r>
      <w:r w:rsidR="00EC2F0C" w:rsidRPr="00EC2F0C">
        <w:rPr>
          <w:vertAlign w:val="superscript"/>
          <w:lang w:val="en-US"/>
        </w:rPr>
        <w:t>86</w:t>
      </w:r>
      <w:r w:rsidR="00EC2F0C">
        <w:rPr>
          <w:lang w:val="en-US"/>
        </w:rPr>
        <w:t xml:space="preserve">Sr vs. </w:t>
      </w:r>
      <w:r w:rsidRPr="00023D70">
        <w:rPr>
          <w:lang w:val="en-US"/>
        </w:rPr>
        <w:t xml:space="preserve">the spline smoothed derivative for the </w:t>
      </w:r>
      <w:r w:rsidRPr="00023D70">
        <w:rPr>
          <w:vertAlign w:val="superscript"/>
          <w:lang w:val="en-US"/>
        </w:rPr>
        <w:t>86</w:t>
      </w:r>
      <w:r w:rsidRPr="00023D70">
        <w:rPr>
          <w:lang w:val="en-US"/>
        </w:rPr>
        <w:t xml:space="preserve">Sr vs. </w:t>
      </w:r>
      <w:r w:rsidRPr="00023D70">
        <w:rPr>
          <w:vertAlign w:val="superscript"/>
          <w:lang w:val="en-US"/>
        </w:rPr>
        <w:t>87</w:t>
      </w:r>
      <w:r w:rsidRPr="00023D70">
        <w:rPr>
          <w:lang w:val="en-US"/>
        </w:rPr>
        <w:t xml:space="preserve">Sr </w:t>
      </w:r>
      <w:r w:rsidR="00EC2F0C">
        <w:rPr>
          <w:lang w:val="en-US"/>
        </w:rPr>
        <w:t>data</w:t>
      </w:r>
      <w:r w:rsidRPr="00023D70">
        <w:rPr>
          <w:lang w:val="en-US"/>
        </w:rPr>
        <w:t xml:space="preserve"> shown in Figure </w:t>
      </w:r>
      <w:r w:rsidR="00BB2D99">
        <w:rPr>
          <w:lang w:val="en-US"/>
        </w:rPr>
        <w:t>S2</w:t>
      </w:r>
      <w:r w:rsidRPr="00023D70">
        <w:rPr>
          <w:lang w:val="en-US"/>
        </w:rPr>
        <w:t xml:space="preserve">a, </w:t>
      </w:r>
      <w:r w:rsidRPr="00023D70">
        <w:rPr>
          <w:lang w:val="en-US" w:eastAsia="ja-JP"/>
        </w:rPr>
        <w:t xml:space="preserve">for samples collected from an inlet </w:t>
      </w:r>
      <w:r w:rsidRPr="00023D70">
        <w:rPr>
          <w:lang w:val="en-US" w:eastAsia="ja-JP"/>
        </w:rPr>
        <w:lastRenderedPageBreak/>
        <w:t xml:space="preserve">surrounded by forests </w:t>
      </w:r>
      <w:r w:rsidRPr="00023D70">
        <w:rPr>
          <w:lang w:val="en-US"/>
        </w:rPr>
        <w:t xml:space="preserve">from the Cone Pond Watershed, White Mountains National Forest, Thornton, New Hampshire each month over one-year. </w:t>
      </w:r>
      <w:r>
        <w:rPr>
          <w:lang w:val="en-US"/>
        </w:rPr>
        <w:t xml:space="preserve">The mathematical derivative derived from the best-fit polynomial equation in Figure </w:t>
      </w:r>
      <w:r w:rsidR="00BB2D99">
        <w:rPr>
          <w:lang w:val="en-US"/>
        </w:rPr>
        <w:t>S2</w:t>
      </w:r>
      <w:r>
        <w:rPr>
          <w:lang w:val="en-US"/>
        </w:rPr>
        <w:t xml:space="preserve">a is also shown. </w:t>
      </w:r>
      <w:r w:rsidRPr="00023D70">
        <w:rPr>
          <w:lang w:val="en-US"/>
        </w:rPr>
        <w:t xml:space="preserve">An outlier for the December sampling period was removed. The insert shows the same data presented in the main figure, but with a smaller </w:t>
      </w:r>
      <w:r w:rsidRPr="00023D70">
        <w:rPr>
          <w:i/>
          <w:iCs/>
          <w:lang w:val="en-US"/>
        </w:rPr>
        <w:t>y</w:t>
      </w:r>
      <w:r w:rsidRPr="00023D70">
        <w:rPr>
          <w:lang w:val="en-US"/>
        </w:rPr>
        <w:t>-axis scale. Data after Bailey et al. (1996).</w:t>
      </w:r>
    </w:p>
    <w:p w14:paraId="22289CCA" w14:textId="77777777" w:rsidR="0016102D" w:rsidRPr="005E08BF" w:rsidRDefault="0016102D" w:rsidP="0016102D">
      <w:pPr>
        <w:ind w:left="0" w:right="14"/>
      </w:pPr>
      <w:r>
        <w:t>-</w:t>
      </w:r>
    </w:p>
    <w:p w14:paraId="0B13B8F1" w14:textId="3711530B" w:rsidR="0016102D" w:rsidRPr="00023D70" w:rsidRDefault="0016102D" w:rsidP="0016102D">
      <w:pPr>
        <w:pStyle w:val="Newparagraph"/>
        <w:spacing w:after="3" w:line="473" w:lineRule="auto"/>
        <w:ind w:right="14"/>
        <w:jc w:val="both"/>
        <w:rPr>
          <w:lang w:val="en-US"/>
        </w:rPr>
      </w:pPr>
      <w:r w:rsidRPr="00023D70">
        <w:rPr>
          <w:lang w:val="en-US"/>
        </w:rPr>
        <w:t xml:space="preserve">In Figure </w:t>
      </w:r>
      <w:r w:rsidR="00BB2D99">
        <w:rPr>
          <w:lang w:val="en-US"/>
        </w:rPr>
        <w:t>S2</w:t>
      </w:r>
      <w:r w:rsidRPr="00023D70">
        <w:rPr>
          <w:lang w:val="en-US"/>
        </w:rPr>
        <w:t>c a plot of source (</w:t>
      </w:r>
      <w:r w:rsidRPr="00023D70">
        <w:rPr>
          <w:i/>
          <w:iCs/>
          <w:lang w:val="en-US"/>
        </w:rPr>
        <w:t>d</w:t>
      </w:r>
      <w:r w:rsidRPr="00023D70">
        <w:rPr>
          <w:vertAlign w:val="superscript"/>
          <w:lang w:val="en-US"/>
        </w:rPr>
        <w:t>87</w:t>
      </w:r>
      <w:r w:rsidRPr="00023D70">
        <w:rPr>
          <w:lang w:val="en-US"/>
        </w:rPr>
        <w:t>Sr/</w:t>
      </w:r>
      <w:r w:rsidRPr="00023D70">
        <w:rPr>
          <w:i/>
          <w:iCs/>
          <w:lang w:val="en-US"/>
        </w:rPr>
        <w:t>d</w:t>
      </w:r>
      <w:r w:rsidRPr="00023D70">
        <w:rPr>
          <w:vertAlign w:val="superscript"/>
          <w:lang w:val="en-US"/>
        </w:rPr>
        <w:t>86</w:t>
      </w:r>
      <w:r w:rsidRPr="00023D70">
        <w:rPr>
          <w:lang w:val="en-US"/>
        </w:rPr>
        <w:t xml:space="preserve">Sr </w:t>
      </w:r>
      <w:r>
        <w:rPr>
          <w:lang w:val="en-US"/>
        </w:rPr>
        <w:t xml:space="preserve">spline smoothed </w:t>
      </w:r>
      <w:r w:rsidRPr="00023D70">
        <w:rPr>
          <w:lang w:val="en-US"/>
        </w:rPr>
        <w:t xml:space="preserve">derivatives) vs. sampling time is very different than the pattern for observed </w:t>
      </w:r>
      <w:r w:rsidRPr="00023D70">
        <w:rPr>
          <w:vertAlign w:val="superscript"/>
          <w:lang w:val="en-US"/>
        </w:rPr>
        <w:t>87</w:t>
      </w:r>
      <w:r w:rsidRPr="00023D70">
        <w:rPr>
          <w:lang w:val="en-US"/>
        </w:rPr>
        <w:t>Sr:</w:t>
      </w:r>
      <w:r w:rsidRPr="00023D70">
        <w:rPr>
          <w:vertAlign w:val="superscript"/>
          <w:lang w:val="en-US"/>
        </w:rPr>
        <w:t xml:space="preserve"> 86</w:t>
      </w:r>
      <w:r w:rsidRPr="00023D70">
        <w:rPr>
          <w:lang w:val="en-US"/>
        </w:rPr>
        <w:t xml:space="preserve">Sr ratios vs. sampling time. </w:t>
      </w:r>
      <w:r w:rsidR="008D585E" w:rsidRPr="00023D70">
        <w:rPr>
          <w:lang w:val="en-US"/>
        </w:rPr>
        <w:t>The insert shows the same</w:t>
      </w:r>
      <w:r w:rsidR="008D585E">
        <w:rPr>
          <w:lang w:val="en-US"/>
        </w:rPr>
        <w:t xml:space="preserve"> observed</w:t>
      </w:r>
      <w:r w:rsidR="008D585E" w:rsidRPr="00023D70">
        <w:rPr>
          <w:lang w:val="en-US"/>
        </w:rPr>
        <w:t xml:space="preserve"> </w:t>
      </w:r>
      <w:r w:rsidR="008D585E" w:rsidRPr="00023D70">
        <w:rPr>
          <w:vertAlign w:val="superscript"/>
          <w:lang w:val="en-US"/>
        </w:rPr>
        <w:t>87</w:t>
      </w:r>
      <w:r w:rsidR="008D585E" w:rsidRPr="00023D70">
        <w:rPr>
          <w:lang w:val="en-US"/>
        </w:rPr>
        <w:t>Sr:</w:t>
      </w:r>
      <w:r w:rsidR="008D585E" w:rsidRPr="00023D70">
        <w:rPr>
          <w:vertAlign w:val="superscript"/>
          <w:lang w:val="en-US"/>
        </w:rPr>
        <w:t>86</w:t>
      </w:r>
      <w:r w:rsidR="008D585E" w:rsidRPr="00023D70">
        <w:rPr>
          <w:lang w:val="en-US"/>
        </w:rPr>
        <w:t xml:space="preserve">Sr ratio data presented in the main figure, but with a smaller </w:t>
      </w:r>
      <w:r w:rsidR="008D585E" w:rsidRPr="00023D70">
        <w:rPr>
          <w:i/>
          <w:iCs/>
          <w:lang w:val="en-US"/>
        </w:rPr>
        <w:t>y</w:t>
      </w:r>
      <w:r w:rsidR="008D585E" w:rsidRPr="00023D70">
        <w:rPr>
          <w:lang w:val="en-US"/>
        </w:rPr>
        <w:t xml:space="preserve">-axis scale to better clarify pattern differences between observed ratio and sources. </w:t>
      </w:r>
      <w:r w:rsidR="008D585E">
        <w:rPr>
          <w:lang w:val="en-US"/>
        </w:rPr>
        <w:t xml:space="preserve">A major difference </w:t>
      </w:r>
      <w:r w:rsidR="006C6942">
        <w:rPr>
          <w:lang w:val="en-US"/>
        </w:rPr>
        <w:t xml:space="preserve">between the derivative and observed </w:t>
      </w:r>
      <w:r w:rsidR="006C6942" w:rsidRPr="006C6942">
        <w:rPr>
          <w:vertAlign w:val="superscript"/>
          <w:lang w:val="en-US"/>
        </w:rPr>
        <w:t>87</w:t>
      </w:r>
      <w:r w:rsidR="006C6942">
        <w:rPr>
          <w:lang w:val="en-US"/>
        </w:rPr>
        <w:t>Sr:</w:t>
      </w:r>
      <w:r w:rsidR="006C6942" w:rsidRPr="006C6942">
        <w:rPr>
          <w:vertAlign w:val="superscript"/>
          <w:lang w:val="en-US"/>
        </w:rPr>
        <w:t>86</w:t>
      </w:r>
      <w:r w:rsidR="006C6942">
        <w:rPr>
          <w:lang w:val="en-US"/>
        </w:rPr>
        <w:t xml:space="preserve">Sr ratio patterns </w:t>
      </w:r>
      <w:r w:rsidR="008D585E">
        <w:rPr>
          <w:lang w:val="en-US"/>
        </w:rPr>
        <w:t>occurs for the first five months where the high Sr values</w:t>
      </w:r>
      <w:r w:rsidR="006C6942">
        <w:rPr>
          <w:lang w:val="en-US"/>
        </w:rPr>
        <w:t xml:space="preserve"> associated with spline smoothed derivative anomalies</w:t>
      </w:r>
      <w:r w:rsidR="008D585E">
        <w:rPr>
          <w:lang w:val="en-US"/>
        </w:rPr>
        <w:t xml:space="preserve"> do not occur. In this region, spline smoothed and mathematical derivatives are similar. </w:t>
      </w:r>
      <w:r w:rsidRPr="00023D70">
        <w:rPr>
          <w:lang w:val="en-US"/>
        </w:rPr>
        <w:t xml:space="preserve">A plot of derivatives over time has greater variation (Figure </w:t>
      </w:r>
      <w:r w:rsidR="00BB2D99">
        <w:rPr>
          <w:lang w:val="en-US"/>
        </w:rPr>
        <w:t>S2</w:t>
      </w:r>
      <w:r w:rsidRPr="00023D70">
        <w:rPr>
          <w:lang w:val="en-US"/>
        </w:rPr>
        <w:t xml:space="preserve">c). As demonstrated in </w:t>
      </w:r>
      <w:r w:rsidR="00C1509C">
        <w:rPr>
          <w:lang w:val="en-US"/>
        </w:rPr>
        <w:t>M</w:t>
      </w:r>
      <w:r w:rsidR="00774AFB">
        <w:rPr>
          <w:lang w:val="en-US"/>
        </w:rPr>
        <w:t>oots</w:t>
      </w:r>
      <w:r w:rsidR="00C1509C">
        <w:rPr>
          <w:lang w:val="en-US"/>
        </w:rPr>
        <w:t xml:space="preserve"> et al. </w:t>
      </w:r>
      <w:r w:rsidRPr="00023D70">
        <w:rPr>
          <w:lang w:val="en-US"/>
        </w:rPr>
        <w:t>(202</w:t>
      </w:r>
      <w:r w:rsidR="00774AFB">
        <w:rPr>
          <w:lang w:val="en-US"/>
        </w:rPr>
        <w:t>4</w:t>
      </w:r>
      <w:r w:rsidRPr="00023D70">
        <w:rPr>
          <w:lang w:val="en-US"/>
        </w:rPr>
        <w:t>)</w:t>
      </w:r>
      <w:r w:rsidR="00DC728C">
        <w:rPr>
          <w:lang w:val="en-US"/>
        </w:rPr>
        <w:t>,</w:t>
      </w:r>
      <w:r w:rsidRPr="00023D70">
        <w:rPr>
          <w:lang w:val="en-US"/>
        </w:rPr>
        <w:t xml:space="preserve"> differences in the time course variability for sources and observed ratios are expected since a large isotopic pool size buffers observed ratio changes.</w:t>
      </w:r>
    </w:p>
    <w:p w14:paraId="0EAABAF0" w14:textId="2CAD6366" w:rsidR="0016102D" w:rsidRPr="00023D70" w:rsidRDefault="001C5B6A" w:rsidP="0016102D">
      <w:pPr>
        <w:ind w:left="0" w:right="14"/>
        <w:rPr>
          <w:rFonts w:asciiTheme="majorBidi" w:hAnsiTheme="majorBidi" w:cstheme="majorBidi"/>
          <w:b/>
          <w:bCs/>
        </w:rPr>
      </w:pPr>
      <w:r w:rsidRPr="001C5B6A">
        <w:rPr>
          <w:noProof/>
        </w:rPr>
        <w:drawing>
          <wp:inline distT="0" distB="0" distL="0" distR="0" wp14:anchorId="12CB1A32" wp14:editId="14B8B759">
            <wp:extent cx="4580952" cy="2752381"/>
            <wp:effectExtent l="0" t="0" r="0" b="0"/>
            <wp:docPr id="1813491623" name="Picture 1" descr="A graph with blue and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491623" name="Picture 1" descr="A graph with blue and orange lines&#10;&#10;Description automatically generated"/>
                    <pic:cNvPicPr/>
                  </pic:nvPicPr>
                  <pic:blipFill>
                    <a:blip r:embed="rId32"/>
                    <a:stretch>
                      <a:fillRect/>
                    </a:stretch>
                  </pic:blipFill>
                  <pic:spPr>
                    <a:xfrm>
                      <a:off x="0" y="0"/>
                      <a:ext cx="4580952" cy="2752381"/>
                    </a:xfrm>
                    <a:prstGeom prst="rect">
                      <a:avLst/>
                    </a:prstGeom>
                  </pic:spPr>
                </pic:pic>
              </a:graphicData>
            </a:graphic>
          </wp:inline>
        </w:drawing>
      </w:r>
    </w:p>
    <w:p w14:paraId="46D2444E" w14:textId="2B9EF095" w:rsidR="0016102D" w:rsidRDefault="0016102D" w:rsidP="0016102D">
      <w:pPr>
        <w:pStyle w:val="Figurecaption"/>
        <w:spacing w:before="0" w:after="3" w:line="473" w:lineRule="auto"/>
        <w:ind w:right="14"/>
        <w:jc w:val="both"/>
        <w:rPr>
          <w:lang w:val="en-US"/>
        </w:rPr>
      </w:pPr>
      <w:r w:rsidRPr="00023D70">
        <w:rPr>
          <w:lang w:val="en-US"/>
        </w:rPr>
        <w:lastRenderedPageBreak/>
        <w:t xml:space="preserve">Figure </w:t>
      </w:r>
      <w:r w:rsidR="00BB2D99">
        <w:rPr>
          <w:lang w:val="en-US"/>
        </w:rPr>
        <w:t>S2</w:t>
      </w:r>
      <w:r w:rsidRPr="00023D70">
        <w:rPr>
          <w:lang w:val="en-US"/>
        </w:rPr>
        <w:t xml:space="preserve">c. The relationship for both observed </w:t>
      </w:r>
      <w:r w:rsidRPr="00023D70">
        <w:rPr>
          <w:vertAlign w:val="superscript"/>
          <w:lang w:val="en-US"/>
        </w:rPr>
        <w:t>87</w:t>
      </w:r>
      <w:r w:rsidRPr="00023D70">
        <w:rPr>
          <w:lang w:val="en-US"/>
        </w:rPr>
        <w:t>Sr:</w:t>
      </w:r>
      <w:r w:rsidRPr="00023D70">
        <w:rPr>
          <w:vertAlign w:val="superscript"/>
          <w:lang w:val="en-US"/>
        </w:rPr>
        <w:t>86</w:t>
      </w:r>
      <w:r w:rsidRPr="00023D70">
        <w:rPr>
          <w:lang w:val="en-US"/>
        </w:rPr>
        <w:t xml:space="preserve">Sr ratios and derivatives calculated from the relationship between </w:t>
      </w:r>
      <w:r w:rsidRPr="00023D70">
        <w:rPr>
          <w:vertAlign w:val="superscript"/>
          <w:lang w:val="en-US"/>
        </w:rPr>
        <w:t>86</w:t>
      </w:r>
      <w:r w:rsidRPr="00023D70">
        <w:rPr>
          <w:lang w:val="en-US"/>
        </w:rPr>
        <w:t xml:space="preserve">Sr vs. </w:t>
      </w:r>
      <w:r w:rsidRPr="00023D70">
        <w:rPr>
          <w:vertAlign w:val="superscript"/>
          <w:lang w:val="en-US"/>
        </w:rPr>
        <w:t>87</w:t>
      </w:r>
      <w:r w:rsidRPr="00023D70">
        <w:rPr>
          <w:lang w:val="en-US"/>
        </w:rPr>
        <w:t xml:space="preserve">S for </w:t>
      </w:r>
      <w:r w:rsidRPr="00023D70">
        <w:rPr>
          <w:lang w:val="en-US" w:eastAsia="ja-JP"/>
        </w:rPr>
        <w:t xml:space="preserve">samples collected from an inlet surrounded by forests </w:t>
      </w:r>
      <w:r w:rsidRPr="00023D70">
        <w:rPr>
          <w:lang w:val="en-US"/>
        </w:rPr>
        <w:t xml:space="preserve">from the Cone Pond Watershed, White Mountains National Forest, Thornton, New Hampshire each month over one-year. An outlier for the December sampling period was removed. By matching derivatives calculated from </w:t>
      </w:r>
      <w:r w:rsidRPr="00023D70">
        <w:rPr>
          <w:vertAlign w:val="superscript"/>
          <w:lang w:val="en-US"/>
        </w:rPr>
        <w:t>86</w:t>
      </w:r>
      <w:r w:rsidRPr="00023D70">
        <w:rPr>
          <w:lang w:val="en-US"/>
        </w:rPr>
        <w:t xml:space="preserve">Sr vs. </w:t>
      </w:r>
      <w:r w:rsidRPr="00023D70">
        <w:rPr>
          <w:vertAlign w:val="superscript"/>
          <w:lang w:val="en-US"/>
        </w:rPr>
        <w:t>87</w:t>
      </w:r>
      <w:r w:rsidRPr="00023D70">
        <w:rPr>
          <w:lang w:val="en-US"/>
        </w:rPr>
        <w:t xml:space="preserve">Sr relationships to specific values of </w:t>
      </w:r>
      <w:r w:rsidRPr="00023D70">
        <w:rPr>
          <w:vertAlign w:val="superscript"/>
          <w:lang w:val="en-US"/>
        </w:rPr>
        <w:t>86</w:t>
      </w:r>
      <w:r w:rsidRPr="00023D70">
        <w:rPr>
          <w:lang w:val="en-US"/>
        </w:rPr>
        <w:t xml:space="preserve">Sr that correspond to specific sample dates, changes in source over time can be determined. </w:t>
      </w:r>
      <w:r w:rsidR="00EC2F0C">
        <w:rPr>
          <w:lang w:val="en-US"/>
        </w:rPr>
        <w:t xml:space="preserve">The insert shows the same </w:t>
      </w:r>
      <w:r w:rsidR="00EC2F0C" w:rsidRPr="00EC2F0C">
        <w:rPr>
          <w:vertAlign w:val="superscript"/>
          <w:lang w:val="en-US"/>
        </w:rPr>
        <w:t>86</w:t>
      </w:r>
      <w:r w:rsidR="00EC2F0C">
        <w:rPr>
          <w:lang w:val="en-US"/>
        </w:rPr>
        <w:t>Sr:</w:t>
      </w:r>
      <w:r w:rsidR="00EC2F0C" w:rsidRPr="00EC2F0C">
        <w:rPr>
          <w:vertAlign w:val="superscript"/>
          <w:lang w:val="en-US"/>
        </w:rPr>
        <w:t>87</w:t>
      </w:r>
      <w:r w:rsidR="00EC2F0C">
        <w:rPr>
          <w:lang w:val="en-US"/>
        </w:rPr>
        <w:t xml:space="preserve">Sr ratio data presented in the main figure but with a smaller </w:t>
      </w:r>
      <w:r w:rsidR="00EC2F0C" w:rsidRPr="00EC2F0C">
        <w:rPr>
          <w:i/>
          <w:iCs/>
          <w:lang w:val="en-US"/>
        </w:rPr>
        <w:t>y</w:t>
      </w:r>
      <w:r w:rsidR="00EC2F0C">
        <w:rPr>
          <w:lang w:val="en-US"/>
        </w:rPr>
        <w:t xml:space="preserve">-axis scale. </w:t>
      </w:r>
      <w:r w:rsidRPr="00023D70">
        <w:rPr>
          <w:lang w:val="en-US"/>
        </w:rPr>
        <w:t xml:space="preserve">Data after Bailey et al. (1996). </w:t>
      </w:r>
    </w:p>
    <w:p w14:paraId="0B934A3E" w14:textId="77777777" w:rsidR="0016102D" w:rsidRPr="00160D7C" w:rsidRDefault="0016102D" w:rsidP="0016102D">
      <w:pPr>
        <w:ind w:left="0" w:right="14"/>
      </w:pPr>
      <w:r>
        <w:t>-</w:t>
      </w:r>
    </w:p>
    <w:p w14:paraId="2C93E133" w14:textId="77777777" w:rsidR="0016102D" w:rsidRDefault="0016102D" w:rsidP="0016102D">
      <w:pPr>
        <w:pStyle w:val="Newparagraph"/>
        <w:spacing w:after="3" w:line="473" w:lineRule="auto"/>
        <w:ind w:right="14"/>
        <w:jc w:val="both"/>
        <w:rPr>
          <w:lang w:val="en-US"/>
        </w:rPr>
      </w:pPr>
      <w:r w:rsidRPr="00023D70">
        <w:rPr>
          <w:lang w:val="en-US"/>
        </w:rPr>
        <w:t>Researchers collected excellent data in a study designed to access mineral fluxes in an entire watershed. Only a small portion of their study was used to re</w:t>
      </w:r>
      <w:r>
        <w:rPr>
          <w:lang w:val="en-US"/>
        </w:rPr>
        <w:t>-</w:t>
      </w:r>
      <w:r w:rsidRPr="00023D70">
        <w:rPr>
          <w:lang w:val="en-US"/>
        </w:rPr>
        <w:t>evaluate data and determine isotopic sources. However, the</w:t>
      </w:r>
      <w:r>
        <w:rPr>
          <w:lang w:val="en-US"/>
        </w:rPr>
        <w:t>se</w:t>
      </w:r>
      <w:r w:rsidRPr="00023D70">
        <w:rPr>
          <w:lang w:val="en-US"/>
        </w:rPr>
        <w:t xml:space="preserve"> preliminary results suggest that source analyses of isotopic data on a landscape scale could be valuable. </w:t>
      </w:r>
    </w:p>
    <w:p w14:paraId="40332F9A" w14:textId="4D2F7E75" w:rsidR="0016102D" w:rsidRPr="0016102D" w:rsidRDefault="004C57FF" w:rsidP="0016102D">
      <w:pPr>
        <w:pStyle w:val="Heading1"/>
        <w:spacing w:after="3" w:line="473" w:lineRule="auto"/>
        <w:ind w:left="0" w:right="14"/>
        <w:jc w:val="both"/>
        <w:rPr>
          <w:rFonts w:ascii="Times New Roman" w:hAnsi="Times New Roman" w:cs="Times New Roman"/>
          <w:sz w:val="24"/>
          <w:szCs w:val="24"/>
        </w:rPr>
      </w:pPr>
      <w:r>
        <w:rPr>
          <w:rFonts w:ascii="Times New Roman" w:hAnsi="Times New Roman" w:cs="Times New Roman"/>
          <w:sz w:val="24"/>
          <w:szCs w:val="24"/>
        </w:rPr>
        <w:t>4</w:t>
      </w:r>
      <w:r w:rsidR="0016102D" w:rsidRPr="0016102D">
        <w:rPr>
          <w:rFonts w:ascii="Times New Roman" w:hAnsi="Times New Roman" w:cs="Times New Roman"/>
          <w:sz w:val="24"/>
          <w:szCs w:val="24"/>
        </w:rPr>
        <w:t>.</w:t>
      </w:r>
      <w:r w:rsidR="0057613A">
        <w:rPr>
          <w:rFonts w:ascii="Times New Roman" w:hAnsi="Times New Roman" w:cs="Times New Roman"/>
          <w:sz w:val="24"/>
          <w:szCs w:val="24"/>
        </w:rPr>
        <w:t>3</w:t>
      </w:r>
      <w:r w:rsidR="0016102D" w:rsidRPr="0016102D">
        <w:rPr>
          <w:rFonts w:ascii="Times New Roman" w:hAnsi="Times New Roman" w:cs="Times New Roman"/>
          <w:sz w:val="24"/>
          <w:szCs w:val="24"/>
        </w:rPr>
        <w:t xml:space="preserve"> Study </w:t>
      </w:r>
      <w:r w:rsidR="0016102D">
        <w:rPr>
          <w:rFonts w:ascii="Times New Roman" w:hAnsi="Times New Roman" w:cs="Times New Roman"/>
          <w:sz w:val="24"/>
          <w:szCs w:val="24"/>
        </w:rPr>
        <w:t>6</w:t>
      </w:r>
      <w:r w:rsidR="0016102D" w:rsidRPr="0016102D">
        <w:rPr>
          <w:rFonts w:ascii="Times New Roman" w:hAnsi="Times New Roman" w:cs="Times New Roman"/>
          <w:sz w:val="24"/>
          <w:szCs w:val="24"/>
        </w:rPr>
        <w:t>) Source Analyses Improve the Interpretation of a Possible Sea Spray Source of Sr in a Costal Hawaiian Soil</w:t>
      </w:r>
    </w:p>
    <w:p w14:paraId="7BEFBD6E" w14:textId="3E14A7EC" w:rsidR="00791066" w:rsidRDefault="00791066" w:rsidP="00791066">
      <w:pPr>
        <w:ind w:right="144"/>
        <w:rPr>
          <w:rFonts w:cstheme="minorHAnsi"/>
          <w:bCs/>
          <w:color w:val="000000" w:themeColor="text1"/>
        </w:rPr>
      </w:pPr>
      <w:r w:rsidRPr="00765D0E">
        <w:rPr>
          <w:rFonts w:cstheme="minorHAnsi"/>
          <w:bCs/>
          <w:color w:val="000000" w:themeColor="text1"/>
        </w:rPr>
        <w:t xml:space="preserve">Whipkey et al. (2000) demonstrated that both </w:t>
      </w:r>
      <w:r w:rsidRPr="00765D0E">
        <w:rPr>
          <w:rFonts w:cstheme="minorHAnsi"/>
          <w:bCs/>
          <w:color w:val="000000" w:themeColor="text1"/>
          <w:vertAlign w:val="superscript"/>
        </w:rPr>
        <w:t>87</w:t>
      </w:r>
      <w:r w:rsidRPr="00765D0E">
        <w:rPr>
          <w:rFonts w:cstheme="minorHAnsi"/>
          <w:bCs/>
          <w:color w:val="000000" w:themeColor="text1"/>
        </w:rPr>
        <w:t>Sr:</w:t>
      </w:r>
      <w:r w:rsidRPr="00765D0E">
        <w:rPr>
          <w:rFonts w:cstheme="minorHAnsi"/>
          <w:bCs/>
          <w:color w:val="000000" w:themeColor="text1"/>
          <w:vertAlign w:val="superscript"/>
        </w:rPr>
        <w:t>86</w:t>
      </w:r>
      <w:r w:rsidRPr="00765D0E">
        <w:rPr>
          <w:rFonts w:cstheme="minorHAnsi"/>
          <w:bCs/>
          <w:color w:val="000000" w:themeColor="text1"/>
        </w:rPr>
        <w:t>Sr ratios and the amount of total Sr that was derived from possible sea spray decline with depth (Figure S</w:t>
      </w:r>
      <w:r w:rsidR="0016313A">
        <w:rPr>
          <w:rFonts w:cstheme="minorHAnsi"/>
          <w:bCs/>
          <w:color w:val="000000" w:themeColor="text1"/>
        </w:rPr>
        <w:t>3</w:t>
      </w:r>
      <w:r>
        <w:rPr>
          <w:rFonts w:cstheme="minorHAnsi"/>
          <w:bCs/>
          <w:color w:val="000000" w:themeColor="text1"/>
        </w:rPr>
        <w:t>a</w:t>
      </w:r>
      <w:r w:rsidRPr="00765D0E">
        <w:rPr>
          <w:rFonts w:cstheme="minorHAnsi"/>
          <w:bCs/>
          <w:color w:val="000000" w:themeColor="text1"/>
        </w:rPr>
        <w:t xml:space="preserve">). </w:t>
      </w:r>
      <w:r>
        <w:rPr>
          <w:rFonts w:cstheme="minorHAnsi"/>
          <w:bCs/>
          <w:color w:val="000000" w:themeColor="text1"/>
        </w:rPr>
        <w:t xml:space="preserve">Procedures for calculating total Sr, plotting umole </w:t>
      </w:r>
      <w:r w:rsidRPr="00A114E7">
        <w:rPr>
          <w:rFonts w:cstheme="minorHAnsi"/>
          <w:bCs/>
          <w:color w:val="000000" w:themeColor="text1"/>
          <w:vertAlign w:val="superscript"/>
        </w:rPr>
        <w:t>86</w:t>
      </w:r>
      <w:r>
        <w:rPr>
          <w:rFonts w:cstheme="minorHAnsi"/>
          <w:bCs/>
          <w:color w:val="000000" w:themeColor="text1"/>
        </w:rPr>
        <w:t xml:space="preserve">Sr vs. umole </w:t>
      </w:r>
      <w:r w:rsidRPr="00A114E7">
        <w:rPr>
          <w:rFonts w:cstheme="minorHAnsi"/>
          <w:bCs/>
          <w:color w:val="000000" w:themeColor="text1"/>
          <w:vertAlign w:val="superscript"/>
        </w:rPr>
        <w:t>87</w:t>
      </w:r>
      <w:r>
        <w:rPr>
          <w:rFonts w:cstheme="minorHAnsi"/>
          <w:bCs/>
          <w:color w:val="000000" w:themeColor="text1"/>
        </w:rPr>
        <w:t xml:space="preserve">Sr and calculating changing sources (spline smoothed derivatives) are described in the main text. The values in parentheses adjacent to the observed </w:t>
      </w:r>
      <w:r w:rsidRPr="00B20297">
        <w:rPr>
          <w:rFonts w:cstheme="minorHAnsi"/>
          <w:bCs/>
          <w:color w:val="000000" w:themeColor="text1"/>
          <w:vertAlign w:val="superscript"/>
        </w:rPr>
        <w:t>87</w:t>
      </w:r>
      <w:r>
        <w:rPr>
          <w:rFonts w:cstheme="minorHAnsi"/>
          <w:bCs/>
          <w:color w:val="000000" w:themeColor="text1"/>
        </w:rPr>
        <w:t>Sr:</w:t>
      </w:r>
      <w:r w:rsidRPr="00B20297">
        <w:rPr>
          <w:rFonts w:cstheme="minorHAnsi"/>
          <w:bCs/>
          <w:color w:val="000000" w:themeColor="text1"/>
          <w:vertAlign w:val="superscript"/>
        </w:rPr>
        <w:t>86</w:t>
      </w:r>
      <w:r>
        <w:rPr>
          <w:rFonts w:cstheme="minorHAnsi"/>
          <w:bCs/>
          <w:color w:val="000000" w:themeColor="text1"/>
        </w:rPr>
        <w:t xml:space="preserve">Sr ratios indicate the portions of Sr derived from seawater. They were calculated with standard formulas assuming the generally accepted seawater source (0.7091) and the background basalt parent material (0.7035) suggested by the original authors. These portions can also be approximated by calculating the relative distance of an observed </w:t>
      </w:r>
      <w:r w:rsidRPr="00765D0E">
        <w:rPr>
          <w:rFonts w:cstheme="minorHAnsi"/>
          <w:bCs/>
          <w:color w:val="000000" w:themeColor="text1"/>
          <w:vertAlign w:val="superscript"/>
        </w:rPr>
        <w:t>87</w:t>
      </w:r>
      <w:r w:rsidRPr="00765D0E">
        <w:rPr>
          <w:rFonts w:cstheme="minorHAnsi"/>
          <w:bCs/>
          <w:color w:val="000000" w:themeColor="text1"/>
        </w:rPr>
        <w:t>Sr:</w:t>
      </w:r>
      <w:r w:rsidRPr="00765D0E">
        <w:rPr>
          <w:rFonts w:cstheme="minorHAnsi"/>
          <w:bCs/>
          <w:color w:val="000000" w:themeColor="text1"/>
          <w:vertAlign w:val="superscript"/>
        </w:rPr>
        <w:t>86</w:t>
      </w:r>
      <w:r w:rsidRPr="00765D0E">
        <w:rPr>
          <w:rFonts w:cstheme="minorHAnsi"/>
          <w:bCs/>
          <w:color w:val="000000" w:themeColor="text1"/>
        </w:rPr>
        <w:t xml:space="preserve">Sr </w:t>
      </w:r>
      <w:r>
        <w:rPr>
          <w:rFonts w:cstheme="minorHAnsi"/>
          <w:bCs/>
          <w:color w:val="000000" w:themeColor="text1"/>
        </w:rPr>
        <w:t>ratio point from the background line shown (grey) divided by the distance between background (grey) and source (</w:t>
      </w:r>
      <w:r w:rsidR="00463568">
        <w:rPr>
          <w:rFonts w:cstheme="minorHAnsi"/>
          <w:bCs/>
          <w:color w:val="000000" w:themeColor="text1"/>
        </w:rPr>
        <w:t>green</w:t>
      </w:r>
      <w:r>
        <w:rPr>
          <w:rFonts w:cstheme="minorHAnsi"/>
          <w:bCs/>
          <w:color w:val="000000" w:themeColor="text1"/>
        </w:rPr>
        <w:t>) in Figure S</w:t>
      </w:r>
      <w:r w:rsidR="0016313A">
        <w:rPr>
          <w:rFonts w:cstheme="minorHAnsi"/>
          <w:bCs/>
          <w:color w:val="000000" w:themeColor="text1"/>
        </w:rPr>
        <w:t>3</w:t>
      </w:r>
      <w:r>
        <w:rPr>
          <w:rFonts w:cstheme="minorHAnsi"/>
          <w:bCs/>
          <w:color w:val="000000" w:themeColor="text1"/>
        </w:rPr>
        <w:t xml:space="preserve">a. </w:t>
      </w:r>
      <w:r>
        <w:rPr>
          <w:rFonts w:cstheme="minorHAnsi"/>
          <w:bCs/>
          <w:color w:val="000000" w:themeColor="text1"/>
        </w:rPr>
        <w:lastRenderedPageBreak/>
        <w:t>Declines</w:t>
      </w:r>
      <w:r w:rsidRPr="00765D0E">
        <w:rPr>
          <w:rFonts w:cstheme="minorHAnsi"/>
          <w:bCs/>
          <w:color w:val="000000" w:themeColor="text1"/>
        </w:rPr>
        <w:t xml:space="preserve"> </w:t>
      </w:r>
      <w:r>
        <w:rPr>
          <w:rFonts w:cstheme="minorHAnsi"/>
          <w:bCs/>
          <w:color w:val="000000" w:themeColor="text1"/>
        </w:rPr>
        <w:t xml:space="preserve">in </w:t>
      </w:r>
      <w:r w:rsidRPr="00765D0E">
        <w:rPr>
          <w:rFonts w:cstheme="minorHAnsi"/>
          <w:bCs/>
          <w:color w:val="000000" w:themeColor="text1"/>
          <w:vertAlign w:val="superscript"/>
        </w:rPr>
        <w:t>87</w:t>
      </w:r>
      <w:r w:rsidRPr="00765D0E">
        <w:rPr>
          <w:rFonts w:cstheme="minorHAnsi"/>
          <w:bCs/>
          <w:color w:val="000000" w:themeColor="text1"/>
        </w:rPr>
        <w:t>Sr:</w:t>
      </w:r>
      <w:r w:rsidRPr="00765D0E">
        <w:rPr>
          <w:rFonts w:cstheme="minorHAnsi"/>
          <w:bCs/>
          <w:color w:val="000000" w:themeColor="text1"/>
          <w:vertAlign w:val="superscript"/>
        </w:rPr>
        <w:t>86</w:t>
      </w:r>
      <w:r w:rsidRPr="00765D0E">
        <w:rPr>
          <w:rFonts w:cstheme="minorHAnsi"/>
          <w:bCs/>
          <w:color w:val="000000" w:themeColor="text1"/>
        </w:rPr>
        <w:t xml:space="preserve">Sr ratios </w:t>
      </w:r>
      <w:r>
        <w:rPr>
          <w:rFonts w:cstheme="minorHAnsi"/>
          <w:bCs/>
          <w:color w:val="000000" w:themeColor="text1"/>
        </w:rPr>
        <w:t xml:space="preserve">and portion of total Sr derived from sea spray </w:t>
      </w:r>
      <w:r w:rsidRPr="00765D0E">
        <w:rPr>
          <w:rFonts w:cstheme="minorHAnsi"/>
          <w:bCs/>
          <w:color w:val="000000" w:themeColor="text1"/>
        </w:rPr>
        <w:t xml:space="preserve">occur in a system where </w:t>
      </w:r>
      <w:r w:rsidRPr="00765D0E">
        <w:rPr>
          <w:rFonts w:cstheme="minorHAnsi"/>
          <w:bCs/>
          <w:color w:val="000000" w:themeColor="text1"/>
          <w:vertAlign w:val="superscript"/>
        </w:rPr>
        <w:t>86</w:t>
      </w:r>
      <w:r w:rsidRPr="00765D0E">
        <w:rPr>
          <w:rFonts w:cstheme="minorHAnsi"/>
          <w:bCs/>
          <w:color w:val="000000" w:themeColor="text1"/>
        </w:rPr>
        <w:t>Sr (and the related total Sr) increase with soil depth (Figure S</w:t>
      </w:r>
      <w:r w:rsidR="0016313A">
        <w:rPr>
          <w:rFonts w:cstheme="minorHAnsi"/>
          <w:bCs/>
          <w:color w:val="000000" w:themeColor="text1"/>
        </w:rPr>
        <w:t>3</w:t>
      </w:r>
      <w:r>
        <w:rPr>
          <w:rFonts w:cstheme="minorHAnsi"/>
          <w:bCs/>
          <w:color w:val="000000" w:themeColor="text1"/>
        </w:rPr>
        <w:t>a</w:t>
      </w:r>
      <w:r w:rsidRPr="00765D0E">
        <w:rPr>
          <w:rFonts w:cstheme="minorHAnsi"/>
          <w:bCs/>
          <w:color w:val="000000" w:themeColor="text1"/>
        </w:rPr>
        <w:t xml:space="preserve">). </w:t>
      </w:r>
    </w:p>
    <w:p w14:paraId="374315BB" w14:textId="77777777" w:rsidR="00791066" w:rsidRPr="00722008" w:rsidRDefault="00791066" w:rsidP="00791066">
      <w:pPr>
        <w:ind w:right="144" w:firstLine="720"/>
        <w:rPr>
          <w:rFonts w:cstheme="minorHAnsi"/>
        </w:rPr>
      </w:pPr>
      <w:r w:rsidRPr="00765D0E">
        <w:rPr>
          <w:rFonts w:cstheme="minorHAnsi"/>
        </w:rPr>
        <w:t xml:space="preserve">The fact that </w:t>
      </w:r>
      <w:r w:rsidRPr="00765D0E">
        <w:rPr>
          <w:rFonts w:cstheme="minorHAnsi"/>
          <w:vertAlign w:val="superscript"/>
        </w:rPr>
        <w:t>86</w:t>
      </w:r>
      <w:r w:rsidRPr="00765D0E">
        <w:rPr>
          <w:rFonts w:cstheme="minorHAnsi"/>
        </w:rPr>
        <w:t>Sr, total Sr, and Ca concentrations all generally increase with depth is perplexing. If seawater was deposited on the surface soil for thousands of years, why would generally immobile element</w:t>
      </w:r>
      <w:r>
        <w:rPr>
          <w:rFonts w:cstheme="minorHAnsi"/>
        </w:rPr>
        <w:t>s</w:t>
      </w:r>
      <w:r w:rsidRPr="00765D0E">
        <w:rPr>
          <w:rFonts w:cstheme="minorHAnsi"/>
        </w:rPr>
        <w:t xml:space="preserve"> like Sr and Ca have higher concentrations with increasing depth? Especially if sea spray inputs </w:t>
      </w:r>
      <w:r>
        <w:rPr>
          <w:rFonts w:cstheme="minorHAnsi"/>
        </w:rPr>
        <w:t xml:space="preserve">of Sr </w:t>
      </w:r>
      <w:r w:rsidRPr="00765D0E">
        <w:rPr>
          <w:rFonts w:cstheme="minorHAnsi"/>
        </w:rPr>
        <w:t>decrease with depth.</w:t>
      </w:r>
      <w:r>
        <w:rPr>
          <w:rFonts w:cstheme="minorHAnsi"/>
        </w:rPr>
        <w:t xml:space="preserve"> Perhaps a large portion of the four-fold increase in total Sr from the shallow to deep depth is mostly due to another Sr input such as weathering of the basalt parent material.</w:t>
      </w:r>
    </w:p>
    <w:p w14:paraId="23A568A6" w14:textId="77777777" w:rsidR="00791066" w:rsidRPr="006A126C" w:rsidRDefault="00791066" w:rsidP="00791066">
      <w:pPr>
        <w:pStyle w:val="Newparagraph"/>
        <w:spacing w:after="3" w:line="473" w:lineRule="auto"/>
        <w:ind w:right="144" w:firstLine="0"/>
        <w:jc w:val="both"/>
      </w:pPr>
      <w:r w:rsidRPr="003B40DF">
        <w:rPr>
          <w:noProof/>
        </w:rPr>
        <w:drawing>
          <wp:inline distT="0" distB="0" distL="0" distR="0" wp14:anchorId="2234B752" wp14:editId="5B698081">
            <wp:extent cx="4552381" cy="2752381"/>
            <wp:effectExtent l="0" t="0" r="635" b="0"/>
            <wp:docPr id="1147761118" name="Picture 1" descr="A graph with number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761118" name="Picture 1" descr="A graph with numbers and lines&#10;&#10;Description automatically generated"/>
                    <pic:cNvPicPr/>
                  </pic:nvPicPr>
                  <pic:blipFill>
                    <a:blip r:embed="rId33"/>
                    <a:stretch>
                      <a:fillRect/>
                    </a:stretch>
                  </pic:blipFill>
                  <pic:spPr>
                    <a:xfrm>
                      <a:off x="0" y="0"/>
                      <a:ext cx="4552381" cy="2752381"/>
                    </a:xfrm>
                    <a:prstGeom prst="rect">
                      <a:avLst/>
                    </a:prstGeom>
                  </pic:spPr>
                </pic:pic>
              </a:graphicData>
            </a:graphic>
          </wp:inline>
        </w:drawing>
      </w:r>
    </w:p>
    <w:p w14:paraId="1BAC673F" w14:textId="50A7A5A6" w:rsidR="00791066" w:rsidRDefault="00791066" w:rsidP="00791066">
      <w:pPr>
        <w:pStyle w:val="Figurecaption"/>
        <w:spacing w:before="0" w:after="3" w:line="473" w:lineRule="auto"/>
        <w:ind w:right="144"/>
        <w:jc w:val="both"/>
        <w:rPr>
          <w:noProof/>
          <w:lang w:val="en-US"/>
        </w:rPr>
      </w:pPr>
      <w:r>
        <w:rPr>
          <w:lang w:val="en-US" w:eastAsia="ja-JP"/>
        </w:rPr>
        <w:t>Figure S</w:t>
      </w:r>
      <w:r w:rsidR="0016313A">
        <w:rPr>
          <w:lang w:val="en-US" w:eastAsia="ja-JP"/>
        </w:rPr>
        <w:t>3</w:t>
      </w:r>
      <w:r>
        <w:rPr>
          <w:lang w:val="en-US" w:eastAsia="ja-JP"/>
        </w:rPr>
        <w:t>a</w:t>
      </w:r>
      <w:r w:rsidRPr="00023D70">
        <w:rPr>
          <w:noProof/>
          <w:lang w:val="en-US"/>
        </w:rPr>
        <w:t xml:space="preserve">. The relationships between </w:t>
      </w:r>
      <w:r w:rsidRPr="00023D70">
        <w:rPr>
          <w:noProof/>
          <w:vertAlign w:val="superscript"/>
          <w:lang w:val="en-US"/>
        </w:rPr>
        <w:t>87</w:t>
      </w:r>
      <w:r w:rsidRPr="00023D70">
        <w:rPr>
          <w:noProof/>
          <w:lang w:val="en-US"/>
        </w:rPr>
        <w:t>Sr:</w:t>
      </w:r>
      <w:r w:rsidRPr="00023D70">
        <w:rPr>
          <w:noProof/>
          <w:vertAlign w:val="superscript"/>
          <w:lang w:val="en-US"/>
        </w:rPr>
        <w:t>86</w:t>
      </w:r>
      <w:r w:rsidRPr="00023D70">
        <w:rPr>
          <w:noProof/>
          <w:lang w:val="en-US"/>
        </w:rPr>
        <w:t xml:space="preserve">Sr ratio and total Sr with soil depth from a </w:t>
      </w:r>
      <w:r>
        <w:rPr>
          <w:noProof/>
          <w:lang w:val="en-US"/>
        </w:rPr>
        <w:t>study evaluating the possibiity that sea spray is a major source of Sr in a Hawaiian soil. The original authors suggest</w:t>
      </w:r>
      <w:r w:rsidRPr="00023D70">
        <w:rPr>
          <w:noProof/>
          <w:lang w:val="en-US"/>
        </w:rPr>
        <w:t xml:space="preserve"> two possible end member sources (seawater and basalt)</w:t>
      </w:r>
      <w:r>
        <w:rPr>
          <w:noProof/>
          <w:lang w:val="en-US"/>
        </w:rPr>
        <w:t xml:space="preserve"> create a blended source that changes with depth.</w:t>
      </w:r>
      <w:r w:rsidRPr="00023D70">
        <w:rPr>
          <w:noProof/>
          <w:lang w:val="en-US"/>
        </w:rPr>
        <w:t xml:space="preserve"> The basalt soil parent material </w:t>
      </w:r>
      <w:r>
        <w:rPr>
          <w:noProof/>
          <w:lang w:val="en-US"/>
        </w:rPr>
        <w:t xml:space="preserve">value shown above </w:t>
      </w:r>
      <w:r w:rsidRPr="00023D70">
        <w:rPr>
          <w:noProof/>
          <w:lang w:val="en-US"/>
        </w:rPr>
        <w:t xml:space="preserve">was suggested by the original authors. The numbers adjacent to the </w:t>
      </w:r>
      <w:r w:rsidRPr="00023D70">
        <w:rPr>
          <w:noProof/>
          <w:vertAlign w:val="superscript"/>
          <w:lang w:val="en-US"/>
        </w:rPr>
        <w:t>87</w:t>
      </w:r>
      <w:r w:rsidRPr="00023D70">
        <w:rPr>
          <w:noProof/>
          <w:lang w:val="en-US"/>
        </w:rPr>
        <w:t>Sr:</w:t>
      </w:r>
      <w:r w:rsidRPr="00023D70">
        <w:rPr>
          <w:noProof/>
          <w:vertAlign w:val="superscript"/>
          <w:lang w:val="en-US"/>
        </w:rPr>
        <w:t>86</w:t>
      </w:r>
      <w:r w:rsidRPr="00023D70">
        <w:rPr>
          <w:noProof/>
          <w:lang w:val="en-US"/>
        </w:rPr>
        <w:t>Sr ratio points indicate the percentage of Sr at a given depth that originated from seawater (using standard formulas).</w:t>
      </w:r>
      <w:r>
        <w:rPr>
          <w:noProof/>
          <w:lang w:val="en-US"/>
        </w:rPr>
        <w:t xml:space="preserve"> Data after Whipkey et al. (2000).</w:t>
      </w:r>
    </w:p>
    <w:p w14:paraId="4001A58B" w14:textId="77777777" w:rsidR="00791066" w:rsidRPr="00EF507C" w:rsidRDefault="00791066" w:rsidP="00791066">
      <w:pPr>
        <w:ind w:right="144"/>
      </w:pPr>
      <w:r>
        <w:t>-</w:t>
      </w:r>
    </w:p>
    <w:p w14:paraId="1A388E2E" w14:textId="33BCE2E4" w:rsidR="00791066" w:rsidRPr="00765D0E" w:rsidRDefault="00791066" w:rsidP="00791066">
      <w:pPr>
        <w:pStyle w:val="Figurecaption"/>
        <w:spacing w:before="0" w:after="3" w:line="473" w:lineRule="auto"/>
        <w:ind w:right="144" w:firstLine="720"/>
        <w:jc w:val="both"/>
        <w:rPr>
          <w:rFonts w:cstheme="minorHAnsi"/>
          <w:bCs/>
          <w:color w:val="000000" w:themeColor="text1"/>
        </w:rPr>
      </w:pPr>
      <w:r>
        <w:rPr>
          <w:rFonts w:cstheme="minorHAnsi"/>
          <w:bCs/>
          <w:color w:val="000000" w:themeColor="text1"/>
        </w:rPr>
        <w:lastRenderedPageBreak/>
        <w:t>We hypothesize that a</w:t>
      </w:r>
      <w:r w:rsidRPr="00765D0E">
        <w:rPr>
          <w:rFonts w:cstheme="minorHAnsi"/>
          <w:bCs/>
          <w:color w:val="000000" w:themeColor="text1"/>
        </w:rPr>
        <w:t>lthough the shallowest depth</w:t>
      </w:r>
      <w:r>
        <w:rPr>
          <w:rFonts w:cstheme="minorHAnsi"/>
          <w:bCs/>
          <w:color w:val="000000" w:themeColor="text1"/>
        </w:rPr>
        <w:t>s</w:t>
      </w:r>
      <w:r w:rsidRPr="00765D0E">
        <w:rPr>
          <w:rFonts w:cstheme="minorHAnsi"/>
          <w:bCs/>
          <w:color w:val="000000" w:themeColor="text1"/>
        </w:rPr>
        <w:t xml:space="preserve"> studied may be strongly influenced by seawater spray, it is unlikely the Sr derived from seawater would be </w:t>
      </w:r>
      <w:r>
        <w:rPr>
          <w:rFonts w:cstheme="minorHAnsi"/>
          <w:bCs/>
          <w:color w:val="000000" w:themeColor="text1"/>
        </w:rPr>
        <w:t>64</w:t>
      </w:r>
      <w:r w:rsidRPr="00765D0E">
        <w:rPr>
          <w:rFonts w:cstheme="minorHAnsi"/>
          <w:bCs/>
          <w:color w:val="000000" w:themeColor="text1"/>
        </w:rPr>
        <w:t xml:space="preserve">% to 48% at deeper depths </w:t>
      </w:r>
      <w:r>
        <w:rPr>
          <w:rFonts w:cstheme="minorHAnsi"/>
          <w:bCs/>
          <w:color w:val="000000" w:themeColor="text1"/>
        </w:rPr>
        <w:t xml:space="preserve">(&gt;150 cm) </w:t>
      </w:r>
      <w:r w:rsidRPr="00765D0E">
        <w:rPr>
          <w:rFonts w:cstheme="minorHAnsi"/>
          <w:bCs/>
          <w:color w:val="000000" w:themeColor="text1"/>
        </w:rPr>
        <w:t xml:space="preserve">as the author’s state. </w:t>
      </w:r>
      <w:r w:rsidR="005739BB" w:rsidRPr="00765D0E">
        <w:rPr>
          <w:rFonts w:cstheme="minorHAnsi"/>
          <w:bCs/>
          <w:color w:val="000000" w:themeColor="text1"/>
        </w:rPr>
        <w:t>Standard formulas that convert isotopic ratios to the portion of total element derived from an assumed source do not account for isotopic ratios being confounded by total element</w:t>
      </w:r>
      <w:r w:rsidR="005739BB">
        <w:rPr>
          <w:rFonts w:cstheme="minorHAnsi"/>
          <w:bCs/>
          <w:color w:val="000000" w:themeColor="text1"/>
        </w:rPr>
        <w:t xml:space="preserve"> concentrations</w:t>
      </w:r>
      <w:r w:rsidR="005739BB" w:rsidRPr="00765D0E">
        <w:rPr>
          <w:rFonts w:cstheme="minorHAnsi"/>
          <w:bCs/>
          <w:color w:val="000000" w:themeColor="text1"/>
        </w:rPr>
        <w:t xml:space="preserve">. </w:t>
      </w:r>
      <w:r>
        <w:rPr>
          <w:rFonts w:cstheme="minorHAnsi"/>
          <w:bCs/>
          <w:color w:val="000000" w:themeColor="text1"/>
        </w:rPr>
        <w:t xml:space="preserve">The relationship between </w:t>
      </w:r>
      <w:r w:rsidRPr="008C0801">
        <w:rPr>
          <w:rFonts w:cstheme="minorHAnsi"/>
          <w:bCs/>
          <w:color w:val="000000" w:themeColor="text1"/>
          <w:vertAlign w:val="superscript"/>
        </w:rPr>
        <w:t>86</w:t>
      </w:r>
      <w:r>
        <w:rPr>
          <w:rFonts w:cstheme="minorHAnsi"/>
          <w:bCs/>
          <w:color w:val="000000" w:themeColor="text1"/>
        </w:rPr>
        <w:t xml:space="preserve">Sr and </w:t>
      </w:r>
      <w:r w:rsidRPr="008C0801">
        <w:rPr>
          <w:rFonts w:cstheme="minorHAnsi"/>
          <w:bCs/>
          <w:color w:val="000000" w:themeColor="text1"/>
          <w:vertAlign w:val="superscript"/>
        </w:rPr>
        <w:t>87</w:t>
      </w:r>
      <w:r>
        <w:rPr>
          <w:rFonts w:cstheme="minorHAnsi"/>
          <w:bCs/>
          <w:color w:val="000000" w:themeColor="text1"/>
        </w:rPr>
        <w:t>Sr (in molar units) is presented in Figure S</w:t>
      </w:r>
      <w:r w:rsidR="0016313A">
        <w:rPr>
          <w:rFonts w:cstheme="minorHAnsi"/>
          <w:bCs/>
          <w:color w:val="000000" w:themeColor="text1"/>
        </w:rPr>
        <w:t>3</w:t>
      </w:r>
      <w:r>
        <w:rPr>
          <w:rFonts w:cstheme="minorHAnsi"/>
          <w:bCs/>
          <w:color w:val="000000" w:themeColor="text1"/>
        </w:rPr>
        <w:t xml:space="preserve">b. </w:t>
      </w:r>
      <w:r>
        <w:rPr>
          <w:noProof/>
          <w:lang w:val="en-US"/>
        </w:rPr>
        <w:t xml:space="preserve">Neither the </w:t>
      </w:r>
      <w:r w:rsidRPr="004B2C93">
        <w:rPr>
          <w:i/>
          <w:noProof/>
          <w:lang w:val="en-US"/>
        </w:rPr>
        <w:t>y</w:t>
      </w:r>
      <w:r>
        <w:rPr>
          <w:noProof/>
          <w:lang w:val="en-US"/>
        </w:rPr>
        <w:t>-intercept (</w:t>
      </w:r>
      <w:r w:rsidRPr="004B2C93">
        <w:rPr>
          <w:i/>
          <w:iCs/>
          <w:noProof/>
          <w:lang w:val="en-US"/>
        </w:rPr>
        <w:t>p</w:t>
      </w:r>
      <w:r>
        <w:rPr>
          <w:noProof/>
          <w:lang w:val="en-US"/>
        </w:rPr>
        <w:t xml:space="preserve"> = 0.1340)</w:t>
      </w:r>
      <w:r w:rsidRPr="00023D70">
        <w:rPr>
          <w:noProof/>
          <w:lang w:val="en-US"/>
        </w:rPr>
        <w:t xml:space="preserve"> </w:t>
      </w:r>
      <w:r>
        <w:rPr>
          <w:noProof/>
          <w:lang w:val="en-US"/>
        </w:rPr>
        <w:t xml:space="preserve">for the linear equation nor the </w:t>
      </w:r>
      <w:r w:rsidRPr="004B2C93">
        <w:rPr>
          <w:i/>
          <w:iCs/>
          <w:noProof/>
          <w:lang w:val="en-US"/>
        </w:rPr>
        <w:t>x</w:t>
      </w:r>
      <w:r w:rsidRPr="004B2C93">
        <w:rPr>
          <w:noProof/>
          <w:vertAlign w:val="superscript"/>
          <w:lang w:val="en-US"/>
        </w:rPr>
        <w:t>2</w:t>
      </w:r>
      <w:r>
        <w:rPr>
          <w:noProof/>
          <w:lang w:val="en-US"/>
        </w:rPr>
        <w:t xml:space="preserve"> term (</w:t>
      </w:r>
      <w:r w:rsidRPr="004B2C93">
        <w:rPr>
          <w:i/>
          <w:iCs/>
          <w:noProof/>
          <w:lang w:val="en-US"/>
        </w:rPr>
        <w:t>p</w:t>
      </w:r>
      <w:r>
        <w:rPr>
          <w:noProof/>
          <w:lang w:val="en-US"/>
        </w:rPr>
        <w:t xml:space="preserve"> = 0.2597) for the polynomial equation are statistically significant. </w:t>
      </w:r>
      <w:r w:rsidRPr="00765D0E">
        <w:rPr>
          <w:rFonts w:cstheme="minorHAnsi"/>
          <w:bCs/>
          <w:color w:val="000000" w:themeColor="text1"/>
        </w:rPr>
        <w:t xml:space="preserve">Most changes in labile </w:t>
      </w:r>
      <w:r w:rsidRPr="00765D0E">
        <w:rPr>
          <w:rFonts w:cstheme="minorHAnsi"/>
          <w:bCs/>
          <w:color w:val="000000" w:themeColor="text1"/>
          <w:vertAlign w:val="superscript"/>
        </w:rPr>
        <w:t>87</w:t>
      </w:r>
      <w:r w:rsidRPr="00765D0E">
        <w:rPr>
          <w:rFonts w:cstheme="minorHAnsi"/>
          <w:bCs/>
          <w:color w:val="000000" w:themeColor="text1"/>
        </w:rPr>
        <w:t>Sr:</w:t>
      </w:r>
      <w:r w:rsidRPr="00765D0E">
        <w:rPr>
          <w:rFonts w:cstheme="minorHAnsi"/>
          <w:bCs/>
          <w:color w:val="000000" w:themeColor="text1"/>
          <w:vertAlign w:val="superscript"/>
        </w:rPr>
        <w:t>86</w:t>
      </w:r>
      <w:r w:rsidRPr="00765D0E">
        <w:rPr>
          <w:rFonts w:cstheme="minorHAnsi"/>
          <w:bCs/>
          <w:color w:val="000000" w:themeColor="text1"/>
        </w:rPr>
        <w:t>Sr ratio are driven by changes in total Sr</w:t>
      </w:r>
      <w:r>
        <w:rPr>
          <w:rFonts w:cstheme="minorHAnsi"/>
          <w:bCs/>
          <w:color w:val="000000" w:themeColor="text1"/>
        </w:rPr>
        <w:t xml:space="preserve"> (Figure S</w:t>
      </w:r>
      <w:r w:rsidR="0016313A">
        <w:rPr>
          <w:rFonts w:cstheme="minorHAnsi"/>
          <w:bCs/>
          <w:color w:val="000000" w:themeColor="text1"/>
        </w:rPr>
        <w:t>3</w:t>
      </w:r>
      <w:r>
        <w:rPr>
          <w:rFonts w:cstheme="minorHAnsi"/>
          <w:bCs/>
          <w:color w:val="000000" w:themeColor="text1"/>
        </w:rPr>
        <w:t>c)</w:t>
      </w:r>
      <w:r w:rsidRPr="00765D0E">
        <w:rPr>
          <w:rFonts w:cstheme="minorHAnsi"/>
          <w:bCs/>
          <w:color w:val="000000" w:themeColor="text1"/>
        </w:rPr>
        <w:t xml:space="preserve">. </w:t>
      </w:r>
    </w:p>
    <w:p w14:paraId="06B33589" w14:textId="42417BB2" w:rsidR="00791066" w:rsidRDefault="00791066" w:rsidP="00791066">
      <w:pPr>
        <w:pStyle w:val="Newparagraph"/>
        <w:spacing w:after="3" w:line="473" w:lineRule="auto"/>
        <w:ind w:right="144"/>
        <w:jc w:val="both"/>
      </w:pPr>
      <w:r>
        <w:t xml:space="preserve">Increasing total Sr is clearly associated with declining </w:t>
      </w:r>
      <w:r w:rsidRPr="001A5A5E">
        <w:rPr>
          <w:vertAlign w:val="superscript"/>
        </w:rPr>
        <w:t>87</w:t>
      </w:r>
      <w:r>
        <w:t>Sr:</w:t>
      </w:r>
      <w:r w:rsidRPr="001A5A5E">
        <w:rPr>
          <w:vertAlign w:val="superscript"/>
        </w:rPr>
        <w:t>86</w:t>
      </w:r>
      <w:r>
        <w:t>Sr ratios</w:t>
      </w:r>
      <w:r w:rsidR="00EC2F0C">
        <w:t>.</w:t>
      </w:r>
      <w:r>
        <w:t xml:space="preserve"> The linear relationship </w:t>
      </w:r>
      <w:r w:rsidR="0038490C">
        <w:t xml:space="preserve">between total Sr and </w:t>
      </w:r>
      <w:r w:rsidR="0038490C" w:rsidRPr="00F85A7D">
        <w:rPr>
          <w:vertAlign w:val="superscript"/>
        </w:rPr>
        <w:t>87</w:t>
      </w:r>
      <w:r w:rsidR="0038490C">
        <w:t>Sr:</w:t>
      </w:r>
      <w:r w:rsidR="0038490C" w:rsidRPr="00F85A7D">
        <w:rPr>
          <w:vertAlign w:val="superscript"/>
        </w:rPr>
        <w:t>86</w:t>
      </w:r>
      <w:r w:rsidR="0038490C">
        <w:t>Sr ratio has</w:t>
      </w:r>
      <w:r>
        <w:t xml:space="preserve"> an r</w:t>
      </w:r>
      <w:r w:rsidRPr="001A5A5E">
        <w:rPr>
          <w:vertAlign w:val="superscript"/>
        </w:rPr>
        <w:t>2</w:t>
      </w:r>
      <w:r>
        <w:t xml:space="preserve"> o</w:t>
      </w:r>
      <w:r w:rsidR="00A7139C">
        <w:t>f</w:t>
      </w:r>
      <w:r>
        <w:t xml:space="preserve"> 0.8698</w:t>
      </w:r>
      <w:r w:rsidR="00EC2F0C">
        <w:t xml:space="preserve"> </w:t>
      </w:r>
      <w:r w:rsidR="0038490C">
        <w:t xml:space="preserve">with </w:t>
      </w:r>
      <w:r w:rsidR="00EC2F0C">
        <w:t xml:space="preserve">a </w:t>
      </w:r>
      <w:r w:rsidR="00EC2F0C" w:rsidRPr="00EC2F0C">
        <w:rPr>
          <w:i/>
          <w:iCs/>
        </w:rPr>
        <w:t>p</w:t>
      </w:r>
      <w:r w:rsidR="00EC2F0C">
        <w:t>-value of 0.0207. However,</w:t>
      </w:r>
      <w:r>
        <w:t xml:space="preserve"> whether this relationship is driven by a constant source (linear </w:t>
      </w:r>
      <w:r w:rsidRPr="001A5A5E">
        <w:rPr>
          <w:vertAlign w:val="superscript"/>
        </w:rPr>
        <w:t>86</w:t>
      </w:r>
      <w:r>
        <w:t xml:space="preserve">Sr vs. </w:t>
      </w:r>
      <w:r w:rsidRPr="001A5A5E">
        <w:rPr>
          <w:vertAlign w:val="superscript"/>
        </w:rPr>
        <w:t>87</w:t>
      </w:r>
      <w:r>
        <w:t xml:space="preserve">Sr function with a positive </w:t>
      </w:r>
      <w:r w:rsidRPr="0060176A">
        <w:rPr>
          <w:i/>
          <w:iCs/>
        </w:rPr>
        <w:t>y</w:t>
      </w:r>
      <w:r>
        <w:t>-intercept) or a changing source (concave curvilinear function) is difficult to determine. Both a polynomial and linear relationship shown in Figure S</w:t>
      </w:r>
      <w:r w:rsidR="0016313A">
        <w:t>3</w:t>
      </w:r>
      <w:r>
        <w:t xml:space="preserve">a can predict the observed </w:t>
      </w:r>
      <w:r w:rsidRPr="00B5774A">
        <w:rPr>
          <w:vertAlign w:val="superscript"/>
        </w:rPr>
        <w:t>87</w:t>
      </w:r>
      <w:r>
        <w:t>Sr:</w:t>
      </w:r>
      <w:r w:rsidRPr="00B5774A">
        <w:rPr>
          <w:vertAlign w:val="superscript"/>
        </w:rPr>
        <w:t>86</w:t>
      </w:r>
      <w:r>
        <w:t>Sr ratios displayed in Figure S</w:t>
      </w:r>
      <w:r w:rsidR="0016313A">
        <w:t>3</w:t>
      </w:r>
      <w:r>
        <w:t xml:space="preserve">c. </w:t>
      </w:r>
    </w:p>
    <w:p w14:paraId="24196C70" w14:textId="77777777" w:rsidR="00791066" w:rsidRDefault="00791066" w:rsidP="00791066">
      <w:pPr>
        <w:pStyle w:val="Newparagraph"/>
        <w:spacing w:after="3" w:line="473" w:lineRule="auto"/>
        <w:ind w:right="144" w:firstLine="0"/>
        <w:jc w:val="both"/>
      </w:pPr>
      <w:r w:rsidRPr="00A46A86">
        <w:rPr>
          <w:noProof/>
        </w:rPr>
        <w:drawing>
          <wp:inline distT="0" distB="0" distL="0" distR="0" wp14:anchorId="7973CC25" wp14:editId="6A6BAE3C">
            <wp:extent cx="4580952" cy="2742857"/>
            <wp:effectExtent l="0" t="0" r="0" b="635"/>
            <wp:docPr id="1248973543"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973543" name="Picture 1" descr="Chart, line chart&#10;&#10;Description automatically generated"/>
                    <pic:cNvPicPr/>
                  </pic:nvPicPr>
                  <pic:blipFill>
                    <a:blip r:embed="rId34"/>
                    <a:stretch>
                      <a:fillRect/>
                    </a:stretch>
                  </pic:blipFill>
                  <pic:spPr>
                    <a:xfrm>
                      <a:off x="0" y="0"/>
                      <a:ext cx="4580952" cy="2742857"/>
                    </a:xfrm>
                    <a:prstGeom prst="rect">
                      <a:avLst/>
                    </a:prstGeom>
                  </pic:spPr>
                </pic:pic>
              </a:graphicData>
            </a:graphic>
          </wp:inline>
        </w:drawing>
      </w:r>
    </w:p>
    <w:p w14:paraId="7E61C9D8" w14:textId="4A8AC0B9" w:rsidR="00791066" w:rsidRDefault="00791066" w:rsidP="00791066">
      <w:pPr>
        <w:pStyle w:val="Figurecaption"/>
        <w:spacing w:before="0" w:after="3" w:line="473" w:lineRule="auto"/>
        <w:ind w:right="144"/>
        <w:jc w:val="both"/>
        <w:rPr>
          <w:noProof/>
          <w:lang w:val="en-US"/>
        </w:rPr>
      </w:pPr>
      <w:r>
        <w:t>Figure S</w:t>
      </w:r>
      <w:r w:rsidR="0016313A">
        <w:t>3</w:t>
      </w:r>
      <w:r>
        <w:t xml:space="preserve">b. </w:t>
      </w:r>
      <w:r w:rsidRPr="00023D70">
        <w:rPr>
          <w:noProof/>
          <w:lang w:val="en-US"/>
        </w:rPr>
        <w:t xml:space="preserve">The relationship between </w:t>
      </w:r>
      <w:r w:rsidRPr="00023D70">
        <w:rPr>
          <w:noProof/>
          <w:vertAlign w:val="superscript"/>
          <w:lang w:val="en-US"/>
        </w:rPr>
        <w:t>86</w:t>
      </w:r>
      <w:r w:rsidRPr="00023D70">
        <w:rPr>
          <w:noProof/>
          <w:lang w:val="en-US"/>
        </w:rPr>
        <w:t xml:space="preserve">Sr and </w:t>
      </w:r>
      <w:r w:rsidRPr="00023D70">
        <w:rPr>
          <w:noProof/>
          <w:vertAlign w:val="superscript"/>
          <w:lang w:val="en-US"/>
        </w:rPr>
        <w:t>87</w:t>
      </w:r>
      <w:r w:rsidRPr="00023D70">
        <w:rPr>
          <w:noProof/>
          <w:lang w:val="en-US"/>
        </w:rPr>
        <w:t xml:space="preserve">Sr </w:t>
      </w:r>
      <w:r>
        <w:rPr>
          <w:noProof/>
          <w:lang w:val="en-US"/>
        </w:rPr>
        <w:t xml:space="preserve">from </w:t>
      </w:r>
      <w:r w:rsidRPr="00023D70">
        <w:rPr>
          <w:noProof/>
          <w:lang w:val="en-US"/>
        </w:rPr>
        <w:t xml:space="preserve">a </w:t>
      </w:r>
      <w:r>
        <w:rPr>
          <w:noProof/>
          <w:lang w:val="en-US"/>
        </w:rPr>
        <w:t xml:space="preserve">study evaluating the possibiity that sea spray is a major source of Sr in a Hawaiian soil. Neither the </w:t>
      </w:r>
      <w:r w:rsidRPr="004B2C93">
        <w:rPr>
          <w:i/>
          <w:noProof/>
          <w:lang w:val="en-US"/>
        </w:rPr>
        <w:t>y</w:t>
      </w:r>
      <w:r>
        <w:rPr>
          <w:noProof/>
          <w:lang w:val="en-US"/>
        </w:rPr>
        <w:t>-intercept (</w:t>
      </w:r>
      <w:r w:rsidRPr="004B2C93">
        <w:rPr>
          <w:i/>
          <w:iCs/>
          <w:noProof/>
          <w:lang w:val="en-US"/>
        </w:rPr>
        <w:t>p</w:t>
      </w:r>
      <w:r>
        <w:rPr>
          <w:noProof/>
          <w:lang w:val="en-US"/>
        </w:rPr>
        <w:t xml:space="preserve"> = 0.1340)</w:t>
      </w:r>
      <w:r w:rsidRPr="00023D70">
        <w:rPr>
          <w:noProof/>
          <w:lang w:val="en-US"/>
        </w:rPr>
        <w:t xml:space="preserve"> </w:t>
      </w:r>
      <w:r>
        <w:rPr>
          <w:noProof/>
          <w:lang w:val="en-US"/>
        </w:rPr>
        <w:t xml:space="preserve">for the </w:t>
      </w:r>
      <w:r>
        <w:rPr>
          <w:noProof/>
          <w:lang w:val="en-US"/>
        </w:rPr>
        <w:lastRenderedPageBreak/>
        <w:t xml:space="preserve">linear equation nor the </w:t>
      </w:r>
      <w:r w:rsidRPr="004B2C93">
        <w:rPr>
          <w:i/>
          <w:iCs/>
          <w:noProof/>
          <w:lang w:val="en-US"/>
        </w:rPr>
        <w:t>x</w:t>
      </w:r>
      <w:r w:rsidRPr="004B2C93">
        <w:rPr>
          <w:noProof/>
          <w:vertAlign w:val="superscript"/>
          <w:lang w:val="en-US"/>
        </w:rPr>
        <w:t>2</w:t>
      </w:r>
      <w:r>
        <w:rPr>
          <w:noProof/>
          <w:lang w:val="en-US"/>
        </w:rPr>
        <w:t xml:space="preserve"> term (</w:t>
      </w:r>
      <w:r w:rsidRPr="004B2C93">
        <w:rPr>
          <w:i/>
          <w:iCs/>
          <w:noProof/>
          <w:lang w:val="en-US"/>
        </w:rPr>
        <w:t>p</w:t>
      </w:r>
      <w:r>
        <w:rPr>
          <w:noProof/>
          <w:lang w:val="en-US"/>
        </w:rPr>
        <w:t xml:space="preserve"> = 0.2597) for the polynomial equation are statistically significant. Data after Whipkey et al. (2000).</w:t>
      </w:r>
    </w:p>
    <w:p w14:paraId="0889566A" w14:textId="77777777" w:rsidR="00791066" w:rsidRDefault="00791066" w:rsidP="00791066">
      <w:pPr>
        <w:pStyle w:val="Newparagraph"/>
        <w:spacing w:after="3" w:line="473" w:lineRule="auto"/>
        <w:ind w:right="144" w:firstLine="0"/>
        <w:jc w:val="both"/>
      </w:pPr>
    </w:p>
    <w:p w14:paraId="17C4C633" w14:textId="77777777" w:rsidR="00791066" w:rsidRDefault="00791066" w:rsidP="00791066">
      <w:pPr>
        <w:pStyle w:val="Newparagraph"/>
        <w:spacing w:after="3" w:line="473" w:lineRule="auto"/>
        <w:ind w:right="144" w:firstLine="0"/>
        <w:jc w:val="both"/>
      </w:pPr>
      <w:r w:rsidRPr="00A46A86">
        <w:rPr>
          <w:noProof/>
        </w:rPr>
        <w:drawing>
          <wp:inline distT="0" distB="0" distL="0" distR="0" wp14:anchorId="40082B4F" wp14:editId="147244AD">
            <wp:extent cx="4580952" cy="2752381"/>
            <wp:effectExtent l="0" t="0" r="0" b="0"/>
            <wp:docPr id="2116912087"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912087" name="Picture 1" descr="Chart, scatter chart&#10;&#10;Description automatically generated"/>
                    <pic:cNvPicPr/>
                  </pic:nvPicPr>
                  <pic:blipFill>
                    <a:blip r:embed="rId35"/>
                    <a:stretch>
                      <a:fillRect/>
                    </a:stretch>
                  </pic:blipFill>
                  <pic:spPr>
                    <a:xfrm>
                      <a:off x="0" y="0"/>
                      <a:ext cx="4580952" cy="2752381"/>
                    </a:xfrm>
                    <a:prstGeom prst="rect">
                      <a:avLst/>
                    </a:prstGeom>
                  </pic:spPr>
                </pic:pic>
              </a:graphicData>
            </a:graphic>
          </wp:inline>
        </w:drawing>
      </w:r>
    </w:p>
    <w:p w14:paraId="72F45403" w14:textId="77777777" w:rsidR="00791066" w:rsidRDefault="00791066" w:rsidP="00791066">
      <w:pPr>
        <w:pStyle w:val="Newparagraph"/>
        <w:spacing w:after="3" w:line="473" w:lineRule="auto"/>
        <w:ind w:right="144" w:firstLine="0"/>
        <w:jc w:val="both"/>
      </w:pPr>
    </w:p>
    <w:p w14:paraId="2247EDDA" w14:textId="219F09F9" w:rsidR="00791066" w:rsidRDefault="00791066" w:rsidP="00791066">
      <w:pPr>
        <w:pStyle w:val="Figurecaption"/>
        <w:spacing w:before="0" w:after="3" w:line="473" w:lineRule="auto"/>
        <w:ind w:right="144"/>
        <w:jc w:val="both"/>
        <w:rPr>
          <w:noProof/>
          <w:lang w:val="en-US"/>
        </w:rPr>
      </w:pPr>
      <w:r>
        <w:t>Figure S</w:t>
      </w:r>
      <w:r w:rsidR="0016313A">
        <w:t>3</w:t>
      </w:r>
      <w:r>
        <w:t>c.</w:t>
      </w:r>
      <w:r w:rsidRPr="00845D89">
        <w:rPr>
          <w:lang w:val="en-US"/>
        </w:rPr>
        <w:t xml:space="preserve"> </w:t>
      </w:r>
      <w:r>
        <w:rPr>
          <w:lang w:val="en-US"/>
        </w:rPr>
        <w:t xml:space="preserve">The relationship between </w:t>
      </w:r>
      <w:r w:rsidRPr="00845D89">
        <w:rPr>
          <w:vertAlign w:val="superscript"/>
          <w:lang w:val="en-US"/>
        </w:rPr>
        <w:t>86</w:t>
      </w:r>
      <w:r>
        <w:rPr>
          <w:lang w:val="en-US"/>
        </w:rPr>
        <w:t xml:space="preserve">Sr (umoles/g) and </w:t>
      </w:r>
      <w:r w:rsidRPr="000B7686">
        <w:rPr>
          <w:vertAlign w:val="superscript"/>
          <w:lang w:val="en-US"/>
        </w:rPr>
        <w:t>87</w:t>
      </w:r>
      <w:r>
        <w:rPr>
          <w:lang w:val="en-US"/>
        </w:rPr>
        <w:t>Sr:</w:t>
      </w:r>
      <w:r w:rsidRPr="000B7686">
        <w:rPr>
          <w:vertAlign w:val="superscript"/>
          <w:lang w:val="en-US"/>
        </w:rPr>
        <w:t>86</w:t>
      </w:r>
      <w:r>
        <w:rPr>
          <w:lang w:val="en-US"/>
        </w:rPr>
        <w:t xml:space="preserve">Sr ratios </w:t>
      </w:r>
      <w:r>
        <w:rPr>
          <w:noProof/>
          <w:lang w:val="en-US"/>
        </w:rPr>
        <w:t xml:space="preserve">from </w:t>
      </w:r>
      <w:r w:rsidRPr="00023D70">
        <w:rPr>
          <w:noProof/>
          <w:lang w:val="en-US"/>
        </w:rPr>
        <w:t xml:space="preserve">a </w:t>
      </w:r>
      <w:r>
        <w:rPr>
          <w:noProof/>
          <w:lang w:val="en-US"/>
        </w:rPr>
        <w:t>study evaluating the possibiity that sea spray is a major source of Sr in a Hawaiian soil</w:t>
      </w:r>
      <w:r>
        <w:rPr>
          <w:lang w:val="en-US"/>
        </w:rPr>
        <w:t xml:space="preserve">. Predicted values are derived from the linear and polynomial </w:t>
      </w:r>
      <w:r w:rsidRPr="000B7686">
        <w:rPr>
          <w:vertAlign w:val="superscript"/>
          <w:lang w:val="en-US"/>
        </w:rPr>
        <w:t>86</w:t>
      </w:r>
      <w:r>
        <w:rPr>
          <w:lang w:val="en-US"/>
        </w:rPr>
        <w:t xml:space="preserve">Sr vs. </w:t>
      </w:r>
      <w:r w:rsidRPr="000B7686">
        <w:rPr>
          <w:vertAlign w:val="superscript"/>
          <w:lang w:val="en-US"/>
        </w:rPr>
        <w:t>87</w:t>
      </w:r>
      <w:r>
        <w:rPr>
          <w:lang w:val="en-US"/>
        </w:rPr>
        <w:t>Sr equations presented in Figure S</w:t>
      </w:r>
      <w:r w:rsidR="0016313A">
        <w:rPr>
          <w:lang w:val="en-US"/>
        </w:rPr>
        <w:t>3</w:t>
      </w:r>
      <w:r w:rsidR="005739BB">
        <w:rPr>
          <w:lang w:val="en-US"/>
        </w:rPr>
        <w:t>b</w:t>
      </w:r>
      <w:r>
        <w:rPr>
          <w:lang w:val="en-US"/>
        </w:rPr>
        <w:t xml:space="preserve">. The driver behind the </w:t>
      </w:r>
      <w:r w:rsidRPr="000B7686">
        <w:rPr>
          <w:vertAlign w:val="superscript"/>
          <w:lang w:val="en-US"/>
        </w:rPr>
        <w:t>87</w:t>
      </w:r>
      <w:r>
        <w:rPr>
          <w:lang w:val="en-US"/>
        </w:rPr>
        <w:t>Sr:</w:t>
      </w:r>
      <w:r w:rsidRPr="000B7686">
        <w:rPr>
          <w:vertAlign w:val="superscript"/>
          <w:lang w:val="en-US"/>
        </w:rPr>
        <w:t>86</w:t>
      </w:r>
      <w:r>
        <w:rPr>
          <w:lang w:val="en-US"/>
        </w:rPr>
        <w:t xml:space="preserve">Sr ratio decline, with increasing </w:t>
      </w:r>
      <w:r w:rsidRPr="00160A31">
        <w:rPr>
          <w:vertAlign w:val="superscript"/>
          <w:lang w:val="en-US"/>
        </w:rPr>
        <w:t>86</w:t>
      </w:r>
      <w:r>
        <w:rPr>
          <w:lang w:val="en-US"/>
        </w:rPr>
        <w:t xml:space="preserve">Sr, cannot be determined because neither </w:t>
      </w:r>
      <w:r>
        <w:rPr>
          <w:noProof/>
          <w:lang w:val="en-US"/>
        </w:rPr>
        <w:t xml:space="preserve">the </w:t>
      </w:r>
      <w:r w:rsidRPr="004B2C93">
        <w:rPr>
          <w:i/>
          <w:noProof/>
          <w:lang w:val="en-US"/>
        </w:rPr>
        <w:t>y</w:t>
      </w:r>
      <w:r>
        <w:rPr>
          <w:noProof/>
          <w:lang w:val="en-US"/>
        </w:rPr>
        <w:t xml:space="preserve">-intercept for the linear equation nor the </w:t>
      </w:r>
      <w:r w:rsidRPr="004B2C93">
        <w:rPr>
          <w:i/>
          <w:iCs/>
          <w:noProof/>
          <w:lang w:val="en-US"/>
        </w:rPr>
        <w:t>x</w:t>
      </w:r>
      <w:r w:rsidRPr="004B2C93">
        <w:rPr>
          <w:noProof/>
          <w:vertAlign w:val="superscript"/>
          <w:lang w:val="en-US"/>
        </w:rPr>
        <w:t>2</w:t>
      </w:r>
      <w:r>
        <w:rPr>
          <w:noProof/>
          <w:lang w:val="en-US"/>
        </w:rPr>
        <w:t xml:space="preserve"> term for the polynomial equation are statistically significant (Figure S</w:t>
      </w:r>
      <w:r w:rsidR="0016313A">
        <w:rPr>
          <w:noProof/>
          <w:lang w:val="en-US"/>
        </w:rPr>
        <w:t>3</w:t>
      </w:r>
      <w:r>
        <w:rPr>
          <w:noProof/>
          <w:lang w:val="en-US"/>
        </w:rPr>
        <w:t>b). However, the polynomial prediction shown  here appears to have a better fit. Data after Whipkey et al. (2000).</w:t>
      </w:r>
    </w:p>
    <w:p w14:paraId="3C7C9A4A" w14:textId="77777777" w:rsidR="00791066" w:rsidRPr="0073154B" w:rsidRDefault="00791066" w:rsidP="00791066">
      <w:pPr>
        <w:ind w:right="144"/>
      </w:pPr>
      <w:r>
        <w:t>-</w:t>
      </w:r>
    </w:p>
    <w:p w14:paraId="1337D769" w14:textId="4C432E47" w:rsidR="00791066" w:rsidRDefault="00791066" w:rsidP="00791066">
      <w:pPr>
        <w:pStyle w:val="Newparagraph"/>
        <w:spacing w:after="3" w:line="473" w:lineRule="auto"/>
        <w:ind w:right="144"/>
        <w:jc w:val="both"/>
      </w:pPr>
      <w:r>
        <w:t xml:space="preserve">The uncertainty about the cause of declining </w:t>
      </w:r>
      <w:r w:rsidRPr="00DD1701">
        <w:rPr>
          <w:vertAlign w:val="superscript"/>
        </w:rPr>
        <w:t>87</w:t>
      </w:r>
      <w:r>
        <w:t>Sr:</w:t>
      </w:r>
      <w:r w:rsidRPr="00DD1701">
        <w:rPr>
          <w:vertAlign w:val="superscript"/>
        </w:rPr>
        <w:t>86</w:t>
      </w:r>
      <w:r>
        <w:t xml:space="preserve">Sr ratios is also apparent in traditional mixing lines (1/total Sr ug/g vs. molar based </w:t>
      </w:r>
      <w:r w:rsidRPr="00DD1701">
        <w:rPr>
          <w:vertAlign w:val="superscript"/>
        </w:rPr>
        <w:t>87</w:t>
      </w:r>
      <w:r>
        <w:t>Sr:</w:t>
      </w:r>
      <w:r w:rsidRPr="00DD1701">
        <w:rPr>
          <w:vertAlign w:val="superscript"/>
        </w:rPr>
        <w:t>86</w:t>
      </w:r>
      <w:r>
        <w:t>Sr ratios) shown in Figure S</w:t>
      </w:r>
      <w:r w:rsidR="0016313A">
        <w:t>3</w:t>
      </w:r>
      <w:r>
        <w:t xml:space="preserve">d. Either linear or curvilinear mixing lines can be defined by the data. Curvilinear best-fit equations are stronger for both the </w:t>
      </w:r>
      <w:r w:rsidRPr="001C0BA4">
        <w:rPr>
          <w:vertAlign w:val="superscript"/>
        </w:rPr>
        <w:t>86</w:t>
      </w:r>
      <w:r>
        <w:t xml:space="preserve">Sr vs </w:t>
      </w:r>
      <w:r w:rsidRPr="001C0BA4">
        <w:rPr>
          <w:vertAlign w:val="superscript"/>
        </w:rPr>
        <w:t>87</w:t>
      </w:r>
      <w:r>
        <w:t>Sr:</w:t>
      </w:r>
      <w:r w:rsidRPr="001C0BA4">
        <w:rPr>
          <w:vertAlign w:val="superscript"/>
        </w:rPr>
        <w:t>86</w:t>
      </w:r>
      <w:r>
        <w:t>Sr ratio in Figure S</w:t>
      </w:r>
      <w:r w:rsidR="0016313A">
        <w:t>3</w:t>
      </w:r>
      <w:r>
        <w:t xml:space="preserve">c and the 1/total Sr vs. </w:t>
      </w:r>
      <w:r w:rsidRPr="001C0BA4">
        <w:rPr>
          <w:vertAlign w:val="superscript"/>
        </w:rPr>
        <w:lastRenderedPageBreak/>
        <w:t>87</w:t>
      </w:r>
      <w:r>
        <w:t>Sr:</w:t>
      </w:r>
      <w:r w:rsidRPr="001C0BA4">
        <w:rPr>
          <w:vertAlign w:val="superscript"/>
        </w:rPr>
        <w:t>86</w:t>
      </w:r>
      <w:r>
        <w:t>Sr ratio in Figure S</w:t>
      </w:r>
      <w:r w:rsidR="0016313A">
        <w:t>3</w:t>
      </w:r>
      <w:r>
        <w:t xml:space="preserve">d. Even so, a firm conclusion about why </w:t>
      </w:r>
      <w:r w:rsidRPr="001C0BA4">
        <w:rPr>
          <w:vertAlign w:val="superscript"/>
        </w:rPr>
        <w:t>87</w:t>
      </w:r>
      <w:r>
        <w:t>Sr:</w:t>
      </w:r>
      <w:r w:rsidRPr="001C0BA4">
        <w:rPr>
          <w:vertAlign w:val="superscript"/>
        </w:rPr>
        <w:t>86</w:t>
      </w:r>
      <w:r>
        <w:t>Sr ratios decline with increasing total Sr is not possible.</w:t>
      </w:r>
    </w:p>
    <w:p w14:paraId="604F9868" w14:textId="77777777" w:rsidR="00791066" w:rsidRDefault="00791066" w:rsidP="00791066">
      <w:pPr>
        <w:pStyle w:val="Newparagraph"/>
        <w:spacing w:after="3" w:line="473" w:lineRule="auto"/>
        <w:ind w:right="144" w:firstLine="0"/>
        <w:jc w:val="both"/>
      </w:pPr>
      <w:r w:rsidRPr="00810A0B">
        <w:rPr>
          <w:noProof/>
        </w:rPr>
        <w:drawing>
          <wp:inline distT="0" distB="0" distL="0" distR="0" wp14:anchorId="7EC1658E" wp14:editId="5C61E814">
            <wp:extent cx="4580952" cy="2752381"/>
            <wp:effectExtent l="0" t="0" r="0" b="0"/>
            <wp:docPr id="1822581998" name="Picture 1" descr="A graph of a graph with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581998" name="Picture 1" descr="A graph of a graph with numbers and a line&#10;&#10;Description automatically generated with medium confidence"/>
                    <pic:cNvPicPr/>
                  </pic:nvPicPr>
                  <pic:blipFill>
                    <a:blip r:embed="rId36"/>
                    <a:stretch>
                      <a:fillRect/>
                    </a:stretch>
                  </pic:blipFill>
                  <pic:spPr>
                    <a:xfrm>
                      <a:off x="0" y="0"/>
                      <a:ext cx="4580952" cy="2752381"/>
                    </a:xfrm>
                    <a:prstGeom prst="rect">
                      <a:avLst/>
                    </a:prstGeom>
                  </pic:spPr>
                </pic:pic>
              </a:graphicData>
            </a:graphic>
          </wp:inline>
        </w:drawing>
      </w:r>
    </w:p>
    <w:p w14:paraId="6896AFA3" w14:textId="76474843" w:rsidR="00791066" w:rsidRDefault="00791066" w:rsidP="00791066">
      <w:pPr>
        <w:pStyle w:val="Figurecaption"/>
        <w:spacing w:before="0" w:after="3" w:line="473" w:lineRule="auto"/>
        <w:ind w:right="144"/>
        <w:jc w:val="both"/>
        <w:rPr>
          <w:noProof/>
          <w:lang w:val="en-US"/>
        </w:rPr>
      </w:pPr>
      <w:r>
        <w:t>Figure S</w:t>
      </w:r>
      <w:r w:rsidR="0016313A">
        <w:t>3</w:t>
      </w:r>
      <w:r>
        <w:t xml:space="preserve">d. </w:t>
      </w:r>
      <w:r>
        <w:rPr>
          <w:lang w:val="en-US"/>
        </w:rPr>
        <w:t xml:space="preserve">The relationship between 1/total Sr (ug/g units) and </w:t>
      </w:r>
      <w:r w:rsidRPr="000B7686">
        <w:rPr>
          <w:vertAlign w:val="superscript"/>
          <w:lang w:val="en-US"/>
        </w:rPr>
        <w:t>87</w:t>
      </w:r>
      <w:r>
        <w:rPr>
          <w:lang w:val="en-US"/>
        </w:rPr>
        <w:t>Sr:</w:t>
      </w:r>
      <w:r w:rsidRPr="000B7686">
        <w:rPr>
          <w:vertAlign w:val="superscript"/>
          <w:lang w:val="en-US"/>
        </w:rPr>
        <w:t>86</w:t>
      </w:r>
      <w:r>
        <w:rPr>
          <w:lang w:val="en-US"/>
        </w:rPr>
        <w:t xml:space="preserve">Sr ratios (umole/g units) </w:t>
      </w:r>
      <w:r>
        <w:rPr>
          <w:noProof/>
          <w:lang w:val="en-US"/>
        </w:rPr>
        <w:t xml:space="preserve">from </w:t>
      </w:r>
      <w:r w:rsidRPr="00023D70">
        <w:rPr>
          <w:noProof/>
          <w:lang w:val="en-US"/>
        </w:rPr>
        <w:t xml:space="preserve">a </w:t>
      </w:r>
      <w:r>
        <w:rPr>
          <w:noProof/>
          <w:lang w:val="en-US"/>
        </w:rPr>
        <w:t>study evaluating the possibi</w:t>
      </w:r>
      <w:r w:rsidR="006E728C">
        <w:rPr>
          <w:noProof/>
          <w:lang w:val="en-US"/>
        </w:rPr>
        <w:t>l</w:t>
      </w:r>
      <w:r>
        <w:rPr>
          <w:noProof/>
          <w:lang w:val="en-US"/>
        </w:rPr>
        <w:t>ity that sea spray is a major source of Sr in a Hawaiian soil</w:t>
      </w:r>
      <w:r>
        <w:rPr>
          <w:lang w:val="en-US"/>
        </w:rPr>
        <w:t xml:space="preserve">. Linear and polynomial best-fit equations are shown. The driver behind the </w:t>
      </w:r>
      <w:r w:rsidRPr="000B7686">
        <w:rPr>
          <w:vertAlign w:val="superscript"/>
          <w:lang w:val="en-US"/>
        </w:rPr>
        <w:t>87</w:t>
      </w:r>
      <w:r>
        <w:rPr>
          <w:lang w:val="en-US"/>
        </w:rPr>
        <w:t>Sr:</w:t>
      </w:r>
      <w:r w:rsidRPr="000B7686">
        <w:rPr>
          <w:vertAlign w:val="superscript"/>
          <w:lang w:val="en-US"/>
        </w:rPr>
        <w:t>86</w:t>
      </w:r>
      <w:r>
        <w:rPr>
          <w:lang w:val="en-US"/>
        </w:rPr>
        <w:t xml:space="preserve">Sr ratio decline, with increasing </w:t>
      </w:r>
      <w:r w:rsidRPr="00160A31">
        <w:rPr>
          <w:vertAlign w:val="superscript"/>
          <w:lang w:val="en-US"/>
        </w:rPr>
        <w:t>86</w:t>
      </w:r>
      <w:r>
        <w:rPr>
          <w:lang w:val="en-US"/>
        </w:rPr>
        <w:t xml:space="preserve">Sr, cannot be determined because neither </w:t>
      </w:r>
      <w:r>
        <w:rPr>
          <w:noProof/>
          <w:lang w:val="en-US"/>
        </w:rPr>
        <w:t xml:space="preserve">the </w:t>
      </w:r>
      <w:r w:rsidRPr="004B2C93">
        <w:rPr>
          <w:i/>
          <w:noProof/>
          <w:lang w:val="en-US"/>
        </w:rPr>
        <w:t>y</w:t>
      </w:r>
      <w:r>
        <w:rPr>
          <w:noProof/>
          <w:lang w:val="en-US"/>
        </w:rPr>
        <w:t xml:space="preserve">-intercept for the linear equation nor the </w:t>
      </w:r>
      <w:r w:rsidRPr="004B2C93">
        <w:rPr>
          <w:i/>
          <w:iCs/>
          <w:noProof/>
          <w:lang w:val="en-US"/>
        </w:rPr>
        <w:t>x</w:t>
      </w:r>
      <w:r w:rsidRPr="004B2C93">
        <w:rPr>
          <w:noProof/>
          <w:vertAlign w:val="superscript"/>
          <w:lang w:val="en-US"/>
        </w:rPr>
        <w:t>2</w:t>
      </w:r>
      <w:r>
        <w:rPr>
          <w:noProof/>
          <w:lang w:val="en-US"/>
        </w:rPr>
        <w:t xml:space="preserve"> term for the polynomial equation are statistically significant (Figure S</w:t>
      </w:r>
      <w:r w:rsidR="0016313A">
        <w:rPr>
          <w:noProof/>
          <w:lang w:val="en-US"/>
        </w:rPr>
        <w:t>3</w:t>
      </w:r>
      <w:r>
        <w:rPr>
          <w:noProof/>
          <w:lang w:val="en-US"/>
        </w:rPr>
        <w:t>b). However, a curviliear power function shown here appears to have a better fit than a linear functi</w:t>
      </w:r>
      <w:r w:rsidR="00A7139C">
        <w:rPr>
          <w:noProof/>
          <w:lang w:val="en-US"/>
        </w:rPr>
        <w:t>o</w:t>
      </w:r>
      <w:r>
        <w:rPr>
          <w:noProof/>
          <w:lang w:val="en-US"/>
        </w:rPr>
        <w:t>n for the mixing line. Data after Whipkey et al. (2000).</w:t>
      </w:r>
    </w:p>
    <w:p w14:paraId="77DCE298" w14:textId="77777777" w:rsidR="00791066" w:rsidRPr="00EF507C" w:rsidRDefault="00791066" w:rsidP="00791066">
      <w:pPr>
        <w:ind w:right="144"/>
      </w:pPr>
      <w:r>
        <w:t>-</w:t>
      </w:r>
    </w:p>
    <w:p w14:paraId="6FEDCE03" w14:textId="22A9B396" w:rsidR="00791066" w:rsidRDefault="00CE30F7" w:rsidP="00791066">
      <w:pPr>
        <w:pStyle w:val="Newparagraph"/>
        <w:spacing w:after="3" w:line="473" w:lineRule="auto"/>
        <w:ind w:right="144"/>
        <w:jc w:val="both"/>
        <w:rPr>
          <w:rFonts w:cstheme="minorHAnsi"/>
          <w:bCs/>
          <w:color w:val="000000" w:themeColor="text1"/>
        </w:rPr>
      </w:pPr>
      <w:r>
        <w:t>To</w:t>
      </w:r>
      <w:r w:rsidR="00791066">
        <w:t xml:space="preserve"> </w:t>
      </w:r>
      <w:r w:rsidR="00BB4E80">
        <w:t>d</w:t>
      </w:r>
      <w:r w:rsidR="0038490C">
        <w:t>eal with the fact that</w:t>
      </w:r>
      <w:r w:rsidR="00791066">
        <w:t xml:space="preserve"> </w:t>
      </w:r>
      <w:r w:rsidR="00BB4E80">
        <w:t>possible,</w:t>
      </w:r>
      <w:r w:rsidR="00791066">
        <w:t xml:space="preserve"> sources </w:t>
      </w:r>
      <w:r w:rsidR="0038490C">
        <w:t>could be</w:t>
      </w:r>
      <w:r w:rsidR="00791066">
        <w:t xml:space="preserve"> constant or changing, both linear </w:t>
      </w:r>
      <w:r w:rsidR="0038490C">
        <w:t xml:space="preserve">(Figure 3e) </w:t>
      </w:r>
      <w:r w:rsidR="00791066">
        <w:t xml:space="preserve">and polynomial models </w:t>
      </w:r>
      <w:r w:rsidR="0038490C">
        <w:t xml:space="preserve">(Figure 3f) </w:t>
      </w:r>
      <w:r w:rsidR="00791066">
        <w:t xml:space="preserve">were evaluated. </w:t>
      </w:r>
      <w:r w:rsidR="0038490C">
        <w:t xml:space="preserve">For the linear evaluation, </w:t>
      </w:r>
      <w:r w:rsidR="0038490C">
        <w:rPr>
          <w:rFonts w:cstheme="minorHAnsi"/>
          <w:bCs/>
          <w:color w:val="000000" w:themeColor="text1"/>
        </w:rPr>
        <w:t>t</w:t>
      </w:r>
      <w:r w:rsidR="00791066" w:rsidRPr="00765D0E">
        <w:rPr>
          <w:rFonts w:cstheme="minorHAnsi"/>
          <w:bCs/>
          <w:color w:val="000000" w:themeColor="text1"/>
        </w:rPr>
        <w:t xml:space="preserve">he </w:t>
      </w:r>
      <w:r w:rsidR="00791066" w:rsidRPr="00765D0E">
        <w:rPr>
          <w:rFonts w:cstheme="minorHAnsi"/>
          <w:bCs/>
          <w:color w:val="000000" w:themeColor="text1"/>
          <w:vertAlign w:val="superscript"/>
        </w:rPr>
        <w:t>87</w:t>
      </w:r>
      <w:r w:rsidR="00791066" w:rsidRPr="00765D0E">
        <w:rPr>
          <w:rFonts w:cstheme="minorHAnsi"/>
          <w:bCs/>
          <w:color w:val="000000" w:themeColor="text1"/>
        </w:rPr>
        <w:t>Sr:</w:t>
      </w:r>
      <w:r w:rsidR="00791066" w:rsidRPr="00765D0E">
        <w:rPr>
          <w:rFonts w:cstheme="minorHAnsi"/>
          <w:bCs/>
          <w:color w:val="000000" w:themeColor="text1"/>
          <w:vertAlign w:val="superscript"/>
        </w:rPr>
        <w:t>86</w:t>
      </w:r>
      <w:r w:rsidR="00791066" w:rsidRPr="00765D0E">
        <w:rPr>
          <w:rFonts w:cstheme="minorHAnsi"/>
          <w:bCs/>
          <w:color w:val="000000" w:themeColor="text1"/>
        </w:rPr>
        <w:t xml:space="preserve">Sr ratio of seawater (0.7091) is outside the 95% confidence interval for the </w:t>
      </w:r>
      <w:r w:rsidR="00791066">
        <w:rPr>
          <w:rFonts w:cstheme="minorHAnsi"/>
          <w:bCs/>
          <w:color w:val="000000" w:themeColor="text1"/>
        </w:rPr>
        <w:t xml:space="preserve">linear </w:t>
      </w:r>
      <w:r w:rsidR="00791066" w:rsidRPr="00765D0E">
        <w:rPr>
          <w:rFonts w:cstheme="minorHAnsi"/>
          <w:bCs/>
          <w:color w:val="000000" w:themeColor="text1"/>
        </w:rPr>
        <w:t>slope (0.705</w:t>
      </w:r>
      <w:r w:rsidR="00791066">
        <w:rPr>
          <w:rFonts w:cstheme="minorHAnsi"/>
          <w:bCs/>
          <w:color w:val="000000" w:themeColor="text1"/>
        </w:rPr>
        <w:t>4</w:t>
      </w:r>
      <w:r w:rsidR="00791066" w:rsidRPr="00765D0E">
        <w:rPr>
          <w:rFonts w:cstheme="minorHAnsi"/>
          <w:bCs/>
          <w:color w:val="000000" w:themeColor="text1"/>
        </w:rPr>
        <w:t xml:space="preserve">) of the original </w:t>
      </w:r>
      <w:r w:rsidR="00791066">
        <w:rPr>
          <w:rFonts w:cstheme="minorHAnsi"/>
          <w:bCs/>
          <w:color w:val="000000" w:themeColor="text1"/>
        </w:rPr>
        <w:t xml:space="preserve">umole/g </w:t>
      </w:r>
      <w:r w:rsidR="00791066" w:rsidRPr="00765D0E">
        <w:rPr>
          <w:rFonts w:cstheme="minorHAnsi"/>
          <w:bCs/>
          <w:color w:val="000000" w:themeColor="text1"/>
          <w:vertAlign w:val="superscript"/>
        </w:rPr>
        <w:t>86</w:t>
      </w:r>
      <w:r w:rsidR="00791066" w:rsidRPr="00765D0E">
        <w:rPr>
          <w:rFonts w:cstheme="minorHAnsi"/>
          <w:bCs/>
          <w:color w:val="000000" w:themeColor="text1"/>
        </w:rPr>
        <w:t xml:space="preserve">Sr vs. </w:t>
      </w:r>
      <w:r w:rsidR="00791066">
        <w:rPr>
          <w:rFonts w:cstheme="minorHAnsi"/>
          <w:bCs/>
          <w:color w:val="000000" w:themeColor="text1"/>
        </w:rPr>
        <w:t xml:space="preserve">umole/g </w:t>
      </w:r>
      <w:r w:rsidR="00791066" w:rsidRPr="00765D0E">
        <w:rPr>
          <w:rFonts w:cstheme="minorHAnsi"/>
          <w:bCs/>
          <w:color w:val="000000" w:themeColor="text1"/>
          <w:vertAlign w:val="superscript"/>
        </w:rPr>
        <w:t>87</w:t>
      </w:r>
      <w:r w:rsidR="00791066" w:rsidRPr="00765D0E">
        <w:rPr>
          <w:rFonts w:cstheme="minorHAnsi"/>
          <w:bCs/>
          <w:color w:val="000000" w:themeColor="text1"/>
        </w:rPr>
        <w:t>Sr plot (Figure S</w:t>
      </w:r>
      <w:r w:rsidR="004138E0">
        <w:rPr>
          <w:rFonts w:cstheme="minorHAnsi"/>
          <w:bCs/>
          <w:color w:val="000000" w:themeColor="text1"/>
        </w:rPr>
        <w:t>3</w:t>
      </w:r>
      <w:r w:rsidR="00791066">
        <w:rPr>
          <w:rFonts w:cstheme="minorHAnsi"/>
          <w:bCs/>
          <w:color w:val="000000" w:themeColor="text1"/>
        </w:rPr>
        <w:t>b</w:t>
      </w:r>
      <w:r w:rsidR="00791066" w:rsidRPr="00765D0E">
        <w:rPr>
          <w:rFonts w:cstheme="minorHAnsi"/>
          <w:bCs/>
          <w:color w:val="000000" w:themeColor="text1"/>
        </w:rPr>
        <w:t>)</w:t>
      </w:r>
      <w:r w:rsidR="00791066">
        <w:rPr>
          <w:rFonts w:cstheme="minorHAnsi"/>
          <w:bCs/>
          <w:color w:val="000000" w:themeColor="text1"/>
        </w:rPr>
        <w:t xml:space="preserve">. This suggests that seawater cannot be a sole source but a </w:t>
      </w:r>
      <w:r w:rsidR="0038490C">
        <w:rPr>
          <w:rFonts w:cstheme="minorHAnsi"/>
          <w:bCs/>
          <w:color w:val="000000" w:themeColor="text1"/>
        </w:rPr>
        <w:t xml:space="preserve">relatively </w:t>
      </w:r>
      <w:r w:rsidR="00791066">
        <w:rPr>
          <w:rFonts w:cstheme="minorHAnsi"/>
          <w:bCs/>
          <w:color w:val="000000" w:themeColor="text1"/>
        </w:rPr>
        <w:t>constant mixture of basalt and seawater sources with depth is possible.</w:t>
      </w:r>
      <w:r w:rsidR="00791066" w:rsidRPr="00765D0E">
        <w:rPr>
          <w:rFonts w:cstheme="minorHAnsi"/>
          <w:bCs/>
          <w:color w:val="000000" w:themeColor="text1"/>
        </w:rPr>
        <w:t xml:space="preserve"> </w:t>
      </w:r>
    </w:p>
    <w:p w14:paraId="11053F68" w14:textId="77777777" w:rsidR="00791066" w:rsidRDefault="00791066" w:rsidP="00791066">
      <w:pPr>
        <w:pStyle w:val="Newparagraph"/>
        <w:spacing w:after="3" w:line="473" w:lineRule="auto"/>
        <w:ind w:right="144"/>
        <w:jc w:val="both"/>
      </w:pPr>
    </w:p>
    <w:p w14:paraId="115E2511" w14:textId="7A8E707C" w:rsidR="00791066" w:rsidRDefault="00A80434" w:rsidP="00791066">
      <w:pPr>
        <w:pStyle w:val="Newparagraph"/>
        <w:spacing w:after="3" w:line="473" w:lineRule="auto"/>
        <w:ind w:right="144" w:firstLine="0"/>
        <w:jc w:val="both"/>
      </w:pPr>
      <w:r w:rsidRPr="00A80434">
        <w:rPr>
          <w:noProof/>
        </w:rPr>
        <w:lastRenderedPageBreak/>
        <w:drawing>
          <wp:inline distT="0" distB="0" distL="0" distR="0" wp14:anchorId="457E34C4" wp14:editId="15BB1674">
            <wp:extent cx="4580952" cy="2742857"/>
            <wp:effectExtent l="0" t="0" r="0" b="635"/>
            <wp:docPr id="881052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052781" name=""/>
                    <pic:cNvPicPr/>
                  </pic:nvPicPr>
                  <pic:blipFill>
                    <a:blip r:embed="rId37"/>
                    <a:stretch>
                      <a:fillRect/>
                    </a:stretch>
                  </pic:blipFill>
                  <pic:spPr>
                    <a:xfrm>
                      <a:off x="0" y="0"/>
                      <a:ext cx="4580952" cy="2742857"/>
                    </a:xfrm>
                    <a:prstGeom prst="rect">
                      <a:avLst/>
                    </a:prstGeom>
                  </pic:spPr>
                </pic:pic>
              </a:graphicData>
            </a:graphic>
          </wp:inline>
        </w:drawing>
      </w:r>
    </w:p>
    <w:p w14:paraId="63C0BE10" w14:textId="75F69FB3" w:rsidR="00791066" w:rsidRDefault="00791066" w:rsidP="00791066">
      <w:pPr>
        <w:pStyle w:val="Figurecaption"/>
        <w:spacing w:before="0" w:after="3" w:line="473" w:lineRule="auto"/>
        <w:ind w:right="144"/>
        <w:jc w:val="both"/>
        <w:rPr>
          <w:noProof/>
          <w:lang w:val="en-US"/>
        </w:rPr>
      </w:pPr>
      <w:r>
        <w:t>Figure S</w:t>
      </w:r>
      <w:r w:rsidR="004138E0">
        <w:t>3</w:t>
      </w:r>
      <w:r>
        <w:t xml:space="preserve">e. </w:t>
      </w:r>
      <w:r>
        <w:rPr>
          <w:noProof/>
          <w:lang w:val="en-US"/>
        </w:rPr>
        <w:t>Four</w:t>
      </w:r>
      <w:r w:rsidRPr="00023D70">
        <w:rPr>
          <w:noProof/>
          <w:lang w:val="en-US"/>
        </w:rPr>
        <w:t xml:space="preserve"> different source estimates plotted vs. depth</w:t>
      </w:r>
      <w:r>
        <w:rPr>
          <w:noProof/>
          <w:lang w:val="en-US"/>
        </w:rPr>
        <w:t xml:space="preserve"> from </w:t>
      </w:r>
      <w:r w:rsidRPr="00023D70">
        <w:rPr>
          <w:noProof/>
          <w:lang w:val="en-US"/>
        </w:rPr>
        <w:t xml:space="preserve">a </w:t>
      </w:r>
      <w:r>
        <w:rPr>
          <w:noProof/>
          <w:lang w:val="en-US"/>
        </w:rPr>
        <w:t>study evaluating the possibiity that sea spray is a major source of Sr in a Hawaiian soil</w:t>
      </w:r>
      <w:r w:rsidRPr="00023D70">
        <w:rPr>
          <w:noProof/>
          <w:lang w:val="en-US"/>
        </w:rPr>
        <w:t xml:space="preserve">. The </w:t>
      </w:r>
      <w:r>
        <w:rPr>
          <w:noProof/>
          <w:lang w:val="en-US"/>
        </w:rPr>
        <w:t>four</w:t>
      </w:r>
      <w:r w:rsidRPr="00023D70">
        <w:rPr>
          <w:noProof/>
          <w:lang w:val="en-US"/>
        </w:rPr>
        <w:t xml:space="preserve"> sources </w:t>
      </w:r>
      <w:r>
        <w:rPr>
          <w:noProof/>
          <w:lang w:val="en-US"/>
        </w:rPr>
        <w:t xml:space="preserve">for a constant source (linear </w:t>
      </w:r>
      <w:r w:rsidRPr="00EF2B6C">
        <w:rPr>
          <w:noProof/>
          <w:vertAlign w:val="superscript"/>
          <w:lang w:val="en-US"/>
        </w:rPr>
        <w:t>86</w:t>
      </w:r>
      <w:r>
        <w:rPr>
          <w:noProof/>
          <w:lang w:val="en-US"/>
        </w:rPr>
        <w:t xml:space="preserve">Sr vs. </w:t>
      </w:r>
      <w:r w:rsidRPr="00EF2B6C">
        <w:rPr>
          <w:noProof/>
          <w:vertAlign w:val="superscript"/>
          <w:lang w:val="en-US"/>
        </w:rPr>
        <w:t>87</w:t>
      </w:r>
      <w:r>
        <w:rPr>
          <w:noProof/>
          <w:lang w:val="en-US"/>
        </w:rPr>
        <w:t xml:space="preserve">Sr model) </w:t>
      </w:r>
      <w:r w:rsidRPr="00023D70">
        <w:rPr>
          <w:noProof/>
          <w:lang w:val="en-US"/>
        </w:rPr>
        <w:t xml:space="preserve">are the </w:t>
      </w:r>
      <w:r w:rsidRPr="00023D70">
        <w:rPr>
          <w:i/>
          <w:iCs/>
          <w:noProof/>
          <w:lang w:val="en-US"/>
        </w:rPr>
        <w:t>y</w:t>
      </w:r>
      <w:r w:rsidRPr="00023D70">
        <w:rPr>
          <w:noProof/>
          <w:lang w:val="en-US"/>
        </w:rPr>
        <w:t xml:space="preserve">-intercept corrected ratios, the </w:t>
      </w:r>
      <w:r w:rsidRPr="00023D70">
        <w:rPr>
          <w:noProof/>
          <w:vertAlign w:val="superscript"/>
          <w:lang w:val="en-US"/>
        </w:rPr>
        <w:t>86</w:t>
      </w:r>
      <w:r w:rsidRPr="00023D70">
        <w:rPr>
          <w:noProof/>
          <w:lang w:val="en-US"/>
        </w:rPr>
        <w:t xml:space="preserve">Sr vs. </w:t>
      </w:r>
      <w:r w:rsidRPr="00023D70">
        <w:rPr>
          <w:noProof/>
          <w:vertAlign w:val="superscript"/>
          <w:lang w:val="en-US"/>
        </w:rPr>
        <w:t>87</w:t>
      </w:r>
      <w:r w:rsidRPr="00023D70">
        <w:rPr>
          <w:noProof/>
          <w:lang w:val="en-US"/>
        </w:rPr>
        <w:t xml:space="preserve">Sr slope, and </w:t>
      </w:r>
      <w:r>
        <w:rPr>
          <w:noProof/>
          <w:lang w:val="en-US"/>
        </w:rPr>
        <w:t>both traditional 1/total Sr (ug/g units) and 1/</w:t>
      </w:r>
      <w:r w:rsidRPr="00B55737">
        <w:rPr>
          <w:noProof/>
          <w:vertAlign w:val="superscript"/>
          <w:lang w:val="en-US"/>
        </w:rPr>
        <w:t>86</w:t>
      </w:r>
      <w:r>
        <w:rPr>
          <w:noProof/>
          <w:lang w:val="en-US"/>
        </w:rPr>
        <w:t xml:space="preserve">Sr (umole/g units) mixing line </w:t>
      </w:r>
      <w:r w:rsidRPr="00B55737">
        <w:rPr>
          <w:i/>
          <w:iCs/>
          <w:noProof/>
          <w:lang w:val="en-US"/>
        </w:rPr>
        <w:t>y</w:t>
      </w:r>
      <w:r>
        <w:rPr>
          <w:noProof/>
          <w:lang w:val="en-US"/>
        </w:rPr>
        <w:t>-intercepts</w:t>
      </w:r>
      <w:r w:rsidRPr="00023D70">
        <w:rPr>
          <w:noProof/>
          <w:lang w:val="en-US"/>
        </w:rPr>
        <w:t>. The numbers adjacent to the</w:t>
      </w:r>
      <w:r>
        <w:rPr>
          <w:noProof/>
          <w:lang w:val="en-US"/>
        </w:rPr>
        <w:t xml:space="preserve"> observed</w:t>
      </w:r>
      <w:r w:rsidRPr="00023D70">
        <w:rPr>
          <w:noProof/>
          <w:lang w:val="en-US"/>
        </w:rPr>
        <w:t xml:space="preserve"> </w:t>
      </w:r>
      <w:r w:rsidRPr="00023D70">
        <w:rPr>
          <w:noProof/>
          <w:vertAlign w:val="superscript"/>
          <w:lang w:val="en-US"/>
        </w:rPr>
        <w:t>87</w:t>
      </w:r>
      <w:r w:rsidRPr="00023D70">
        <w:rPr>
          <w:noProof/>
          <w:lang w:val="en-US"/>
        </w:rPr>
        <w:t>Sr:</w:t>
      </w:r>
      <w:r w:rsidRPr="00023D70">
        <w:rPr>
          <w:noProof/>
          <w:vertAlign w:val="superscript"/>
          <w:lang w:val="en-US"/>
        </w:rPr>
        <w:t>86</w:t>
      </w:r>
      <w:r w:rsidRPr="00023D70">
        <w:rPr>
          <w:noProof/>
          <w:lang w:val="en-US"/>
        </w:rPr>
        <w:t>Sr ratio points indicate the percentage of Sr at a given depth that originated from seawater (using standard formulas).</w:t>
      </w:r>
      <w:r>
        <w:rPr>
          <w:noProof/>
          <w:lang w:val="en-US"/>
        </w:rPr>
        <w:t xml:space="preserve"> Two possible endpoints (sources) basalt and sea spray shown were suggested by the original authors. Data after Whipkey et al. (2000).</w:t>
      </w:r>
    </w:p>
    <w:p w14:paraId="74485130" w14:textId="77777777" w:rsidR="00791066" w:rsidRDefault="00791066" w:rsidP="00791066">
      <w:pPr>
        <w:ind w:right="144"/>
      </w:pPr>
      <w:r>
        <w:t>-</w:t>
      </w:r>
    </w:p>
    <w:p w14:paraId="155F956D" w14:textId="68B7083E" w:rsidR="00791066" w:rsidRDefault="003C6569" w:rsidP="00791066">
      <w:pPr>
        <w:pStyle w:val="Newparagraph"/>
        <w:spacing w:after="3" w:line="473" w:lineRule="auto"/>
        <w:ind w:right="144"/>
        <w:jc w:val="both"/>
        <w:rPr>
          <w:rFonts w:cstheme="minorHAnsi"/>
          <w:bCs/>
          <w:color w:val="000000" w:themeColor="text1"/>
        </w:rPr>
      </w:pPr>
      <w:r>
        <w:rPr>
          <w:rFonts w:cstheme="minorHAnsi"/>
          <w:bCs/>
          <w:color w:val="000000" w:themeColor="text1"/>
        </w:rPr>
        <w:t xml:space="preserve">All alternate approaches associated with a linear </w:t>
      </w:r>
      <w:r w:rsidRPr="00765D0E">
        <w:rPr>
          <w:rFonts w:cstheme="minorHAnsi"/>
          <w:bCs/>
          <w:color w:val="000000" w:themeColor="text1"/>
          <w:vertAlign w:val="superscript"/>
        </w:rPr>
        <w:t>86</w:t>
      </w:r>
      <w:r w:rsidRPr="00765D0E">
        <w:rPr>
          <w:rFonts w:cstheme="minorHAnsi"/>
          <w:bCs/>
          <w:color w:val="000000" w:themeColor="text1"/>
        </w:rPr>
        <w:t xml:space="preserve">Sr vs. </w:t>
      </w:r>
      <w:r w:rsidRPr="00765D0E">
        <w:rPr>
          <w:rFonts w:cstheme="minorHAnsi"/>
          <w:bCs/>
          <w:color w:val="000000" w:themeColor="text1"/>
          <w:vertAlign w:val="superscript"/>
        </w:rPr>
        <w:t>87</w:t>
      </w:r>
      <w:r w:rsidRPr="00765D0E">
        <w:rPr>
          <w:rFonts w:cstheme="minorHAnsi"/>
          <w:bCs/>
          <w:color w:val="000000" w:themeColor="text1"/>
        </w:rPr>
        <w:t xml:space="preserve">Sr </w:t>
      </w:r>
      <w:r>
        <w:rPr>
          <w:rFonts w:cstheme="minorHAnsi"/>
          <w:bCs/>
          <w:color w:val="000000" w:themeColor="text1"/>
        </w:rPr>
        <w:t xml:space="preserve">relationship suggest a relatively constant blended source of about one third seawater and two thirds basalt that is relatively constant with depth. </w:t>
      </w:r>
      <w:r w:rsidR="00791066" w:rsidRPr="00765D0E">
        <w:rPr>
          <w:rFonts w:cstheme="minorHAnsi"/>
          <w:bCs/>
          <w:color w:val="000000" w:themeColor="text1"/>
        </w:rPr>
        <w:t xml:space="preserve">Traditional 1/total Sr or </w:t>
      </w:r>
      <w:r w:rsidR="00791066">
        <w:rPr>
          <w:rFonts w:cstheme="minorHAnsi"/>
          <w:bCs/>
          <w:color w:val="000000" w:themeColor="text1"/>
        </w:rPr>
        <w:t xml:space="preserve">the very similar </w:t>
      </w:r>
      <w:r w:rsidR="00791066" w:rsidRPr="00A41B5F">
        <w:rPr>
          <w:rFonts w:cstheme="minorHAnsi"/>
          <w:bCs/>
          <w:i/>
          <w:iCs/>
          <w:color w:val="000000" w:themeColor="text1"/>
        </w:rPr>
        <w:t>y</w:t>
      </w:r>
      <w:r w:rsidR="00791066">
        <w:rPr>
          <w:rFonts w:cstheme="minorHAnsi"/>
          <w:bCs/>
          <w:color w:val="000000" w:themeColor="text1"/>
        </w:rPr>
        <w:t xml:space="preserve">-intercept for </w:t>
      </w:r>
      <w:r w:rsidR="00791066" w:rsidRPr="00765D0E">
        <w:rPr>
          <w:rFonts w:cstheme="minorHAnsi"/>
          <w:bCs/>
          <w:color w:val="000000" w:themeColor="text1"/>
        </w:rPr>
        <w:t>1/</w:t>
      </w:r>
      <w:r w:rsidR="00791066" w:rsidRPr="00765D0E">
        <w:rPr>
          <w:rFonts w:cstheme="minorHAnsi"/>
          <w:bCs/>
          <w:color w:val="000000" w:themeColor="text1"/>
          <w:vertAlign w:val="superscript"/>
        </w:rPr>
        <w:t>86</w:t>
      </w:r>
      <w:r w:rsidR="00791066" w:rsidRPr="00765D0E">
        <w:rPr>
          <w:rFonts w:cstheme="minorHAnsi"/>
          <w:bCs/>
          <w:color w:val="000000" w:themeColor="text1"/>
        </w:rPr>
        <w:t>S</w:t>
      </w:r>
      <w:r w:rsidR="00791066">
        <w:rPr>
          <w:rFonts w:cstheme="minorHAnsi"/>
          <w:bCs/>
          <w:color w:val="000000" w:themeColor="text1"/>
        </w:rPr>
        <w:t>r</w:t>
      </w:r>
      <w:r w:rsidR="00791066" w:rsidRPr="00765D0E">
        <w:rPr>
          <w:rFonts w:cstheme="minorHAnsi"/>
          <w:bCs/>
          <w:color w:val="000000" w:themeColor="text1"/>
        </w:rPr>
        <w:t xml:space="preserve"> mixing lines </w:t>
      </w:r>
      <w:r w:rsidR="00791066">
        <w:rPr>
          <w:rFonts w:cstheme="minorHAnsi"/>
          <w:bCs/>
          <w:color w:val="000000" w:themeColor="text1"/>
        </w:rPr>
        <w:t>(data not shown) suggest constant sources with depth (Figure S</w:t>
      </w:r>
      <w:r w:rsidR="004138E0">
        <w:rPr>
          <w:rFonts w:cstheme="minorHAnsi"/>
          <w:bCs/>
          <w:color w:val="000000" w:themeColor="text1"/>
        </w:rPr>
        <w:t>3</w:t>
      </w:r>
      <w:r w:rsidR="00791066">
        <w:rPr>
          <w:rFonts w:cstheme="minorHAnsi"/>
          <w:bCs/>
          <w:color w:val="000000" w:themeColor="text1"/>
        </w:rPr>
        <w:t xml:space="preserve">e). </w:t>
      </w:r>
      <w:r w:rsidR="00791066" w:rsidRPr="00765D0E">
        <w:rPr>
          <w:rFonts w:cstheme="minorHAnsi"/>
          <w:bCs/>
          <w:color w:val="000000" w:themeColor="text1"/>
        </w:rPr>
        <w:t xml:space="preserve">When </w:t>
      </w:r>
      <w:r w:rsidR="00791066" w:rsidRPr="00765D0E">
        <w:rPr>
          <w:rFonts w:cstheme="minorHAnsi"/>
          <w:bCs/>
          <w:i/>
          <w:iCs/>
          <w:color w:val="000000" w:themeColor="text1"/>
        </w:rPr>
        <w:t>y</w:t>
      </w:r>
      <w:r w:rsidR="00791066" w:rsidRPr="00765D0E">
        <w:rPr>
          <w:rFonts w:cstheme="minorHAnsi"/>
          <w:bCs/>
          <w:color w:val="000000" w:themeColor="text1"/>
        </w:rPr>
        <w:t xml:space="preserve">-intercept-corrected data is calculated, the source does not </w:t>
      </w:r>
      <w:r w:rsidR="00791066">
        <w:rPr>
          <w:rFonts w:cstheme="minorHAnsi"/>
          <w:bCs/>
          <w:color w:val="000000" w:themeColor="text1"/>
        </w:rPr>
        <w:t>markedly decrease</w:t>
      </w:r>
      <w:r w:rsidR="00791066" w:rsidRPr="00765D0E">
        <w:rPr>
          <w:rFonts w:cstheme="minorHAnsi"/>
          <w:bCs/>
          <w:color w:val="000000" w:themeColor="text1"/>
        </w:rPr>
        <w:t xml:space="preserve"> </w:t>
      </w:r>
      <w:r w:rsidR="00791066">
        <w:rPr>
          <w:rFonts w:cstheme="minorHAnsi"/>
          <w:bCs/>
          <w:color w:val="000000" w:themeColor="text1"/>
        </w:rPr>
        <w:t>from shallow to deepest depth</w:t>
      </w:r>
      <w:r w:rsidR="00791066" w:rsidRPr="00765D0E">
        <w:rPr>
          <w:rFonts w:cstheme="minorHAnsi"/>
          <w:bCs/>
          <w:color w:val="000000" w:themeColor="text1"/>
        </w:rPr>
        <w:t xml:space="preserve"> and remains approximately equal to the slope of the original </w:t>
      </w:r>
      <w:r w:rsidR="00791066" w:rsidRPr="00765D0E">
        <w:rPr>
          <w:rFonts w:cstheme="minorHAnsi"/>
          <w:bCs/>
          <w:color w:val="000000" w:themeColor="text1"/>
          <w:vertAlign w:val="superscript"/>
        </w:rPr>
        <w:t>86</w:t>
      </w:r>
      <w:r w:rsidR="00791066" w:rsidRPr="00765D0E">
        <w:rPr>
          <w:rFonts w:cstheme="minorHAnsi"/>
          <w:bCs/>
          <w:color w:val="000000" w:themeColor="text1"/>
        </w:rPr>
        <w:t xml:space="preserve">Sr vs. </w:t>
      </w:r>
      <w:r w:rsidR="00791066" w:rsidRPr="00765D0E">
        <w:rPr>
          <w:rFonts w:cstheme="minorHAnsi"/>
          <w:bCs/>
          <w:color w:val="000000" w:themeColor="text1"/>
          <w:vertAlign w:val="superscript"/>
        </w:rPr>
        <w:t>87</w:t>
      </w:r>
      <w:r w:rsidR="00791066" w:rsidRPr="00765D0E">
        <w:rPr>
          <w:rFonts w:cstheme="minorHAnsi"/>
          <w:bCs/>
          <w:color w:val="000000" w:themeColor="text1"/>
        </w:rPr>
        <w:t>Sr plot slope for all depths (Figure S</w:t>
      </w:r>
      <w:r w:rsidR="004138E0">
        <w:rPr>
          <w:rFonts w:cstheme="minorHAnsi"/>
          <w:bCs/>
          <w:color w:val="000000" w:themeColor="text1"/>
        </w:rPr>
        <w:t>3</w:t>
      </w:r>
      <w:r w:rsidR="00791066">
        <w:rPr>
          <w:rFonts w:cstheme="minorHAnsi"/>
          <w:bCs/>
          <w:color w:val="000000" w:themeColor="text1"/>
        </w:rPr>
        <w:t xml:space="preserve">e). </w:t>
      </w:r>
    </w:p>
    <w:p w14:paraId="4A8E4F16" w14:textId="0DD31CB3" w:rsidR="00791066" w:rsidRPr="00EF507C" w:rsidRDefault="00791066" w:rsidP="00791066">
      <w:pPr>
        <w:pStyle w:val="Newparagraph"/>
        <w:spacing w:after="3" w:line="473" w:lineRule="auto"/>
        <w:ind w:right="144"/>
        <w:jc w:val="both"/>
        <w:rPr>
          <w:rFonts w:cstheme="minorHAnsi"/>
          <w:bCs/>
          <w:color w:val="000000" w:themeColor="text1"/>
        </w:rPr>
      </w:pPr>
      <w:r w:rsidRPr="00765D0E">
        <w:rPr>
          <w:rFonts w:cstheme="minorHAnsi"/>
          <w:bCs/>
          <w:color w:val="000000" w:themeColor="text1"/>
        </w:rPr>
        <w:lastRenderedPageBreak/>
        <w:t xml:space="preserve">When a concave curvilinear model </w:t>
      </w:r>
      <w:r w:rsidR="003C6569">
        <w:rPr>
          <w:rFonts w:cstheme="minorHAnsi"/>
          <w:bCs/>
          <w:color w:val="000000" w:themeColor="text1"/>
        </w:rPr>
        <w:t xml:space="preserve">is used </w:t>
      </w:r>
      <w:r w:rsidRPr="00765D0E">
        <w:rPr>
          <w:rFonts w:cstheme="minorHAnsi"/>
          <w:bCs/>
          <w:color w:val="000000" w:themeColor="text1"/>
        </w:rPr>
        <w:t>Figure S</w:t>
      </w:r>
      <w:r w:rsidR="004138E0">
        <w:rPr>
          <w:rFonts w:cstheme="minorHAnsi"/>
          <w:bCs/>
          <w:color w:val="000000" w:themeColor="text1"/>
        </w:rPr>
        <w:t>3</w:t>
      </w:r>
      <w:r>
        <w:rPr>
          <w:rFonts w:cstheme="minorHAnsi"/>
          <w:bCs/>
          <w:color w:val="000000" w:themeColor="text1"/>
        </w:rPr>
        <w:t>f</w:t>
      </w:r>
      <w:r w:rsidRPr="00765D0E">
        <w:rPr>
          <w:rFonts w:cstheme="minorHAnsi"/>
          <w:bCs/>
          <w:color w:val="000000" w:themeColor="text1"/>
        </w:rPr>
        <w:t xml:space="preserve"> suggests </w:t>
      </w:r>
      <w:r w:rsidRPr="00765D0E">
        <w:rPr>
          <w:rFonts w:cstheme="minorHAnsi"/>
          <w:bCs/>
          <w:color w:val="000000" w:themeColor="text1"/>
          <w:vertAlign w:val="superscript"/>
        </w:rPr>
        <w:t>87</w:t>
      </w:r>
      <w:r w:rsidRPr="00765D0E">
        <w:rPr>
          <w:rFonts w:cstheme="minorHAnsi"/>
          <w:bCs/>
          <w:color w:val="000000" w:themeColor="text1"/>
        </w:rPr>
        <w:t>Sr:</w:t>
      </w:r>
      <w:r w:rsidRPr="00765D0E">
        <w:rPr>
          <w:rFonts w:cstheme="minorHAnsi"/>
          <w:bCs/>
          <w:color w:val="000000" w:themeColor="text1"/>
          <w:vertAlign w:val="superscript"/>
        </w:rPr>
        <w:t>86</w:t>
      </w:r>
      <w:r w:rsidRPr="00765D0E">
        <w:rPr>
          <w:rFonts w:cstheme="minorHAnsi"/>
          <w:bCs/>
          <w:color w:val="000000" w:themeColor="text1"/>
        </w:rPr>
        <w:t>Sr ratios could decrease with depth</w:t>
      </w:r>
      <w:r w:rsidR="003C6569">
        <w:rPr>
          <w:rFonts w:cstheme="minorHAnsi"/>
          <w:bCs/>
          <w:color w:val="000000" w:themeColor="text1"/>
        </w:rPr>
        <w:t>.</w:t>
      </w:r>
      <w:r w:rsidRPr="00765D0E">
        <w:rPr>
          <w:rFonts w:cstheme="minorHAnsi"/>
          <w:bCs/>
          <w:color w:val="000000" w:themeColor="text1"/>
        </w:rPr>
        <w:t xml:space="preserve"> </w:t>
      </w:r>
      <w:r w:rsidR="003C6569">
        <w:rPr>
          <w:rFonts w:cstheme="minorHAnsi"/>
          <w:bCs/>
          <w:color w:val="000000" w:themeColor="text1"/>
        </w:rPr>
        <w:t>S</w:t>
      </w:r>
      <w:r w:rsidRPr="00765D0E">
        <w:rPr>
          <w:rFonts w:cstheme="minorHAnsi"/>
          <w:bCs/>
          <w:color w:val="000000" w:themeColor="text1"/>
        </w:rPr>
        <w:t xml:space="preserve">eawater is </w:t>
      </w:r>
      <w:r>
        <w:rPr>
          <w:rFonts w:cstheme="minorHAnsi"/>
          <w:bCs/>
          <w:color w:val="000000" w:themeColor="text1"/>
        </w:rPr>
        <w:t>not a major</w:t>
      </w:r>
      <w:r w:rsidRPr="00765D0E">
        <w:rPr>
          <w:rFonts w:cstheme="minorHAnsi"/>
          <w:bCs/>
          <w:color w:val="000000" w:themeColor="text1"/>
        </w:rPr>
        <w:t xml:space="preserve"> source of Sr below </w:t>
      </w:r>
      <w:r>
        <w:rPr>
          <w:rFonts w:cstheme="minorHAnsi"/>
          <w:bCs/>
          <w:color w:val="000000" w:themeColor="text1"/>
        </w:rPr>
        <w:t>150</w:t>
      </w:r>
      <w:r w:rsidRPr="00765D0E">
        <w:rPr>
          <w:rFonts w:cstheme="minorHAnsi"/>
          <w:bCs/>
          <w:color w:val="000000" w:themeColor="text1"/>
        </w:rPr>
        <w:t xml:space="preserve"> cm</w:t>
      </w:r>
      <w:r>
        <w:rPr>
          <w:rFonts w:cstheme="minorHAnsi"/>
          <w:bCs/>
          <w:color w:val="000000" w:themeColor="text1"/>
        </w:rPr>
        <w:t>.</w:t>
      </w:r>
      <w:r w:rsidRPr="00765D0E">
        <w:rPr>
          <w:rFonts w:cstheme="minorHAnsi"/>
          <w:bCs/>
          <w:color w:val="000000" w:themeColor="text1"/>
        </w:rPr>
        <w:t xml:space="preserve"> </w:t>
      </w:r>
      <w:r w:rsidR="003C6569">
        <w:rPr>
          <w:rFonts w:cstheme="minorHAnsi"/>
          <w:bCs/>
          <w:color w:val="000000" w:themeColor="text1"/>
        </w:rPr>
        <w:t>The</w:t>
      </w:r>
      <w:r w:rsidRPr="00765D0E">
        <w:rPr>
          <w:rFonts w:cstheme="minorHAnsi"/>
          <w:bCs/>
          <w:color w:val="000000" w:themeColor="text1"/>
        </w:rPr>
        <w:t xml:space="preserve"> spline smoothed cubic derivative (Figure S</w:t>
      </w:r>
      <w:r w:rsidR="004138E0">
        <w:rPr>
          <w:rFonts w:cstheme="minorHAnsi"/>
          <w:bCs/>
          <w:color w:val="000000" w:themeColor="text1"/>
        </w:rPr>
        <w:t>3</w:t>
      </w:r>
      <w:r>
        <w:rPr>
          <w:rFonts w:cstheme="minorHAnsi"/>
          <w:bCs/>
          <w:color w:val="000000" w:themeColor="text1"/>
        </w:rPr>
        <w:t>f</w:t>
      </w:r>
      <w:r w:rsidRPr="00765D0E">
        <w:rPr>
          <w:rFonts w:cstheme="minorHAnsi"/>
          <w:bCs/>
          <w:color w:val="000000" w:themeColor="text1"/>
        </w:rPr>
        <w:t xml:space="preserve">) </w:t>
      </w:r>
      <w:r w:rsidR="003C6569">
        <w:rPr>
          <w:rFonts w:cstheme="minorHAnsi"/>
          <w:bCs/>
          <w:color w:val="000000" w:themeColor="text1"/>
        </w:rPr>
        <w:t xml:space="preserve">declines with depth and </w:t>
      </w:r>
      <w:r>
        <w:rPr>
          <w:rFonts w:cstheme="minorHAnsi"/>
          <w:bCs/>
          <w:color w:val="000000" w:themeColor="text1"/>
        </w:rPr>
        <w:t xml:space="preserve">closely approximates the shape of the original observed ratios, but the portions of Sr derived from seawater are much smaller. Again, the portions of total Sr derived from sea spray for either the observed </w:t>
      </w:r>
      <w:r w:rsidRPr="00873747">
        <w:rPr>
          <w:vertAlign w:val="superscript"/>
        </w:rPr>
        <w:t>87</w:t>
      </w:r>
      <w:r>
        <w:t>Sr:</w:t>
      </w:r>
      <w:r w:rsidRPr="00873747">
        <w:rPr>
          <w:vertAlign w:val="superscript"/>
        </w:rPr>
        <w:t>86</w:t>
      </w:r>
      <w:r>
        <w:t xml:space="preserve">Sr ratios or spline smoothed derivative values </w:t>
      </w:r>
      <w:r>
        <w:rPr>
          <w:rFonts w:cstheme="minorHAnsi"/>
          <w:bCs/>
          <w:color w:val="000000" w:themeColor="text1"/>
        </w:rPr>
        <w:t>can also be approximated by calculating the relative distance of ratio points from the background line shown (grey) divided by the distance between background (grey) and source (</w:t>
      </w:r>
      <w:r w:rsidR="003C6569">
        <w:rPr>
          <w:rFonts w:cstheme="minorHAnsi"/>
          <w:bCs/>
          <w:color w:val="000000" w:themeColor="text1"/>
        </w:rPr>
        <w:t>green</w:t>
      </w:r>
      <w:r>
        <w:rPr>
          <w:rFonts w:cstheme="minorHAnsi"/>
          <w:bCs/>
          <w:color w:val="000000" w:themeColor="text1"/>
        </w:rPr>
        <w:t>) in Figure S</w:t>
      </w:r>
      <w:r w:rsidR="004138E0">
        <w:rPr>
          <w:rFonts w:cstheme="minorHAnsi"/>
          <w:bCs/>
          <w:color w:val="000000" w:themeColor="text1"/>
        </w:rPr>
        <w:t>3</w:t>
      </w:r>
      <w:r>
        <w:rPr>
          <w:rFonts w:cstheme="minorHAnsi"/>
          <w:bCs/>
          <w:color w:val="000000" w:themeColor="text1"/>
        </w:rPr>
        <w:t xml:space="preserve">f. The authors state that the </w:t>
      </w:r>
      <w:r>
        <w:t xml:space="preserve">symbol size for observed </w:t>
      </w:r>
      <w:r w:rsidRPr="00873747">
        <w:rPr>
          <w:vertAlign w:val="superscript"/>
        </w:rPr>
        <w:t>87</w:t>
      </w:r>
      <w:r>
        <w:t>Sr:</w:t>
      </w:r>
      <w:r w:rsidRPr="00873747">
        <w:rPr>
          <w:vertAlign w:val="superscript"/>
        </w:rPr>
        <w:t>86</w:t>
      </w:r>
      <w:r>
        <w:t xml:space="preserve">Sr ratios is larger than analytical error in their Figure 3 (similar to our Figure </w:t>
      </w:r>
      <w:r w:rsidR="004138E0">
        <w:t>S3</w:t>
      </w:r>
      <w:r>
        <w:t xml:space="preserve">a). However, the number of replicates (if there were any) is not stated. Anecdotally, we have often observed that an increase from five to about 15 observations is associated with a large decrease in the </w:t>
      </w:r>
      <w:r w:rsidRPr="009919A6">
        <w:rPr>
          <w:i/>
          <w:iCs/>
        </w:rPr>
        <w:t>p</w:t>
      </w:r>
      <w:r>
        <w:t xml:space="preserve">-values for initially non-significant </w:t>
      </w:r>
      <w:r w:rsidRPr="00177081">
        <w:rPr>
          <w:i/>
          <w:iCs/>
        </w:rPr>
        <w:t>x</w:t>
      </w:r>
      <w:r w:rsidRPr="00873747">
        <w:rPr>
          <w:vertAlign w:val="superscript"/>
        </w:rPr>
        <w:t>2</w:t>
      </w:r>
      <w:r>
        <w:t xml:space="preserve"> terms. </w:t>
      </w:r>
    </w:p>
    <w:p w14:paraId="507CEBDD" w14:textId="29E004F7" w:rsidR="00791066" w:rsidRDefault="00577806" w:rsidP="00791066">
      <w:pPr>
        <w:pStyle w:val="Newparagraph"/>
        <w:spacing w:after="3" w:line="473" w:lineRule="auto"/>
        <w:ind w:right="144" w:firstLine="0"/>
        <w:jc w:val="both"/>
      </w:pPr>
      <w:r w:rsidRPr="00577806">
        <w:rPr>
          <w:noProof/>
        </w:rPr>
        <w:drawing>
          <wp:inline distT="0" distB="0" distL="0" distR="0" wp14:anchorId="122B4F8D" wp14:editId="22978334">
            <wp:extent cx="4580952" cy="2752381"/>
            <wp:effectExtent l="0" t="0" r="0" b="0"/>
            <wp:docPr id="542979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979804" name=""/>
                    <pic:cNvPicPr/>
                  </pic:nvPicPr>
                  <pic:blipFill>
                    <a:blip r:embed="rId38"/>
                    <a:stretch>
                      <a:fillRect/>
                    </a:stretch>
                  </pic:blipFill>
                  <pic:spPr>
                    <a:xfrm>
                      <a:off x="0" y="0"/>
                      <a:ext cx="4580952" cy="2752381"/>
                    </a:xfrm>
                    <a:prstGeom prst="rect">
                      <a:avLst/>
                    </a:prstGeom>
                  </pic:spPr>
                </pic:pic>
              </a:graphicData>
            </a:graphic>
          </wp:inline>
        </w:drawing>
      </w:r>
    </w:p>
    <w:p w14:paraId="63715433" w14:textId="15F3267A" w:rsidR="00791066" w:rsidRDefault="00791066" w:rsidP="00791066">
      <w:pPr>
        <w:pStyle w:val="Newparagraph"/>
        <w:spacing w:after="3" w:line="473" w:lineRule="auto"/>
        <w:ind w:right="144" w:firstLine="0"/>
        <w:jc w:val="both"/>
        <w:rPr>
          <w:noProof/>
          <w:lang w:val="en-US"/>
        </w:rPr>
      </w:pPr>
      <w:r>
        <w:t>Figure S</w:t>
      </w:r>
      <w:r w:rsidR="004138E0">
        <w:t>3</w:t>
      </w:r>
      <w:r>
        <w:t xml:space="preserve">f. </w:t>
      </w:r>
      <w:r>
        <w:rPr>
          <w:noProof/>
          <w:lang w:val="en-US"/>
        </w:rPr>
        <w:t>Spline smoothed derivative</w:t>
      </w:r>
      <w:r w:rsidRPr="00023D70">
        <w:rPr>
          <w:noProof/>
          <w:lang w:val="en-US"/>
        </w:rPr>
        <w:t xml:space="preserve"> source estimates plotted vs. depth</w:t>
      </w:r>
      <w:r>
        <w:rPr>
          <w:noProof/>
          <w:lang w:val="en-US"/>
        </w:rPr>
        <w:t xml:space="preserve"> from </w:t>
      </w:r>
      <w:r w:rsidRPr="00023D70">
        <w:rPr>
          <w:noProof/>
          <w:lang w:val="en-US"/>
        </w:rPr>
        <w:t xml:space="preserve">a </w:t>
      </w:r>
      <w:r>
        <w:rPr>
          <w:noProof/>
          <w:lang w:val="en-US"/>
        </w:rPr>
        <w:t>study evaluating the possibiity that sea spray is a major source of Sr in a Hawaiian soil.</w:t>
      </w:r>
      <w:r w:rsidRPr="00023D70">
        <w:rPr>
          <w:noProof/>
          <w:lang w:val="en-US"/>
        </w:rPr>
        <w:t xml:space="preserve"> </w:t>
      </w:r>
      <w:r>
        <w:rPr>
          <w:noProof/>
          <w:lang w:val="en-US"/>
        </w:rPr>
        <w:t xml:space="preserve">The derivative pattern is similar to the observed </w:t>
      </w:r>
      <w:r w:rsidRPr="00EF2B6C">
        <w:rPr>
          <w:noProof/>
          <w:vertAlign w:val="superscript"/>
          <w:lang w:val="en-US"/>
        </w:rPr>
        <w:t>87</w:t>
      </w:r>
      <w:r>
        <w:rPr>
          <w:noProof/>
          <w:lang w:val="en-US"/>
        </w:rPr>
        <w:t>Sr:</w:t>
      </w:r>
      <w:r w:rsidRPr="00EF2B6C">
        <w:rPr>
          <w:noProof/>
          <w:vertAlign w:val="superscript"/>
          <w:lang w:val="en-US"/>
        </w:rPr>
        <w:t>86</w:t>
      </w:r>
      <w:r>
        <w:rPr>
          <w:noProof/>
          <w:lang w:val="en-US"/>
        </w:rPr>
        <w:t>Sr ratio pattern but suggest much smaller portions of total Sr are derived from sea spray</w:t>
      </w:r>
      <w:r w:rsidRPr="00023D70">
        <w:rPr>
          <w:noProof/>
          <w:lang w:val="en-US"/>
        </w:rPr>
        <w:t xml:space="preserve">. The numbers adjacent to the </w:t>
      </w:r>
      <w:r w:rsidRPr="00023D70">
        <w:rPr>
          <w:noProof/>
          <w:vertAlign w:val="superscript"/>
          <w:lang w:val="en-US"/>
        </w:rPr>
        <w:t>87</w:t>
      </w:r>
      <w:r w:rsidRPr="00023D70">
        <w:rPr>
          <w:noProof/>
          <w:lang w:val="en-US"/>
        </w:rPr>
        <w:t>Sr:</w:t>
      </w:r>
      <w:r w:rsidRPr="00023D70">
        <w:rPr>
          <w:noProof/>
          <w:vertAlign w:val="superscript"/>
          <w:lang w:val="en-US"/>
        </w:rPr>
        <w:t>86</w:t>
      </w:r>
      <w:r w:rsidRPr="00023D70">
        <w:rPr>
          <w:noProof/>
          <w:lang w:val="en-US"/>
        </w:rPr>
        <w:t>Sr ratio points indicate the percentage of Sr at a given depth that originated from seawater (using standard formulas).</w:t>
      </w:r>
      <w:r>
        <w:rPr>
          <w:noProof/>
          <w:lang w:val="en-US"/>
        </w:rPr>
        <w:t xml:space="preserve"> </w:t>
      </w:r>
      <w:r>
        <w:rPr>
          <w:noProof/>
          <w:lang w:val="en-US"/>
        </w:rPr>
        <w:lastRenderedPageBreak/>
        <w:t>Two possible endpoints (sources) basalt and sea spray shown were suggested by the original authors. Data after Whipkey et al. (2000).</w:t>
      </w:r>
    </w:p>
    <w:p w14:paraId="0DB81D58" w14:textId="77777777" w:rsidR="00791066" w:rsidRDefault="00791066" w:rsidP="00791066">
      <w:pPr>
        <w:pStyle w:val="Newparagraph"/>
        <w:spacing w:after="3" w:line="473" w:lineRule="auto"/>
        <w:ind w:right="144" w:firstLine="0"/>
        <w:jc w:val="both"/>
      </w:pPr>
      <w:r>
        <w:rPr>
          <w:noProof/>
          <w:lang w:val="en-US"/>
        </w:rPr>
        <w:t>-</w:t>
      </w:r>
    </w:p>
    <w:p w14:paraId="6B4A7343" w14:textId="20DC158F" w:rsidR="00791066" w:rsidRPr="005102E5" w:rsidRDefault="00791066" w:rsidP="00791066">
      <w:pPr>
        <w:pStyle w:val="Newparagraph"/>
        <w:spacing w:after="3" w:line="473" w:lineRule="auto"/>
        <w:ind w:right="144"/>
        <w:jc w:val="both"/>
      </w:pPr>
      <w:r>
        <w:t xml:space="preserve">It is possible that the polynomial model is correct. This said, a more conservative conclusion based on both the linear and polynomial models suggests Whipkey et al. (2000) </w:t>
      </w:r>
      <w:r w:rsidRPr="0068063E">
        <w:t xml:space="preserve">are likely correct that seawater could be a Sr source in </w:t>
      </w:r>
      <w:r>
        <w:t xml:space="preserve">this Hawaiian example. However, conventional techniques overestimate the magnitude of sea spray input. </w:t>
      </w:r>
      <w:r w:rsidRPr="0068063E">
        <w:t xml:space="preserve">Standard formulas likely overestimate seawater importance </w:t>
      </w:r>
      <w:r>
        <w:t>for the surface sample. T</w:t>
      </w:r>
      <w:r w:rsidRPr="0068063E">
        <w:t xml:space="preserve">he portion of Sr derived from seawater </w:t>
      </w:r>
      <w:r>
        <w:t>is both small and does not markedly decrease</w:t>
      </w:r>
      <w:r w:rsidRPr="0068063E">
        <w:t xml:space="preserve"> </w:t>
      </w:r>
      <w:r>
        <w:t>among</w:t>
      </w:r>
      <w:r w:rsidRPr="0068063E">
        <w:t xml:space="preserve"> the deeper depths. The amount of material derived from a presumed source using standard formulas </w:t>
      </w:r>
      <w:r w:rsidR="00281D73">
        <w:t xml:space="preserve">with likely confounded isotopic ratios, </w:t>
      </w:r>
      <w:r w:rsidRPr="0068063E">
        <w:t>should be cautiously interpreted.</w:t>
      </w:r>
    </w:p>
    <w:p w14:paraId="260C2868" w14:textId="598D2698" w:rsidR="00271714" w:rsidRPr="00E3338F" w:rsidRDefault="003D3EFB" w:rsidP="00A62633">
      <w:pPr>
        <w:pStyle w:val="Heading1"/>
        <w:tabs>
          <w:tab w:val="center" w:pos="1505"/>
        </w:tabs>
        <w:spacing w:line="264" w:lineRule="auto"/>
        <w:ind w:left="-14" w:firstLine="0"/>
        <w:jc w:val="both"/>
        <w:rPr>
          <w:rFonts w:ascii="Times New Roman" w:hAnsi="Times New Roman" w:cs="Times New Roman"/>
          <w:sz w:val="24"/>
          <w:szCs w:val="24"/>
        </w:rPr>
      </w:pPr>
      <w:r w:rsidRPr="00E3338F">
        <w:rPr>
          <w:rFonts w:ascii="Times New Roman" w:hAnsi="Times New Roman" w:cs="Times New Roman"/>
          <w:sz w:val="24"/>
          <w:szCs w:val="24"/>
        </w:rPr>
        <w:t>7</w:t>
      </w:r>
      <w:r w:rsidR="00A84C57" w:rsidRPr="00E3338F">
        <w:rPr>
          <w:rFonts w:ascii="Times New Roman" w:hAnsi="Times New Roman" w:cs="Times New Roman"/>
          <w:sz w:val="24"/>
          <w:szCs w:val="24"/>
        </w:rPr>
        <w:tab/>
      </w:r>
      <w:r w:rsidR="00207CAB" w:rsidRPr="00E3338F">
        <w:rPr>
          <w:rFonts w:ascii="Times New Roman" w:hAnsi="Times New Roman" w:cs="Times New Roman"/>
          <w:sz w:val="24"/>
          <w:szCs w:val="24"/>
        </w:rPr>
        <w:t>Discussion</w:t>
      </w:r>
    </w:p>
    <w:p w14:paraId="07CFE72A" w14:textId="79E49DEF" w:rsidR="00B46223" w:rsidRPr="00023D70" w:rsidRDefault="00B46223" w:rsidP="00B46223">
      <w:pPr>
        <w:pStyle w:val="Paragraph"/>
        <w:spacing w:before="0" w:after="3" w:line="473" w:lineRule="auto"/>
        <w:ind w:right="144"/>
        <w:jc w:val="both"/>
        <w:rPr>
          <w:lang w:val="en-US"/>
        </w:rPr>
      </w:pPr>
      <w:r w:rsidRPr="00023D70">
        <w:rPr>
          <w:lang w:val="en-US"/>
        </w:rPr>
        <w:t xml:space="preserve">This report expands on math-based theoretical predictions on how </w:t>
      </w:r>
      <w:r w:rsidRPr="00023D70">
        <w:rPr>
          <w:vertAlign w:val="superscript"/>
          <w:lang w:val="en-US"/>
        </w:rPr>
        <w:t>87</w:t>
      </w:r>
      <w:r w:rsidRPr="00023D70">
        <w:rPr>
          <w:lang w:val="en-US"/>
        </w:rPr>
        <w:t>Sr:</w:t>
      </w:r>
      <w:r w:rsidRPr="00023D70">
        <w:rPr>
          <w:vertAlign w:val="superscript"/>
          <w:lang w:val="en-US"/>
        </w:rPr>
        <w:t>86</w:t>
      </w:r>
      <w:r w:rsidRPr="00023D70">
        <w:rPr>
          <w:lang w:val="en-US"/>
        </w:rPr>
        <w:t xml:space="preserve">Sr ratios are dependent on either total Sr or </w:t>
      </w:r>
      <w:r w:rsidRPr="00023D70">
        <w:rPr>
          <w:vertAlign w:val="superscript"/>
          <w:lang w:val="en-US"/>
        </w:rPr>
        <w:t>86</w:t>
      </w:r>
      <w:r w:rsidRPr="00023D70">
        <w:rPr>
          <w:lang w:val="en-US"/>
        </w:rPr>
        <w:t>Sr, the denominator of the isotopic ratio (</w:t>
      </w:r>
      <w:r w:rsidR="00C1509C">
        <w:rPr>
          <w:lang w:val="en-US"/>
        </w:rPr>
        <w:t>M</w:t>
      </w:r>
      <w:r w:rsidR="00774AFB">
        <w:rPr>
          <w:lang w:val="en-US"/>
        </w:rPr>
        <w:t>oots</w:t>
      </w:r>
      <w:r w:rsidR="00C1509C">
        <w:rPr>
          <w:lang w:val="en-US"/>
        </w:rPr>
        <w:t xml:space="preserve"> et al.</w:t>
      </w:r>
      <w:r w:rsidRPr="00023D70">
        <w:rPr>
          <w:lang w:val="en-US"/>
        </w:rPr>
        <w:t xml:space="preserve"> 202</w:t>
      </w:r>
      <w:r w:rsidR="00774AFB">
        <w:rPr>
          <w:lang w:val="en-US"/>
        </w:rPr>
        <w:t>4</w:t>
      </w:r>
      <w:r w:rsidRPr="00023D70">
        <w:rPr>
          <w:lang w:val="en-US"/>
        </w:rPr>
        <w:t xml:space="preserve">). </w:t>
      </w:r>
      <w:r w:rsidR="00281D73">
        <w:rPr>
          <w:lang w:val="en-US"/>
        </w:rPr>
        <w:t>An evaluation of</w:t>
      </w:r>
      <w:r w:rsidRPr="00023D70">
        <w:rPr>
          <w:lang w:val="en-US"/>
        </w:rPr>
        <w:t xml:space="preserve"> Sr isotopic </w:t>
      </w:r>
      <w:r w:rsidR="00281D73">
        <w:rPr>
          <w:lang w:val="en-US"/>
        </w:rPr>
        <w:t>datasets</w:t>
      </w:r>
      <w:r w:rsidRPr="00023D70">
        <w:rPr>
          <w:lang w:val="en-US"/>
        </w:rPr>
        <w:t xml:space="preserve"> from the literature suggest that as predicted, </w:t>
      </w:r>
      <w:r w:rsidRPr="00023D70">
        <w:rPr>
          <w:vertAlign w:val="superscript"/>
          <w:lang w:val="en-US"/>
        </w:rPr>
        <w:t>87</w:t>
      </w:r>
      <w:r w:rsidRPr="00023D70">
        <w:rPr>
          <w:lang w:val="en-US"/>
        </w:rPr>
        <w:t>Sr:</w:t>
      </w:r>
      <w:r w:rsidRPr="00023D70">
        <w:rPr>
          <w:vertAlign w:val="superscript"/>
          <w:lang w:val="en-US"/>
        </w:rPr>
        <w:t>86</w:t>
      </w:r>
      <w:r w:rsidRPr="00023D70">
        <w:rPr>
          <w:lang w:val="en-US"/>
        </w:rPr>
        <w:t xml:space="preserve">Sr ratios are confounded when total Sr content varies among samples representing different conditions. </w:t>
      </w:r>
    </w:p>
    <w:p w14:paraId="4905F57B" w14:textId="0A34F483" w:rsidR="00B46223" w:rsidRDefault="00B46223" w:rsidP="00B46223">
      <w:pPr>
        <w:pStyle w:val="Newparagraph"/>
        <w:spacing w:after="3" w:line="473" w:lineRule="auto"/>
        <w:ind w:right="144"/>
        <w:jc w:val="both"/>
        <w:rPr>
          <w:lang w:val="en-US" w:eastAsia="ja-JP"/>
        </w:rPr>
      </w:pPr>
      <w:r w:rsidRPr="00023D70">
        <w:rPr>
          <w:lang w:val="en-US" w:eastAsia="ja-JP"/>
        </w:rPr>
        <w:t xml:space="preserve">Observed </w:t>
      </w:r>
      <w:r w:rsidRPr="00023D70">
        <w:rPr>
          <w:vertAlign w:val="superscript"/>
          <w:lang w:val="en-US" w:eastAsia="ja-JP"/>
        </w:rPr>
        <w:t>87</w:t>
      </w:r>
      <w:r w:rsidRPr="00023D70">
        <w:rPr>
          <w:lang w:val="en-US" w:eastAsia="ja-JP"/>
        </w:rPr>
        <w:t>Sr:</w:t>
      </w:r>
      <w:r w:rsidRPr="00023D70">
        <w:rPr>
          <w:vertAlign w:val="superscript"/>
          <w:lang w:val="en-US" w:eastAsia="ja-JP"/>
        </w:rPr>
        <w:t>86</w:t>
      </w:r>
      <w:r w:rsidRPr="00023D70">
        <w:rPr>
          <w:lang w:val="en-US" w:eastAsia="ja-JP"/>
        </w:rPr>
        <w:t xml:space="preserve">Sr ratios from different locations or sample types can vary in different ways depending on </w:t>
      </w:r>
      <w:r w:rsidR="0073258B">
        <w:rPr>
          <w:lang w:val="en-US" w:eastAsia="ja-JP"/>
        </w:rPr>
        <w:t xml:space="preserve">the </w:t>
      </w:r>
      <w:r w:rsidRPr="00023D70">
        <w:rPr>
          <w:lang w:val="en-US" w:eastAsia="ja-JP"/>
        </w:rPr>
        <w:t xml:space="preserve">total Sr levels associated with given </w:t>
      </w:r>
      <w:r w:rsidRPr="00023D70">
        <w:rPr>
          <w:vertAlign w:val="superscript"/>
          <w:lang w:val="en-US" w:eastAsia="ja-JP"/>
        </w:rPr>
        <w:t>87</w:t>
      </w:r>
      <w:r w:rsidRPr="00023D70">
        <w:rPr>
          <w:lang w:val="en-US" w:eastAsia="ja-JP"/>
        </w:rPr>
        <w:t>Sr:</w:t>
      </w:r>
      <w:r w:rsidRPr="00023D70">
        <w:rPr>
          <w:vertAlign w:val="superscript"/>
          <w:lang w:val="en-US" w:eastAsia="ja-JP"/>
        </w:rPr>
        <w:t>86</w:t>
      </w:r>
      <w:r w:rsidRPr="00023D70">
        <w:rPr>
          <w:lang w:val="en-US" w:eastAsia="ja-JP"/>
        </w:rPr>
        <w:t xml:space="preserve">Sr ratios. Therefore, it is not surprising that time-based observed </w:t>
      </w:r>
      <w:r w:rsidRPr="00023D70">
        <w:rPr>
          <w:vertAlign w:val="superscript"/>
          <w:lang w:val="en-US" w:eastAsia="ja-JP"/>
        </w:rPr>
        <w:t>87</w:t>
      </w:r>
      <w:r w:rsidRPr="00023D70">
        <w:rPr>
          <w:lang w:val="en-US" w:eastAsia="ja-JP"/>
        </w:rPr>
        <w:t>Sr:</w:t>
      </w:r>
      <w:r w:rsidRPr="00023D70">
        <w:rPr>
          <w:vertAlign w:val="superscript"/>
          <w:lang w:val="en-US" w:eastAsia="ja-JP"/>
        </w:rPr>
        <w:t>86</w:t>
      </w:r>
      <w:r w:rsidRPr="00023D70">
        <w:rPr>
          <w:lang w:val="en-US" w:eastAsia="ja-JP"/>
        </w:rPr>
        <w:t xml:space="preserve">Sr ratio patterns in different speleothem studies </w:t>
      </w:r>
      <w:r w:rsidR="00F85A7D">
        <w:rPr>
          <w:lang w:val="en-US" w:eastAsia="ja-JP"/>
        </w:rPr>
        <w:t xml:space="preserve">(main text) </w:t>
      </w:r>
      <w:r>
        <w:rPr>
          <w:lang w:val="en-US" w:eastAsia="ja-JP"/>
        </w:rPr>
        <w:t>do</w:t>
      </w:r>
      <w:r w:rsidRPr="00023D70">
        <w:rPr>
          <w:lang w:val="en-US" w:eastAsia="ja-JP"/>
        </w:rPr>
        <w:t xml:space="preserve"> not match one another even if sources are similar</w:t>
      </w:r>
      <w:r>
        <w:rPr>
          <w:lang w:val="en-US" w:eastAsia="ja-JP"/>
        </w:rPr>
        <w:t xml:space="preserve">. Sources and whether these sources remain constant over time, rather than any features </w:t>
      </w:r>
      <w:r w:rsidRPr="00023D70">
        <w:rPr>
          <w:lang w:val="en-US" w:eastAsia="ja-JP"/>
        </w:rPr>
        <w:t xml:space="preserve">of an observed </w:t>
      </w:r>
      <w:r w:rsidRPr="00023D70">
        <w:rPr>
          <w:vertAlign w:val="superscript"/>
          <w:lang w:val="en-US" w:eastAsia="ja-JP"/>
        </w:rPr>
        <w:t>87</w:t>
      </w:r>
      <w:r w:rsidRPr="00023D70">
        <w:rPr>
          <w:lang w:val="en-US" w:eastAsia="ja-JP"/>
        </w:rPr>
        <w:t>Sr</w:t>
      </w:r>
      <w:r>
        <w:rPr>
          <w:lang w:val="en-US" w:eastAsia="ja-JP"/>
        </w:rPr>
        <w:t>:</w:t>
      </w:r>
      <w:r w:rsidRPr="00023D70">
        <w:rPr>
          <w:vertAlign w:val="superscript"/>
          <w:lang w:val="en-US" w:eastAsia="ja-JP"/>
        </w:rPr>
        <w:t>86</w:t>
      </w:r>
      <w:r w:rsidRPr="00023D70">
        <w:rPr>
          <w:lang w:val="en-US" w:eastAsia="ja-JP"/>
        </w:rPr>
        <w:t xml:space="preserve">Sr ratio pattern </w:t>
      </w:r>
      <w:r>
        <w:rPr>
          <w:lang w:val="en-US" w:eastAsia="ja-JP"/>
        </w:rPr>
        <w:t>are what matters in climate change and migration studies.</w:t>
      </w:r>
    </w:p>
    <w:p w14:paraId="04A741A9" w14:textId="373817F1" w:rsidR="00B46223" w:rsidRDefault="00B46223" w:rsidP="00B46223">
      <w:pPr>
        <w:pStyle w:val="Newparagraph"/>
        <w:spacing w:after="3" w:line="473" w:lineRule="auto"/>
        <w:ind w:right="144"/>
        <w:jc w:val="both"/>
        <w:rPr>
          <w:lang w:val="en-US" w:eastAsia="ja-JP"/>
        </w:rPr>
      </w:pPr>
      <w:r w:rsidRPr="00023D70">
        <w:rPr>
          <w:lang w:val="en-US" w:eastAsia="ja-JP"/>
        </w:rPr>
        <w:t xml:space="preserve">Evaluating derivatives that reflect how sources change over time, allows clear clarification of </w:t>
      </w:r>
      <w:r w:rsidRPr="00023D70">
        <w:rPr>
          <w:vertAlign w:val="superscript"/>
          <w:lang w:val="en-US" w:eastAsia="ja-JP"/>
        </w:rPr>
        <w:t>87</w:t>
      </w:r>
      <w:r w:rsidRPr="00023D70">
        <w:rPr>
          <w:lang w:val="en-US" w:eastAsia="ja-JP"/>
        </w:rPr>
        <w:t>Sr:</w:t>
      </w:r>
      <w:r w:rsidRPr="00023D70">
        <w:rPr>
          <w:vertAlign w:val="superscript"/>
          <w:lang w:val="en-US" w:eastAsia="ja-JP"/>
        </w:rPr>
        <w:t>86</w:t>
      </w:r>
      <w:r w:rsidRPr="00023D70">
        <w:rPr>
          <w:lang w:val="en-US" w:eastAsia="ja-JP"/>
        </w:rPr>
        <w:t xml:space="preserve">Sr source changes in a speleothem that agree with temporal ice core </w:t>
      </w:r>
      <w:r w:rsidRPr="00023D70">
        <w:rPr>
          <w:vertAlign w:val="superscript"/>
          <w:lang w:val="en-US" w:eastAsia="ja-JP"/>
        </w:rPr>
        <w:t>18</w:t>
      </w:r>
      <w:r w:rsidRPr="00023D70">
        <w:rPr>
          <w:lang w:val="en-US" w:eastAsia="ja-JP"/>
        </w:rPr>
        <w:t>O evaluations known to reflect generally accepted weather changes</w:t>
      </w:r>
      <w:r w:rsidR="005A1757">
        <w:rPr>
          <w:lang w:val="en-US" w:eastAsia="ja-JP"/>
        </w:rPr>
        <w:t xml:space="preserve"> (main text)</w:t>
      </w:r>
      <w:r w:rsidRPr="00023D70">
        <w:rPr>
          <w:lang w:val="en-US" w:eastAsia="ja-JP"/>
        </w:rPr>
        <w:t>. Similarly</w:t>
      </w:r>
      <w:r>
        <w:rPr>
          <w:lang w:val="en-US" w:eastAsia="ja-JP"/>
        </w:rPr>
        <w:t>,</w:t>
      </w:r>
      <w:r w:rsidRPr="00023D70">
        <w:rPr>
          <w:lang w:val="en-US" w:eastAsia="ja-JP"/>
        </w:rPr>
        <w:t xml:space="preserve"> </w:t>
      </w:r>
      <w:r>
        <w:rPr>
          <w:lang w:val="en-US" w:eastAsia="ja-JP"/>
        </w:rPr>
        <w:lastRenderedPageBreak/>
        <w:t xml:space="preserve">evaluating derivatives </w:t>
      </w:r>
      <w:r w:rsidR="00B060DF">
        <w:rPr>
          <w:lang w:val="en-US" w:eastAsia="ja-JP"/>
        </w:rPr>
        <w:t>helps</w:t>
      </w:r>
      <w:r>
        <w:rPr>
          <w:lang w:val="en-US" w:eastAsia="ja-JP"/>
        </w:rPr>
        <w:t xml:space="preserve"> elucidate possible changing sources in the European mammoth and salt spray soil studies. E</w:t>
      </w:r>
      <w:r w:rsidRPr="00023D70">
        <w:rPr>
          <w:lang w:val="en-US" w:eastAsia="ja-JP"/>
        </w:rPr>
        <w:t xml:space="preserve">valuating </w:t>
      </w:r>
      <w:r>
        <w:rPr>
          <w:lang w:val="en-US" w:eastAsia="ja-JP"/>
        </w:rPr>
        <w:t xml:space="preserve">spline smoothed </w:t>
      </w:r>
      <w:r w:rsidRPr="00023D70">
        <w:rPr>
          <w:lang w:val="en-US" w:eastAsia="ja-JP"/>
        </w:rPr>
        <w:t xml:space="preserve">derivatives in an inlet time course </w:t>
      </w:r>
      <w:r w:rsidR="003C6569">
        <w:rPr>
          <w:lang w:val="en-US" w:eastAsia="ja-JP"/>
        </w:rPr>
        <w:t>study does not produce as clear an interpretation as the three examples described above.</w:t>
      </w:r>
      <w:r w:rsidRPr="00023D70">
        <w:rPr>
          <w:lang w:val="en-US" w:eastAsia="ja-JP"/>
        </w:rPr>
        <w:t xml:space="preserve"> </w:t>
      </w:r>
      <w:r w:rsidR="00D5681B">
        <w:rPr>
          <w:lang w:val="en-US" w:eastAsia="ja-JP"/>
        </w:rPr>
        <w:t xml:space="preserve">However, the </w:t>
      </w:r>
      <w:r w:rsidRPr="00023D70">
        <w:rPr>
          <w:lang w:val="en-US" w:eastAsia="ja-JP"/>
        </w:rPr>
        <w:t xml:space="preserve">source pattern that is very different than the observed </w:t>
      </w:r>
      <w:r w:rsidR="00577806" w:rsidRPr="00577806">
        <w:rPr>
          <w:vertAlign w:val="superscript"/>
          <w:lang w:val="en-US" w:eastAsia="ja-JP"/>
        </w:rPr>
        <w:t>87</w:t>
      </w:r>
      <w:r w:rsidR="00577806">
        <w:rPr>
          <w:lang w:val="en-US" w:eastAsia="ja-JP"/>
        </w:rPr>
        <w:t>Sr:</w:t>
      </w:r>
      <w:r w:rsidR="00577806" w:rsidRPr="00577806">
        <w:rPr>
          <w:vertAlign w:val="superscript"/>
          <w:lang w:val="en-US" w:eastAsia="ja-JP"/>
        </w:rPr>
        <w:t>86</w:t>
      </w:r>
      <w:r w:rsidR="00577806">
        <w:rPr>
          <w:lang w:val="en-US" w:eastAsia="ja-JP"/>
        </w:rPr>
        <w:t xml:space="preserve">Sr </w:t>
      </w:r>
      <w:r w:rsidRPr="00023D70">
        <w:rPr>
          <w:lang w:val="en-US" w:eastAsia="ja-JP"/>
        </w:rPr>
        <w:t>ratio pattern</w:t>
      </w:r>
      <w:r>
        <w:rPr>
          <w:lang w:val="en-US" w:eastAsia="ja-JP"/>
        </w:rPr>
        <w:t xml:space="preserve"> in water from an inlet.</w:t>
      </w:r>
    </w:p>
    <w:p w14:paraId="2DE09E4D" w14:textId="4429CE81" w:rsidR="00D5681B" w:rsidRPr="00023D70" w:rsidRDefault="00D5681B" w:rsidP="00B46223">
      <w:pPr>
        <w:pStyle w:val="Newparagraph"/>
        <w:spacing w:after="3" w:line="473" w:lineRule="auto"/>
        <w:ind w:right="144"/>
        <w:jc w:val="both"/>
        <w:rPr>
          <w:lang w:val="en-US" w:eastAsia="ja-JP"/>
        </w:rPr>
      </w:pPr>
      <w:r>
        <w:rPr>
          <w:lang w:val="en-US" w:eastAsia="ja-JP"/>
        </w:rPr>
        <w:t xml:space="preserve">Source analyses may not conclusively suggest an evaluation of observed ratios is incorrect. The European mammoth study (Kowalik et ql. 2023) provides an example where </w:t>
      </w:r>
      <w:r w:rsidR="005A1757">
        <w:rPr>
          <w:lang w:val="en-US" w:eastAsia="ja-JP"/>
        </w:rPr>
        <w:t xml:space="preserve">cursory </w:t>
      </w:r>
      <w:r>
        <w:rPr>
          <w:lang w:val="en-US" w:eastAsia="ja-JP"/>
        </w:rPr>
        <w:t>source analyses suggest more extensive data analyses would be helpful without conclusively discrediting a conclusion based on observed ratios.</w:t>
      </w:r>
    </w:p>
    <w:p w14:paraId="2B1E5EB2" w14:textId="40B683AE" w:rsidR="00207CAB" w:rsidRPr="00E3338F" w:rsidRDefault="00A84C57" w:rsidP="00A62633">
      <w:pPr>
        <w:pStyle w:val="Heading1"/>
        <w:tabs>
          <w:tab w:val="center" w:pos="1627"/>
        </w:tabs>
        <w:ind w:left="-15" w:firstLine="0"/>
        <w:jc w:val="both"/>
        <w:rPr>
          <w:rFonts w:ascii="Times New Roman" w:hAnsi="Times New Roman" w:cs="Times New Roman"/>
          <w:sz w:val="24"/>
          <w:szCs w:val="24"/>
        </w:rPr>
      </w:pPr>
      <w:r w:rsidRPr="00E3338F">
        <w:rPr>
          <w:rFonts w:ascii="Times New Roman" w:hAnsi="Times New Roman" w:cs="Times New Roman"/>
          <w:sz w:val="24"/>
          <w:szCs w:val="24"/>
        </w:rPr>
        <w:t>6</w:t>
      </w:r>
      <w:r w:rsidR="00207CAB" w:rsidRPr="00E3338F">
        <w:rPr>
          <w:rFonts w:ascii="Times New Roman" w:hAnsi="Times New Roman" w:cs="Times New Roman"/>
          <w:sz w:val="24"/>
          <w:szCs w:val="24"/>
        </w:rPr>
        <w:t xml:space="preserve">      Conclusion</w:t>
      </w:r>
    </w:p>
    <w:p w14:paraId="46C7E770" w14:textId="3D206466" w:rsidR="007C6F17" w:rsidRPr="00023D70" w:rsidRDefault="00F2335E" w:rsidP="007C6F17">
      <w:pPr>
        <w:pStyle w:val="Paragraph"/>
        <w:spacing w:before="0" w:after="3" w:line="473" w:lineRule="auto"/>
        <w:ind w:right="144"/>
        <w:jc w:val="both"/>
        <w:rPr>
          <w:lang w:val="en-US" w:eastAsia="ja-JP"/>
        </w:rPr>
      </w:pPr>
      <w:r>
        <w:rPr>
          <w:lang w:val="en-US" w:eastAsia="ja-JP"/>
        </w:rPr>
        <w:t>Five</w:t>
      </w:r>
      <w:r w:rsidR="007C6F17" w:rsidRPr="00023D70">
        <w:rPr>
          <w:lang w:val="en-US" w:eastAsia="ja-JP"/>
        </w:rPr>
        <w:t xml:space="preserve"> </w:t>
      </w:r>
      <w:r w:rsidR="007C6F17" w:rsidRPr="00023D70">
        <w:rPr>
          <w:vertAlign w:val="superscript"/>
          <w:lang w:val="en-US"/>
        </w:rPr>
        <w:t>87</w:t>
      </w:r>
      <w:r w:rsidR="007C6F17" w:rsidRPr="00023D70">
        <w:rPr>
          <w:lang w:val="en-US"/>
        </w:rPr>
        <w:t>Sr:</w:t>
      </w:r>
      <w:r w:rsidR="007C6F17" w:rsidRPr="00023D70">
        <w:rPr>
          <w:vertAlign w:val="superscript"/>
          <w:lang w:val="en-US"/>
        </w:rPr>
        <w:t>86</w:t>
      </w:r>
      <w:r w:rsidR="007C6F17" w:rsidRPr="00023D70">
        <w:rPr>
          <w:lang w:val="en-US"/>
        </w:rPr>
        <w:t>Sr ratio</w:t>
      </w:r>
      <w:r w:rsidR="007C6F17" w:rsidRPr="00023D70">
        <w:rPr>
          <w:lang w:val="en-US" w:eastAsia="ja-JP"/>
        </w:rPr>
        <w:t xml:space="preserve"> datasets suggest mathematical predictions and trends presented by </w:t>
      </w:r>
      <w:r w:rsidR="00C1509C">
        <w:rPr>
          <w:lang w:val="en-US"/>
        </w:rPr>
        <w:t>M</w:t>
      </w:r>
      <w:r w:rsidR="00774AFB">
        <w:rPr>
          <w:lang w:val="en-US"/>
        </w:rPr>
        <w:t>oots</w:t>
      </w:r>
      <w:r w:rsidR="00C1509C">
        <w:rPr>
          <w:lang w:val="en-US"/>
        </w:rPr>
        <w:t xml:space="preserve"> et al. </w:t>
      </w:r>
      <w:r w:rsidR="007C6F17" w:rsidRPr="00023D70">
        <w:rPr>
          <w:lang w:val="en-US" w:eastAsia="ja-JP"/>
        </w:rPr>
        <w:t>(202</w:t>
      </w:r>
      <w:r w:rsidR="00774AFB">
        <w:rPr>
          <w:lang w:val="en-US" w:eastAsia="ja-JP"/>
        </w:rPr>
        <w:t>4</w:t>
      </w:r>
      <w:r w:rsidR="007C6F17" w:rsidRPr="00023D70">
        <w:rPr>
          <w:lang w:val="en-US" w:eastAsia="ja-JP"/>
        </w:rPr>
        <w:t xml:space="preserve">) do indeed occur. </w:t>
      </w:r>
      <w:r w:rsidR="007C6F17">
        <w:rPr>
          <w:lang w:val="en-US" w:eastAsia="ja-JP"/>
        </w:rPr>
        <w:t xml:space="preserve">Many of the </w:t>
      </w:r>
      <w:r w:rsidR="007C6F17" w:rsidRPr="00BF16AF">
        <w:rPr>
          <w:vertAlign w:val="superscript"/>
          <w:lang w:val="en-US" w:eastAsia="ja-JP"/>
        </w:rPr>
        <w:t>87</w:t>
      </w:r>
      <w:r w:rsidR="007C6F17">
        <w:rPr>
          <w:lang w:val="en-US" w:eastAsia="ja-JP"/>
        </w:rPr>
        <w:t>Sr:</w:t>
      </w:r>
      <w:r w:rsidR="007C6F17" w:rsidRPr="00BF16AF">
        <w:rPr>
          <w:vertAlign w:val="superscript"/>
          <w:lang w:val="en-US" w:eastAsia="ja-JP"/>
        </w:rPr>
        <w:t>86</w:t>
      </w:r>
      <w:r w:rsidR="007C6F17">
        <w:rPr>
          <w:lang w:val="en-US" w:eastAsia="ja-JP"/>
        </w:rPr>
        <w:t xml:space="preserve">Sr ratios evaluated here are confounded. This is </w:t>
      </w:r>
      <w:r w:rsidR="007C6F17" w:rsidRPr="00023D70">
        <w:rPr>
          <w:lang w:val="en-US" w:eastAsia="ja-JP"/>
        </w:rPr>
        <w:t>support</w:t>
      </w:r>
      <w:r w:rsidR="007C6F17">
        <w:rPr>
          <w:lang w:val="en-US" w:eastAsia="ja-JP"/>
        </w:rPr>
        <w:t>ed by</w:t>
      </w:r>
      <w:r w:rsidR="007C6F17" w:rsidRPr="00023D70">
        <w:rPr>
          <w:rStyle w:val="e24kjd"/>
          <w:rFonts w:asciiTheme="majorBidi" w:hAnsiTheme="majorBidi" w:cstheme="majorBidi"/>
          <w:lang w:val="en-US"/>
        </w:rPr>
        <w:t xml:space="preserve"> an unpublished review of 24 Sr isotope publications, containing over 75 datasets</w:t>
      </w:r>
      <w:r w:rsidR="007C6F17">
        <w:rPr>
          <w:rStyle w:val="e24kjd"/>
          <w:rFonts w:asciiTheme="majorBidi" w:hAnsiTheme="majorBidi" w:cstheme="majorBidi"/>
          <w:lang w:val="en-US"/>
        </w:rPr>
        <w:t>.</w:t>
      </w:r>
      <w:r w:rsidR="007C6F17" w:rsidRPr="00023D70">
        <w:rPr>
          <w:rStyle w:val="e24kjd"/>
          <w:rFonts w:asciiTheme="majorBidi" w:hAnsiTheme="majorBidi" w:cstheme="majorBidi"/>
          <w:lang w:val="en-US"/>
        </w:rPr>
        <w:t xml:space="preserve"> </w:t>
      </w:r>
      <w:r w:rsidR="007C6F17">
        <w:rPr>
          <w:rStyle w:val="e24kjd"/>
          <w:rFonts w:asciiTheme="majorBidi" w:hAnsiTheme="majorBidi" w:cstheme="majorBidi"/>
          <w:lang w:val="en-US"/>
        </w:rPr>
        <w:t>C</w:t>
      </w:r>
      <w:r w:rsidR="007C6F17" w:rsidRPr="00023D70">
        <w:rPr>
          <w:rStyle w:val="e24kjd"/>
          <w:rFonts w:asciiTheme="majorBidi" w:hAnsiTheme="majorBidi" w:cstheme="majorBidi"/>
          <w:lang w:val="en-US"/>
        </w:rPr>
        <w:t xml:space="preserve">hanges in </w:t>
      </w:r>
      <w:r w:rsidR="007C6F17" w:rsidRPr="00023D70">
        <w:rPr>
          <w:vertAlign w:val="superscript"/>
          <w:lang w:val="en-US"/>
        </w:rPr>
        <w:t>87</w:t>
      </w:r>
      <w:r w:rsidR="007C6F17" w:rsidRPr="00023D70">
        <w:rPr>
          <w:lang w:val="en-US"/>
        </w:rPr>
        <w:t>Sr:</w:t>
      </w:r>
      <w:r w:rsidR="007C6F17" w:rsidRPr="00023D70">
        <w:rPr>
          <w:vertAlign w:val="superscript"/>
          <w:lang w:val="en-US"/>
        </w:rPr>
        <w:t>86</w:t>
      </w:r>
      <w:r w:rsidR="007C6F17" w:rsidRPr="00023D70">
        <w:rPr>
          <w:lang w:val="en-US"/>
        </w:rPr>
        <w:t xml:space="preserve">Sr ratio were always accompanied with changes in total Sr concentration (data not shown but re-evaluations of the original publications are available on request). </w:t>
      </w:r>
      <w:r w:rsidR="007C6F17" w:rsidRPr="00023D70">
        <w:rPr>
          <w:lang w:val="en-US" w:eastAsia="ja-JP"/>
        </w:rPr>
        <w:t xml:space="preserve">Observed </w:t>
      </w:r>
      <w:r w:rsidR="007C6F17" w:rsidRPr="00023D70">
        <w:rPr>
          <w:vertAlign w:val="superscript"/>
          <w:lang w:val="en-US"/>
        </w:rPr>
        <w:t>87</w:t>
      </w:r>
      <w:r w:rsidR="007C6F17" w:rsidRPr="00023D70">
        <w:rPr>
          <w:lang w:val="en-US"/>
        </w:rPr>
        <w:t>Sr:</w:t>
      </w:r>
      <w:r w:rsidR="007C6F17" w:rsidRPr="00023D70">
        <w:rPr>
          <w:vertAlign w:val="superscript"/>
          <w:lang w:val="en-US"/>
        </w:rPr>
        <w:t>86</w:t>
      </w:r>
      <w:r w:rsidR="007C6F17" w:rsidRPr="00023D70">
        <w:rPr>
          <w:lang w:val="en-US"/>
        </w:rPr>
        <w:t xml:space="preserve">Sr </w:t>
      </w:r>
      <w:r w:rsidR="007C6F17" w:rsidRPr="00023D70">
        <w:rPr>
          <w:lang w:val="en-US" w:eastAsia="ja-JP"/>
        </w:rPr>
        <w:t xml:space="preserve">ratios are often not strongly related to sources. Isotopic </w:t>
      </w:r>
      <w:r w:rsidR="007C6F17">
        <w:rPr>
          <w:lang w:val="en-US" w:eastAsia="ja-JP"/>
        </w:rPr>
        <w:t>Sr</w:t>
      </w:r>
      <w:r w:rsidR="007C6F17" w:rsidRPr="00023D70">
        <w:rPr>
          <w:lang w:val="en-US" w:eastAsia="ja-JP"/>
        </w:rPr>
        <w:t xml:space="preserve"> ratio patterns that change over time or for different conditions do not necessarily reflect how sources change.</w:t>
      </w:r>
    </w:p>
    <w:p w14:paraId="2B9DC514" w14:textId="776699C4" w:rsidR="007B7FCC" w:rsidRDefault="004600DA" w:rsidP="004600DA">
      <w:pPr>
        <w:pStyle w:val="Newparagraph"/>
        <w:spacing w:after="3" w:line="473" w:lineRule="auto"/>
        <w:ind w:right="14" w:firstLine="0"/>
        <w:jc w:val="both"/>
        <w:rPr>
          <w:rFonts w:asciiTheme="majorBidi" w:hAnsiTheme="majorBidi" w:cstheme="majorBidi"/>
          <w:lang w:val="en-US"/>
        </w:rPr>
      </w:pPr>
      <w:r>
        <w:rPr>
          <w:lang w:val="en-US"/>
        </w:rPr>
        <w:tab/>
      </w:r>
      <w:r w:rsidR="007C6F17" w:rsidRPr="00023D70">
        <w:rPr>
          <w:lang w:val="en-US"/>
        </w:rPr>
        <w:t>The full extent of isotopic “ratio problem</w:t>
      </w:r>
      <w:r w:rsidR="007B7FCC">
        <w:rPr>
          <w:lang w:val="en-US"/>
        </w:rPr>
        <w:t>s</w:t>
      </w:r>
      <w:r w:rsidR="007C6F17" w:rsidRPr="00023D70">
        <w:rPr>
          <w:lang w:val="en-US"/>
        </w:rPr>
        <w:t xml:space="preserve">” </w:t>
      </w:r>
      <w:r w:rsidR="00B060DF" w:rsidRPr="00023D70">
        <w:rPr>
          <w:lang w:val="en-US"/>
        </w:rPr>
        <w:t>requires</w:t>
      </w:r>
      <w:r w:rsidR="007C6F17" w:rsidRPr="00023D70">
        <w:rPr>
          <w:lang w:val="en-US"/>
        </w:rPr>
        <w:t xml:space="preserve"> confirmation with non-strontium isotopic examples. However, the mathematical consequences of relying solely on ratio-based expressions outlined here </w:t>
      </w:r>
      <w:r w:rsidR="0054601D">
        <w:rPr>
          <w:lang w:val="en-US"/>
        </w:rPr>
        <w:t xml:space="preserve">likely </w:t>
      </w:r>
      <w:r w:rsidR="007C6F17" w:rsidRPr="00023D70">
        <w:rPr>
          <w:lang w:val="en-US"/>
        </w:rPr>
        <w:t>apply to most stable mass isotope</w:t>
      </w:r>
      <w:r>
        <w:rPr>
          <w:lang w:val="en-US"/>
        </w:rPr>
        <w:t>s</w:t>
      </w:r>
      <w:r w:rsidR="007C6F17" w:rsidRPr="00023D70">
        <w:rPr>
          <w:lang w:val="en-US"/>
        </w:rPr>
        <w:t xml:space="preserve">. </w:t>
      </w:r>
      <w:r w:rsidR="007C6F17">
        <w:rPr>
          <w:lang w:val="en-US"/>
        </w:rPr>
        <w:t>One should always evaluate t</w:t>
      </w:r>
      <w:r w:rsidR="007C6F17" w:rsidRPr="00023D70">
        <w:rPr>
          <w:lang w:val="en-US"/>
        </w:rPr>
        <w:t>raditional Keeling plots</w:t>
      </w:r>
      <w:r w:rsidR="007C6F17">
        <w:rPr>
          <w:lang w:val="en-US"/>
        </w:rPr>
        <w:t>;</w:t>
      </w:r>
      <w:r w:rsidR="007C6F17" w:rsidRPr="00023D70">
        <w:rPr>
          <w:lang w:val="en-US"/>
        </w:rPr>
        <w:t xml:space="preserve"> other forms of mixing diagrams</w:t>
      </w:r>
      <w:r w:rsidR="007C6F17">
        <w:rPr>
          <w:lang w:val="en-US"/>
        </w:rPr>
        <w:t>;</w:t>
      </w:r>
      <w:r w:rsidR="007C6F17" w:rsidRPr="00023D70">
        <w:rPr>
          <w:lang w:val="en-US"/>
        </w:rPr>
        <w:t xml:space="preserve"> or an analysis of the relationship between ratio denominator and numerator</w:t>
      </w:r>
      <w:r w:rsidR="007C6F17">
        <w:rPr>
          <w:lang w:val="en-US"/>
        </w:rPr>
        <w:t>.</w:t>
      </w:r>
      <w:r w:rsidR="007C6F17" w:rsidRPr="00023D70">
        <w:rPr>
          <w:lang w:val="en-US"/>
        </w:rPr>
        <w:t xml:space="preserve"> Source evaluations </w:t>
      </w:r>
      <w:r w:rsidR="00577806">
        <w:rPr>
          <w:lang w:val="en-US"/>
        </w:rPr>
        <w:t xml:space="preserve">inform </w:t>
      </w:r>
      <w:r w:rsidR="007C6F17" w:rsidRPr="00023D70">
        <w:rPr>
          <w:lang w:val="en-US"/>
        </w:rPr>
        <w:t xml:space="preserve">researchers </w:t>
      </w:r>
      <w:r w:rsidR="007C6F17">
        <w:rPr>
          <w:lang w:val="en-US"/>
        </w:rPr>
        <w:t>when isotopic ratios are confounded</w:t>
      </w:r>
      <w:r w:rsidR="00577806">
        <w:rPr>
          <w:lang w:val="en-US"/>
        </w:rPr>
        <w:t>. They can then</w:t>
      </w:r>
      <w:r w:rsidR="007C6F17">
        <w:rPr>
          <w:lang w:val="en-US"/>
        </w:rPr>
        <w:t xml:space="preserve"> </w:t>
      </w:r>
      <w:r w:rsidR="007C6F17" w:rsidRPr="00023D70">
        <w:rPr>
          <w:lang w:val="en-US"/>
        </w:rPr>
        <w:t>better understand and interpret isotopic studies</w:t>
      </w:r>
      <w:r w:rsidR="007C6F17">
        <w:rPr>
          <w:lang w:val="en-US"/>
        </w:rPr>
        <w:t xml:space="preserve">. </w:t>
      </w:r>
      <w:r w:rsidR="007C6F17" w:rsidRPr="00023D70">
        <w:rPr>
          <w:lang w:val="en-US"/>
        </w:rPr>
        <w:t xml:space="preserve">Many datasets may not have </w:t>
      </w:r>
      <w:r w:rsidR="007C6F17">
        <w:rPr>
          <w:lang w:val="en-US"/>
        </w:rPr>
        <w:t>ratio</w:t>
      </w:r>
      <w:r w:rsidR="007C6F17" w:rsidRPr="00023D70">
        <w:rPr>
          <w:lang w:val="en-US"/>
        </w:rPr>
        <w:t xml:space="preserve"> issues that alter an interpretation, thus ratio-based assessments can </w:t>
      </w:r>
      <w:r w:rsidR="007C6F17" w:rsidRPr="00023D70">
        <w:rPr>
          <w:lang w:val="en-US"/>
        </w:rPr>
        <w:lastRenderedPageBreak/>
        <w:t xml:space="preserve">still be useful. That said, when total element data is available, finding </w:t>
      </w:r>
      <w:r w:rsidR="007C6F17">
        <w:rPr>
          <w:lang w:val="en-US"/>
        </w:rPr>
        <w:t>confounded ratio</w:t>
      </w:r>
      <w:r w:rsidR="007C6F17" w:rsidRPr="00023D70">
        <w:rPr>
          <w:lang w:val="en-US"/>
        </w:rPr>
        <w:t xml:space="preserve"> examples is not difficult. One will never know if isotopic data is confounded unl</w:t>
      </w:r>
      <w:r w:rsidR="007C6F17" w:rsidRPr="00023D70">
        <w:rPr>
          <w:rFonts w:asciiTheme="majorBidi" w:hAnsiTheme="majorBidi" w:cstheme="majorBidi"/>
          <w:lang w:val="en-US"/>
        </w:rPr>
        <w:t xml:space="preserve">ess it is evaluated. </w:t>
      </w:r>
    </w:p>
    <w:p w14:paraId="5AB2B9C2" w14:textId="40D0F6ED" w:rsidR="007C6F17" w:rsidRPr="007C6F17" w:rsidRDefault="007C6F17" w:rsidP="004600DA">
      <w:pPr>
        <w:pStyle w:val="Newparagraph"/>
        <w:spacing w:after="3" w:line="473" w:lineRule="auto"/>
        <w:ind w:right="14" w:firstLine="0"/>
        <w:jc w:val="both"/>
        <w:rPr>
          <w:lang w:val="en-US"/>
        </w:rPr>
      </w:pPr>
      <w:r w:rsidRPr="004600DA">
        <w:rPr>
          <w:b/>
          <w:bCs/>
          <w:lang w:val="en-US"/>
        </w:rPr>
        <w:t>FUNDING DETAILS</w:t>
      </w:r>
    </w:p>
    <w:p w14:paraId="158D39E5" w14:textId="77777777" w:rsidR="007C6F17" w:rsidRPr="007C6F17" w:rsidRDefault="007C6F17" w:rsidP="007C6F17">
      <w:pPr>
        <w:pStyle w:val="Heading1"/>
        <w:spacing w:after="3" w:line="473" w:lineRule="auto"/>
        <w:ind w:left="0" w:right="144"/>
        <w:jc w:val="both"/>
        <w:rPr>
          <w:rFonts w:ascii="Times New Roman" w:hAnsi="Times New Roman" w:cs="Times New Roman"/>
          <w:b w:val="0"/>
          <w:bCs/>
          <w:sz w:val="24"/>
          <w:szCs w:val="24"/>
        </w:rPr>
      </w:pPr>
      <w:r w:rsidRPr="007C6F17">
        <w:rPr>
          <w:rFonts w:ascii="Times New Roman" w:hAnsi="Times New Roman" w:cs="Times New Roman"/>
          <w:b w:val="0"/>
          <w:sz w:val="24"/>
          <w:szCs w:val="24"/>
        </w:rPr>
        <w:t>No external grant funds directly supported this effort. Rather, years of tangential thinking associated with many projects lead to this</w:t>
      </w:r>
      <w:r w:rsidRPr="007C6F17">
        <w:rPr>
          <w:rFonts w:ascii="Times New Roman" w:hAnsi="Times New Roman" w:cs="Times New Roman"/>
          <w:sz w:val="24"/>
          <w:szCs w:val="24"/>
        </w:rPr>
        <w:t xml:space="preserve"> </w:t>
      </w:r>
      <w:r w:rsidRPr="007C6F17">
        <w:rPr>
          <w:rFonts w:ascii="Times New Roman" w:hAnsi="Times New Roman" w:cs="Times New Roman"/>
          <w:b w:val="0"/>
          <w:sz w:val="24"/>
          <w:szCs w:val="24"/>
        </w:rPr>
        <w:t>research.</w:t>
      </w:r>
    </w:p>
    <w:p w14:paraId="65F2C7AD" w14:textId="77777777" w:rsidR="007C6F17" w:rsidRPr="007C6F17" w:rsidRDefault="007C6F17" w:rsidP="007C6F17">
      <w:pPr>
        <w:pStyle w:val="Heading1"/>
        <w:spacing w:after="3" w:line="473" w:lineRule="auto"/>
        <w:ind w:left="0" w:right="144"/>
        <w:jc w:val="both"/>
        <w:rPr>
          <w:rFonts w:ascii="Times New Roman" w:hAnsi="Times New Roman" w:cs="Times New Roman"/>
          <w:sz w:val="24"/>
          <w:szCs w:val="24"/>
        </w:rPr>
      </w:pPr>
      <w:r w:rsidRPr="007C6F17">
        <w:rPr>
          <w:rFonts w:ascii="Times New Roman" w:hAnsi="Times New Roman" w:cs="Times New Roman"/>
          <w:sz w:val="24"/>
          <w:szCs w:val="24"/>
        </w:rPr>
        <w:t>DISCLOSURE STATEMENT</w:t>
      </w:r>
    </w:p>
    <w:p w14:paraId="2DE32E9C" w14:textId="77777777" w:rsidR="007C6F17" w:rsidRDefault="007C6F17" w:rsidP="007C6F17">
      <w:pPr>
        <w:pStyle w:val="Paragraph"/>
        <w:spacing w:before="0" w:after="3" w:line="473" w:lineRule="auto"/>
        <w:ind w:right="144"/>
        <w:jc w:val="both"/>
        <w:rPr>
          <w:lang w:val="en-US"/>
        </w:rPr>
      </w:pPr>
      <w:r>
        <w:rPr>
          <w:lang w:val="en-US"/>
        </w:rPr>
        <w:t>None of the co-authors have associations or affiliations that would lead to financial benefit from the publication of this document.</w:t>
      </w:r>
    </w:p>
    <w:p w14:paraId="3B76E424" w14:textId="77777777" w:rsidR="00271714" w:rsidRPr="00E3338F" w:rsidRDefault="00766DDD" w:rsidP="00A62633">
      <w:pPr>
        <w:pStyle w:val="Heading1"/>
        <w:ind w:left="-5"/>
        <w:jc w:val="both"/>
        <w:rPr>
          <w:rFonts w:ascii="Times New Roman" w:hAnsi="Times New Roman" w:cs="Times New Roman"/>
          <w:sz w:val="24"/>
          <w:szCs w:val="24"/>
        </w:rPr>
      </w:pPr>
      <w:r w:rsidRPr="00E3338F">
        <w:rPr>
          <w:rFonts w:ascii="Times New Roman" w:hAnsi="Times New Roman" w:cs="Times New Roman"/>
          <w:sz w:val="24"/>
          <w:szCs w:val="24"/>
        </w:rPr>
        <w:t>References</w:t>
      </w:r>
    </w:p>
    <w:p w14:paraId="1C4FFBA4" w14:textId="77777777" w:rsidR="007C6F17" w:rsidRPr="00023D70" w:rsidRDefault="007C6F17" w:rsidP="007A5F81">
      <w:pPr>
        <w:pStyle w:val="References"/>
        <w:spacing w:before="0" w:line="473" w:lineRule="auto"/>
        <w:jc w:val="both"/>
        <w:rPr>
          <w:sz w:val="22"/>
          <w:szCs w:val="22"/>
          <w:lang w:val="en-US" w:eastAsia="en-US"/>
        </w:rPr>
      </w:pPr>
      <w:r w:rsidRPr="00023D70">
        <w:rPr>
          <w:lang w:val="en-US"/>
        </w:rPr>
        <w:t xml:space="preserve">Atchley, W. R., Gaskins, C. T., and Anderson, D. (1976), “Statistical Properties of Ratios. I. Empirical Results,” </w:t>
      </w:r>
      <w:r w:rsidRPr="00023D70">
        <w:rPr>
          <w:i/>
          <w:iCs/>
          <w:lang w:val="en-US"/>
        </w:rPr>
        <w:t>Society of Systematic Biologists</w:t>
      </w:r>
      <w:r w:rsidRPr="00023D70">
        <w:rPr>
          <w:lang w:val="en-US"/>
        </w:rPr>
        <w:t>, 25, 137-148, DOI: 10.2307/2412740.</w:t>
      </w:r>
    </w:p>
    <w:p w14:paraId="43758B2F" w14:textId="77777777" w:rsidR="007C6F17" w:rsidRPr="00023D70" w:rsidRDefault="007C6F17" w:rsidP="007A5F81">
      <w:pPr>
        <w:pStyle w:val="References"/>
        <w:spacing w:before="0" w:line="473" w:lineRule="auto"/>
        <w:jc w:val="both"/>
        <w:rPr>
          <w:lang w:val="en-US"/>
        </w:rPr>
      </w:pPr>
      <w:r w:rsidRPr="00023D70">
        <w:rPr>
          <w:lang w:val="en-US"/>
        </w:rPr>
        <w:t xml:space="preserve">Bailey, S. W., Hornbeck, J. W., Driscoll, G.T., and Gaudette, H. E. (1996), “Calcium Inputs and Transport in a Base-Poor Forest Ecosystem as Interpreted by Sr. Isotopes,” </w:t>
      </w:r>
      <w:r w:rsidRPr="00023D70">
        <w:rPr>
          <w:i/>
          <w:iCs/>
          <w:lang w:val="en-US"/>
        </w:rPr>
        <w:t>Water Resources Research,</w:t>
      </w:r>
      <w:r w:rsidRPr="00023D70">
        <w:rPr>
          <w:lang w:val="en-US"/>
        </w:rPr>
        <w:t xml:space="preserve"> 32, 707-719, DOI: 10.1029/95WR03642.</w:t>
      </w:r>
    </w:p>
    <w:p w14:paraId="0F69644B" w14:textId="77777777" w:rsidR="007C6F17" w:rsidRPr="00023D70" w:rsidRDefault="007C6F17" w:rsidP="007A5F81">
      <w:pPr>
        <w:pStyle w:val="References"/>
        <w:spacing w:before="0" w:line="473" w:lineRule="auto"/>
        <w:jc w:val="both"/>
        <w:rPr>
          <w:lang w:val="en-US"/>
        </w:rPr>
      </w:pPr>
      <w:r w:rsidRPr="00023D70">
        <w:rPr>
          <w:lang w:val="en-US"/>
        </w:rPr>
        <w:t>Bataille, C.</w:t>
      </w:r>
      <w:r>
        <w:rPr>
          <w:lang w:val="en-US"/>
        </w:rPr>
        <w:t xml:space="preserve"> </w:t>
      </w:r>
      <w:r w:rsidRPr="00023D70">
        <w:rPr>
          <w:lang w:val="en-US"/>
        </w:rPr>
        <w:t>P., Crowley, B.</w:t>
      </w:r>
      <w:r>
        <w:rPr>
          <w:lang w:val="en-US"/>
        </w:rPr>
        <w:t xml:space="preserve"> </w:t>
      </w:r>
      <w:r w:rsidRPr="00023D70">
        <w:rPr>
          <w:lang w:val="en-US"/>
        </w:rPr>
        <w:t>E., Wooller, M.</w:t>
      </w:r>
      <w:r>
        <w:rPr>
          <w:lang w:val="en-US"/>
        </w:rPr>
        <w:t xml:space="preserve"> </w:t>
      </w:r>
      <w:r w:rsidRPr="00023D70">
        <w:rPr>
          <w:lang w:val="en-US"/>
        </w:rPr>
        <w:t>J.</w:t>
      </w:r>
      <w:r>
        <w:rPr>
          <w:lang w:val="en-US"/>
        </w:rPr>
        <w:t>,</w:t>
      </w:r>
      <w:r w:rsidRPr="00023D70">
        <w:rPr>
          <w:lang w:val="en-US"/>
        </w:rPr>
        <w:t xml:space="preserve"> and Bowen, G.</w:t>
      </w:r>
      <w:r>
        <w:rPr>
          <w:lang w:val="en-US"/>
        </w:rPr>
        <w:t xml:space="preserve"> </w:t>
      </w:r>
      <w:r w:rsidRPr="00023D70">
        <w:rPr>
          <w:lang w:val="en-US"/>
        </w:rPr>
        <w:t xml:space="preserve">J. </w:t>
      </w:r>
      <w:r>
        <w:rPr>
          <w:lang w:val="en-US"/>
        </w:rPr>
        <w:t>(</w:t>
      </w:r>
      <w:r w:rsidRPr="00023D70">
        <w:rPr>
          <w:lang w:val="en-US"/>
        </w:rPr>
        <w:t>2020</w:t>
      </w:r>
      <w:r>
        <w:rPr>
          <w:lang w:val="en-US"/>
        </w:rPr>
        <w:t>),</w:t>
      </w:r>
      <w:r w:rsidRPr="00023D70">
        <w:rPr>
          <w:lang w:val="en-US"/>
        </w:rPr>
        <w:t xml:space="preserve"> </w:t>
      </w:r>
      <w:r>
        <w:rPr>
          <w:lang w:val="en-US"/>
        </w:rPr>
        <w:t>“</w:t>
      </w:r>
      <w:r w:rsidRPr="00023D70">
        <w:rPr>
          <w:lang w:val="en-US"/>
        </w:rPr>
        <w:t xml:space="preserve">Advances in </w:t>
      </w:r>
      <w:r w:rsidRPr="00590667">
        <w:rPr>
          <w:lang w:val="en-US"/>
        </w:rPr>
        <w:t>Global Bioavailable Strontium Isoscapes</w:t>
      </w:r>
      <w:r>
        <w:rPr>
          <w:lang w:val="en-US"/>
        </w:rPr>
        <w:t>,”</w:t>
      </w:r>
      <w:r w:rsidRPr="00590667">
        <w:rPr>
          <w:lang w:val="en-US"/>
        </w:rPr>
        <w:t xml:space="preserve"> </w:t>
      </w:r>
      <w:r w:rsidRPr="00023D70">
        <w:rPr>
          <w:i/>
          <w:iCs/>
          <w:lang w:val="en-US"/>
        </w:rPr>
        <w:t>Palaeogeography, Palaeoclimatology, Palaeoecology</w:t>
      </w:r>
      <w:r w:rsidRPr="00023D70">
        <w:rPr>
          <w:lang w:val="en-US"/>
        </w:rPr>
        <w:t>, 555, 109849.</w:t>
      </w:r>
    </w:p>
    <w:p w14:paraId="59393908" w14:textId="77777777" w:rsidR="007C6F17" w:rsidRPr="00023D70" w:rsidRDefault="007C6F17" w:rsidP="007A5F81">
      <w:pPr>
        <w:pStyle w:val="References"/>
        <w:spacing w:before="0" w:line="473" w:lineRule="auto"/>
        <w:jc w:val="both"/>
        <w:rPr>
          <w:lang w:val="en-US"/>
        </w:rPr>
      </w:pPr>
      <w:r w:rsidRPr="00023D70">
        <w:rPr>
          <w:lang w:val="en-US"/>
        </w:rPr>
        <w:t>Bentl</w:t>
      </w:r>
      <w:r>
        <w:rPr>
          <w:lang w:val="en-US"/>
        </w:rPr>
        <w:t>e</w:t>
      </w:r>
      <w:r w:rsidRPr="00023D70">
        <w:rPr>
          <w:lang w:val="en-US"/>
        </w:rPr>
        <w:t>y</w:t>
      </w:r>
      <w:r>
        <w:rPr>
          <w:lang w:val="en-US"/>
        </w:rPr>
        <w:t>,</w:t>
      </w:r>
      <w:r w:rsidRPr="00023D70">
        <w:rPr>
          <w:lang w:val="en-US"/>
        </w:rPr>
        <w:t xml:space="preserve"> R. A. (2006), “Strontium Isotopes from the Earth to the Archaeological Skeleton: A Review,” </w:t>
      </w:r>
      <w:r w:rsidRPr="00023D70">
        <w:rPr>
          <w:i/>
          <w:iCs/>
          <w:lang w:val="en-US"/>
        </w:rPr>
        <w:t>Journal of Archaeological Method and Theory,</w:t>
      </w:r>
      <w:r w:rsidRPr="00023D70">
        <w:rPr>
          <w:lang w:val="en-US"/>
        </w:rPr>
        <w:t xml:space="preserve"> 13, 135-187, DOI: 10.1007/s10816-006-9009-x.</w:t>
      </w:r>
    </w:p>
    <w:p w14:paraId="034DD30F" w14:textId="5E2BDF9F" w:rsidR="007C6F17" w:rsidRPr="00023D70" w:rsidRDefault="007C6F17" w:rsidP="007A5F81">
      <w:pPr>
        <w:pStyle w:val="References"/>
        <w:spacing w:before="0" w:line="473" w:lineRule="auto"/>
        <w:jc w:val="both"/>
        <w:rPr>
          <w:lang w:val="en-US"/>
        </w:rPr>
      </w:pPr>
      <w:r w:rsidRPr="00023D70">
        <w:rPr>
          <w:lang w:val="en-US"/>
        </w:rPr>
        <w:t>Goede, A., McCulloch, M., McDermott, F., and Hawkesworth, C. (199</w:t>
      </w:r>
      <w:r w:rsidR="001E51E3">
        <w:rPr>
          <w:lang w:val="en-US"/>
        </w:rPr>
        <w:t>8</w:t>
      </w:r>
      <w:r w:rsidRPr="00023D70">
        <w:rPr>
          <w:lang w:val="en-US"/>
        </w:rPr>
        <w:t xml:space="preserve">), “Aeolian Contribution to Strontium and Strontium Isotope Variations in a Tasmanian Speleothem,” </w:t>
      </w:r>
      <w:r w:rsidRPr="00023D70">
        <w:rPr>
          <w:i/>
          <w:iCs/>
          <w:lang w:val="en-US"/>
        </w:rPr>
        <w:t>The Holocene</w:t>
      </w:r>
      <w:r w:rsidRPr="00023D70">
        <w:rPr>
          <w:lang w:val="en-US"/>
        </w:rPr>
        <w:t>, 9, 715-722.</w:t>
      </w:r>
    </w:p>
    <w:p w14:paraId="5BA6902F" w14:textId="77777777" w:rsidR="007C6F17" w:rsidRPr="00023D70" w:rsidRDefault="007C6F17" w:rsidP="007A5F81">
      <w:pPr>
        <w:pStyle w:val="References"/>
        <w:spacing w:before="0" w:line="473" w:lineRule="auto"/>
        <w:jc w:val="both"/>
        <w:rPr>
          <w:lang w:val="en-US"/>
        </w:rPr>
      </w:pPr>
      <w:r w:rsidRPr="00023D70">
        <w:rPr>
          <w:lang w:val="en-US"/>
        </w:rPr>
        <w:lastRenderedPageBreak/>
        <w:t>Graustein, W. C. (1989</w:t>
      </w:r>
      <w:r>
        <w:rPr>
          <w:lang w:val="en-US"/>
        </w:rPr>
        <w:t>),</w:t>
      </w:r>
      <w:r w:rsidRPr="00023D70">
        <w:rPr>
          <w:lang w:val="en-US"/>
        </w:rPr>
        <w:t xml:space="preserve"> </w:t>
      </w:r>
      <w:r>
        <w:rPr>
          <w:lang w:val="en-US"/>
        </w:rPr>
        <w:t>“</w:t>
      </w:r>
      <w:r w:rsidRPr="00023D70">
        <w:rPr>
          <w:vertAlign w:val="superscript"/>
          <w:lang w:val="en-US"/>
        </w:rPr>
        <w:t>87</w:t>
      </w:r>
      <w:r w:rsidRPr="00023D70">
        <w:rPr>
          <w:lang w:val="en-US"/>
        </w:rPr>
        <w:t>Sr/</w:t>
      </w:r>
      <w:r w:rsidRPr="00023D70">
        <w:rPr>
          <w:vertAlign w:val="superscript"/>
          <w:lang w:val="en-US"/>
        </w:rPr>
        <w:t>86</w:t>
      </w:r>
      <w:r w:rsidRPr="00023D70">
        <w:rPr>
          <w:lang w:val="en-US"/>
        </w:rPr>
        <w:t xml:space="preserve">Sr </w:t>
      </w:r>
      <w:r>
        <w:rPr>
          <w:lang w:val="en-US"/>
        </w:rPr>
        <w:t>R</w:t>
      </w:r>
      <w:r w:rsidRPr="00023D70">
        <w:rPr>
          <w:lang w:val="en-US"/>
        </w:rPr>
        <w:t xml:space="preserve">atios </w:t>
      </w:r>
      <w:r>
        <w:rPr>
          <w:lang w:val="en-US"/>
        </w:rPr>
        <w:t>M</w:t>
      </w:r>
      <w:r w:rsidRPr="00023D70">
        <w:rPr>
          <w:lang w:val="en-US"/>
        </w:rPr>
        <w:t xml:space="preserve">easure the </w:t>
      </w:r>
      <w:r>
        <w:rPr>
          <w:lang w:val="en-US"/>
        </w:rPr>
        <w:t>S</w:t>
      </w:r>
      <w:r w:rsidRPr="00023D70">
        <w:rPr>
          <w:lang w:val="en-US"/>
        </w:rPr>
        <w:t xml:space="preserve">ources and </w:t>
      </w:r>
      <w:r w:rsidRPr="00590667">
        <w:rPr>
          <w:lang w:val="en-US"/>
        </w:rPr>
        <w:t xml:space="preserve">Flow </w:t>
      </w:r>
      <w:r>
        <w:rPr>
          <w:lang w:val="en-US"/>
        </w:rPr>
        <w:t>o</w:t>
      </w:r>
      <w:r w:rsidRPr="00590667">
        <w:rPr>
          <w:lang w:val="en-US"/>
        </w:rPr>
        <w:t xml:space="preserve">f Strontium </w:t>
      </w:r>
      <w:r>
        <w:rPr>
          <w:lang w:val="en-US"/>
        </w:rPr>
        <w:t>i</w:t>
      </w:r>
      <w:r w:rsidRPr="00590667">
        <w:rPr>
          <w:lang w:val="en-US"/>
        </w:rPr>
        <w:t>n Terrestrial Ecosystem</w:t>
      </w:r>
      <w:r w:rsidRPr="00023D70">
        <w:rPr>
          <w:lang w:val="en-US"/>
        </w:rPr>
        <w:t>s,</w:t>
      </w:r>
      <w:r>
        <w:rPr>
          <w:lang w:val="en-US"/>
        </w:rPr>
        <w:t>”</w:t>
      </w:r>
      <w:r w:rsidRPr="00023D70">
        <w:rPr>
          <w:lang w:val="en-US"/>
        </w:rPr>
        <w:t xml:space="preserve"> </w:t>
      </w:r>
      <w:r>
        <w:rPr>
          <w:lang w:val="en-US"/>
        </w:rPr>
        <w:t>I</w:t>
      </w:r>
      <w:r w:rsidRPr="00023D70">
        <w:rPr>
          <w:lang w:val="en-US"/>
        </w:rPr>
        <w:t xml:space="preserve">n </w:t>
      </w:r>
      <w:r w:rsidRPr="00023D70">
        <w:rPr>
          <w:i/>
          <w:iCs/>
          <w:lang w:val="en-US"/>
        </w:rPr>
        <w:t>Stable Isotopes in Ecological Research</w:t>
      </w:r>
      <w:r w:rsidRPr="00023D70">
        <w:rPr>
          <w:lang w:val="en-US"/>
        </w:rPr>
        <w:t>,</w:t>
      </w:r>
      <w:r>
        <w:rPr>
          <w:lang w:val="en-US"/>
        </w:rPr>
        <w:t xml:space="preserve"> </w:t>
      </w:r>
      <w:r w:rsidRPr="00023D70">
        <w:rPr>
          <w:lang w:val="en-US"/>
        </w:rPr>
        <w:t>ed</w:t>
      </w:r>
      <w:r>
        <w:rPr>
          <w:lang w:val="en-US"/>
        </w:rPr>
        <w:t>s.</w:t>
      </w:r>
      <w:r w:rsidRPr="00023D70">
        <w:rPr>
          <w:lang w:val="en-US"/>
        </w:rPr>
        <w:t xml:space="preserve"> P. W. Rundel, J. R. Ehleringer, and K. A. Nagy</w:t>
      </w:r>
      <w:r>
        <w:rPr>
          <w:lang w:val="en-US"/>
        </w:rPr>
        <w:t>. New York:</w:t>
      </w:r>
      <w:r w:rsidRPr="00023D70">
        <w:rPr>
          <w:lang w:val="en-US"/>
        </w:rPr>
        <w:t xml:space="preserve"> Springer-Verlag</w:t>
      </w:r>
      <w:r>
        <w:rPr>
          <w:lang w:val="en-US"/>
        </w:rPr>
        <w:t xml:space="preserve">, pp. </w:t>
      </w:r>
      <w:r w:rsidRPr="00C04E07">
        <w:rPr>
          <w:lang w:val="en-US"/>
        </w:rPr>
        <w:t>491-512</w:t>
      </w:r>
      <w:r w:rsidRPr="00023D70">
        <w:rPr>
          <w:lang w:val="en-US"/>
        </w:rPr>
        <w:t>.</w:t>
      </w:r>
    </w:p>
    <w:p w14:paraId="4458B22C" w14:textId="77777777" w:rsidR="007C6F17" w:rsidRPr="00023D70" w:rsidRDefault="007C6F17" w:rsidP="007A5F81">
      <w:pPr>
        <w:pStyle w:val="References"/>
        <w:spacing w:before="0" w:line="473" w:lineRule="auto"/>
        <w:jc w:val="both"/>
        <w:rPr>
          <w:lang w:val="en-US"/>
        </w:rPr>
      </w:pPr>
      <w:r w:rsidRPr="00023D70">
        <w:rPr>
          <w:lang w:val="en-US"/>
        </w:rPr>
        <w:t>Horstwood, M.</w:t>
      </w:r>
      <w:r>
        <w:rPr>
          <w:lang w:val="en-US"/>
        </w:rPr>
        <w:t xml:space="preserve"> </w:t>
      </w:r>
      <w:r w:rsidRPr="00023D70">
        <w:rPr>
          <w:lang w:val="en-US"/>
        </w:rPr>
        <w:t>S.</w:t>
      </w:r>
      <w:r>
        <w:rPr>
          <w:lang w:val="en-US"/>
        </w:rPr>
        <w:t xml:space="preserve"> </w:t>
      </w:r>
      <w:r w:rsidRPr="00023D70">
        <w:rPr>
          <w:lang w:val="en-US"/>
        </w:rPr>
        <w:t>A., Evans, J.</w:t>
      </w:r>
      <w:r>
        <w:rPr>
          <w:lang w:val="en-US"/>
        </w:rPr>
        <w:t xml:space="preserve"> </w:t>
      </w:r>
      <w:r w:rsidRPr="00023D70">
        <w:rPr>
          <w:lang w:val="en-US"/>
        </w:rPr>
        <w:t>A.</w:t>
      </w:r>
      <w:r>
        <w:rPr>
          <w:lang w:val="en-US"/>
        </w:rPr>
        <w:t>,</w:t>
      </w:r>
      <w:r w:rsidRPr="00023D70">
        <w:rPr>
          <w:lang w:val="en-US"/>
        </w:rPr>
        <w:t xml:space="preserve"> and Montgomery, J. </w:t>
      </w:r>
      <w:r>
        <w:rPr>
          <w:lang w:val="en-US"/>
        </w:rPr>
        <w:t>(</w:t>
      </w:r>
      <w:r w:rsidRPr="00023D70">
        <w:rPr>
          <w:lang w:val="en-US"/>
        </w:rPr>
        <w:t>2008</w:t>
      </w:r>
      <w:r>
        <w:rPr>
          <w:lang w:val="en-US"/>
        </w:rPr>
        <w:t>),</w:t>
      </w:r>
      <w:r w:rsidRPr="00023D70">
        <w:rPr>
          <w:lang w:val="en-US"/>
        </w:rPr>
        <w:t xml:space="preserve"> </w:t>
      </w:r>
      <w:r>
        <w:rPr>
          <w:lang w:val="en-US"/>
        </w:rPr>
        <w:t>“</w:t>
      </w:r>
      <w:r w:rsidRPr="00023D70">
        <w:rPr>
          <w:lang w:val="en-US"/>
        </w:rPr>
        <w:t xml:space="preserve">Determination of Sr </w:t>
      </w:r>
      <w:r w:rsidRPr="00590667">
        <w:rPr>
          <w:lang w:val="en-US"/>
        </w:rPr>
        <w:t xml:space="preserve">Isotopes </w:t>
      </w:r>
      <w:r>
        <w:rPr>
          <w:lang w:val="en-US"/>
        </w:rPr>
        <w:t>i</w:t>
      </w:r>
      <w:r w:rsidRPr="00590667">
        <w:rPr>
          <w:lang w:val="en-US"/>
        </w:rPr>
        <w:t xml:space="preserve">n Calcium Phosphates Using Laser Ablation Inductively Coupled Plasma Mass Spectrometry and their Application </w:t>
      </w:r>
      <w:r>
        <w:rPr>
          <w:lang w:val="en-US"/>
        </w:rPr>
        <w:t>t</w:t>
      </w:r>
      <w:r w:rsidRPr="00590667">
        <w:rPr>
          <w:lang w:val="en-US"/>
        </w:rPr>
        <w:t>o Archaeological Tooth Enamel</w:t>
      </w:r>
      <w:r>
        <w:rPr>
          <w:lang w:val="en-US"/>
        </w:rPr>
        <w:t>,”</w:t>
      </w:r>
      <w:r w:rsidRPr="00023D70">
        <w:rPr>
          <w:lang w:val="en-US"/>
        </w:rPr>
        <w:t xml:space="preserve"> </w:t>
      </w:r>
      <w:r w:rsidRPr="00023D70">
        <w:rPr>
          <w:i/>
          <w:iCs/>
          <w:lang w:val="en-US"/>
        </w:rPr>
        <w:t>Geochimica et Cosmochimica Acta</w:t>
      </w:r>
      <w:r w:rsidRPr="00023D70">
        <w:rPr>
          <w:lang w:val="en-US"/>
        </w:rPr>
        <w:t>, 72,</w:t>
      </w:r>
      <w:r>
        <w:rPr>
          <w:lang w:val="en-US"/>
        </w:rPr>
        <w:t xml:space="preserve"> </w:t>
      </w:r>
      <w:r w:rsidRPr="00023D70">
        <w:rPr>
          <w:lang w:val="en-US"/>
        </w:rPr>
        <w:t>5659-5674</w:t>
      </w:r>
      <w:r>
        <w:rPr>
          <w:lang w:val="en-US"/>
        </w:rPr>
        <w:t>, DOI:</w:t>
      </w:r>
      <w:r w:rsidRPr="009A1F77">
        <w:t xml:space="preserve"> </w:t>
      </w:r>
      <w:r w:rsidRPr="009A1F77">
        <w:rPr>
          <w:lang w:val="en-US"/>
        </w:rPr>
        <w:t>10.1016/j.gca.2008.08.016</w:t>
      </w:r>
      <w:r>
        <w:rPr>
          <w:lang w:val="en-US"/>
        </w:rPr>
        <w:t>.</w:t>
      </w:r>
    </w:p>
    <w:p w14:paraId="19B8232B" w14:textId="77777777" w:rsidR="007C6F17" w:rsidRPr="00023D70" w:rsidRDefault="007C6F17" w:rsidP="007A5F81">
      <w:pPr>
        <w:pStyle w:val="References"/>
        <w:spacing w:before="0" w:line="473" w:lineRule="auto"/>
        <w:jc w:val="both"/>
        <w:rPr>
          <w:lang w:val="en-US"/>
        </w:rPr>
      </w:pPr>
      <w:r w:rsidRPr="00023D70">
        <w:rPr>
          <w:lang w:val="en-US"/>
        </w:rPr>
        <w:t xml:space="preserve">Isles, P. D. F. (2020), “The Misuse of Ratios in Ecological Stoichiometry,” </w:t>
      </w:r>
      <w:r w:rsidRPr="00023D70">
        <w:rPr>
          <w:i/>
          <w:iCs/>
          <w:lang w:val="en-US"/>
        </w:rPr>
        <w:t>Ecology</w:t>
      </w:r>
      <w:r w:rsidRPr="00023D70">
        <w:rPr>
          <w:lang w:val="en-US"/>
        </w:rPr>
        <w:t>, 101, 1-7.</w:t>
      </w:r>
    </w:p>
    <w:p w14:paraId="4829F2A6" w14:textId="77777777" w:rsidR="007C6F17" w:rsidRPr="00023D70" w:rsidRDefault="007C6F17" w:rsidP="007A5F81">
      <w:pPr>
        <w:pStyle w:val="References"/>
        <w:spacing w:before="0" w:line="473" w:lineRule="auto"/>
        <w:jc w:val="both"/>
        <w:rPr>
          <w:lang w:val="en-US"/>
        </w:rPr>
      </w:pPr>
      <w:r w:rsidRPr="00023D70">
        <w:rPr>
          <w:lang w:val="en-US"/>
        </w:rPr>
        <w:t xml:space="preserve">Jackson, D. A., Harvey, H. H., and Somers, K. M. (1990), “Ratios in Aquatic Sciences: Statistical Shortcomings with Mean Depth and the Morphoedaphic Index,” </w:t>
      </w:r>
      <w:r w:rsidRPr="00023D70">
        <w:rPr>
          <w:i/>
          <w:iCs/>
          <w:lang w:val="en-US"/>
        </w:rPr>
        <w:t>Canadian Journal Fisheries and Aquatic Sciences</w:t>
      </w:r>
      <w:r w:rsidRPr="00023D70">
        <w:rPr>
          <w:lang w:val="en-US"/>
        </w:rPr>
        <w:t>, 47, 1788-1795, DOI: 10.1139/f90-203.</w:t>
      </w:r>
    </w:p>
    <w:p w14:paraId="0C4EB5D5" w14:textId="77777777" w:rsidR="007C6F17" w:rsidRPr="00023D70" w:rsidRDefault="007C6F17" w:rsidP="007A5F81">
      <w:pPr>
        <w:pStyle w:val="References"/>
        <w:spacing w:before="0" w:line="473" w:lineRule="auto"/>
        <w:jc w:val="both"/>
        <w:rPr>
          <w:lang w:val="en-US"/>
        </w:rPr>
      </w:pPr>
      <w:r w:rsidRPr="00023D70">
        <w:rPr>
          <w:lang w:val="en-US"/>
        </w:rPr>
        <w:t xml:space="preserve">Jasienski, M. and Bazzaz, F. A. (1999), “The Fallacy of Ratios and the Testability of Models in Biology,” </w:t>
      </w:r>
      <w:r w:rsidRPr="00023D70">
        <w:rPr>
          <w:i/>
          <w:iCs/>
          <w:lang w:val="en-US"/>
        </w:rPr>
        <w:t>Oikos</w:t>
      </w:r>
      <w:r w:rsidRPr="00023D70">
        <w:rPr>
          <w:lang w:val="en-US"/>
        </w:rPr>
        <w:t>, 84, 321-326, DOI: 10.2307/3546729.</w:t>
      </w:r>
    </w:p>
    <w:p w14:paraId="42A25298" w14:textId="77777777" w:rsidR="007C6F17" w:rsidRDefault="007C6F17" w:rsidP="007A5F81">
      <w:pPr>
        <w:pStyle w:val="References"/>
        <w:spacing w:before="0" w:line="473" w:lineRule="auto"/>
        <w:jc w:val="both"/>
        <w:rPr>
          <w:lang w:val="en-US"/>
        </w:rPr>
      </w:pPr>
      <w:r w:rsidRPr="00023D70">
        <w:rPr>
          <w:lang w:val="en-US"/>
        </w:rPr>
        <w:t xml:space="preserve">Keeling, C. D. (1958), “The Concentration and Isotopic Abundances of Atmospheric Carbon Dioxide in Rural Areas,” </w:t>
      </w:r>
      <w:r w:rsidRPr="00023D70">
        <w:rPr>
          <w:i/>
          <w:iCs/>
          <w:lang w:val="en-US"/>
        </w:rPr>
        <w:t>Geochimica et Cosmochimica</w:t>
      </w:r>
      <w:r w:rsidRPr="00023D70">
        <w:rPr>
          <w:lang w:val="en-US"/>
        </w:rPr>
        <w:t>, 13, 322-334, DOI: 10.1016/0016-7037(58)90033-4.</w:t>
      </w:r>
    </w:p>
    <w:p w14:paraId="68475D1E" w14:textId="77777777" w:rsidR="007C6F17" w:rsidRDefault="007C6F17" w:rsidP="007A5F81">
      <w:r w:rsidRPr="005325CC">
        <w:t xml:space="preserve">Kowalik, N., Anczkiewicz, R., Müller, W., Spötl, C., Bondioli, L., Nava, A., Wojtal, P., </w:t>
      </w:r>
      <w:r>
        <w:tab/>
      </w:r>
      <w:r w:rsidRPr="005325CC">
        <w:t xml:space="preserve">Wilczyński, J., Koziarska, M. and Matyszczak, M., </w:t>
      </w:r>
      <w:r>
        <w:t>(</w:t>
      </w:r>
      <w:r w:rsidRPr="005325CC">
        <w:t>2023</w:t>
      </w:r>
      <w:r>
        <w:t>),</w:t>
      </w:r>
      <w:r w:rsidRPr="005325CC">
        <w:t xml:space="preserve"> </w:t>
      </w:r>
      <w:r>
        <w:t>“</w:t>
      </w:r>
      <w:r w:rsidRPr="005325CC">
        <w:t xml:space="preserve">Revealing seasonal </w:t>
      </w:r>
    </w:p>
    <w:p w14:paraId="14CC482E" w14:textId="48B70B90" w:rsidR="007C6F17" w:rsidRPr="00023D70" w:rsidRDefault="007C6F17" w:rsidP="007A5F81">
      <w:r>
        <w:tab/>
      </w:r>
      <w:r w:rsidR="007A5F81">
        <w:tab/>
      </w:r>
      <w:r w:rsidRPr="005325CC">
        <w:t xml:space="preserve">woolly mammoth migration with spatially-resolved trace element, Sr and O </w:t>
      </w:r>
      <w:r w:rsidR="007A5F81">
        <w:tab/>
      </w:r>
      <w:r w:rsidRPr="005325CC">
        <w:t xml:space="preserve">isotopic </w:t>
      </w:r>
      <w:r>
        <w:tab/>
      </w:r>
      <w:r w:rsidRPr="005325CC">
        <w:t>records of molar enamel</w:t>
      </w:r>
      <w:r>
        <w:t>,”</w:t>
      </w:r>
      <w:r w:rsidRPr="005325CC">
        <w:t xml:space="preserve"> </w:t>
      </w:r>
      <w:r w:rsidRPr="005325CC">
        <w:rPr>
          <w:i/>
          <w:iCs/>
        </w:rPr>
        <w:t>Quaternary Science Reviews</w:t>
      </w:r>
      <w:r w:rsidRPr="005325CC">
        <w:t xml:space="preserve">, </w:t>
      </w:r>
      <w:r w:rsidRPr="005325CC">
        <w:rPr>
          <w:i/>
          <w:iCs/>
        </w:rPr>
        <w:t>306</w:t>
      </w:r>
      <w:r w:rsidRPr="005325CC">
        <w:t>, p.108036</w:t>
      </w:r>
      <w:r>
        <w:t xml:space="preserve">, </w:t>
      </w:r>
      <w:r w:rsidR="007A5F81">
        <w:tab/>
      </w:r>
      <w:r>
        <w:t xml:space="preserve">DOI: </w:t>
      </w:r>
      <w:r>
        <w:tab/>
        <w:t>10.1016/108036 0277-3791</w:t>
      </w:r>
    </w:p>
    <w:p w14:paraId="7BF9BEFC" w14:textId="77777777" w:rsidR="007C6F17" w:rsidRDefault="007C6F17" w:rsidP="007A5F81">
      <w:pPr>
        <w:pStyle w:val="References"/>
        <w:spacing w:before="0" w:line="473" w:lineRule="auto"/>
        <w:jc w:val="both"/>
        <w:rPr>
          <w:lang w:val="en-US"/>
        </w:rPr>
      </w:pPr>
      <w:r w:rsidRPr="00023D70">
        <w:rPr>
          <w:lang w:val="en-US"/>
        </w:rPr>
        <w:t xml:space="preserve">Kratochvil, L., and Fleger, J. (2009), “Differences in the 2nd to 4th Digit Length Ratio in Humans Reflect Shifts along the Common Allometric Line,” </w:t>
      </w:r>
      <w:r w:rsidRPr="00023D70">
        <w:rPr>
          <w:i/>
          <w:iCs/>
          <w:lang w:val="en-US"/>
        </w:rPr>
        <w:t>Biology letters</w:t>
      </w:r>
      <w:r w:rsidRPr="00023D70">
        <w:rPr>
          <w:lang w:val="en-US"/>
        </w:rPr>
        <w:t>, 5, 643-646, DOI: 10.1098/rsbl.2009.0346.</w:t>
      </w:r>
    </w:p>
    <w:p w14:paraId="09E1E40D" w14:textId="1C9FD80C" w:rsidR="00081057" w:rsidRPr="00023D70" w:rsidRDefault="00081057" w:rsidP="00387D69">
      <w:pPr>
        <w:pStyle w:val="References"/>
        <w:spacing w:before="0" w:line="480" w:lineRule="auto"/>
        <w:jc w:val="both"/>
        <w:rPr>
          <w:lang w:val="en-US"/>
        </w:rPr>
      </w:pPr>
      <w:r w:rsidRPr="00BC76FD">
        <w:rPr>
          <w:lang w:val="en-US"/>
        </w:rPr>
        <w:lastRenderedPageBreak/>
        <w:t>Li, H. C., Ku, T. L., You, C F., Cheng, H., Edwards, R. L., Ma, Z. B., Tsai, W. S., and Li, M. D. (2005), “</w:t>
      </w:r>
      <w:r w:rsidRPr="00BC76FD">
        <w:rPr>
          <w:vertAlign w:val="superscript"/>
          <w:lang w:val="en-US"/>
        </w:rPr>
        <w:t>87</w:t>
      </w:r>
      <w:r w:rsidRPr="00BC76FD">
        <w:rPr>
          <w:lang w:val="en-US"/>
        </w:rPr>
        <w:t>Sr/</w:t>
      </w:r>
      <w:r w:rsidRPr="00BC76FD">
        <w:rPr>
          <w:vertAlign w:val="superscript"/>
          <w:lang w:val="en-US"/>
        </w:rPr>
        <w:t>86</w:t>
      </w:r>
      <w:r w:rsidRPr="00BC76FD">
        <w:rPr>
          <w:lang w:val="en-US"/>
        </w:rPr>
        <w:t xml:space="preserve">Sr and Sr/Ca in Speleothems for Paleoclimate Reconstruction in Central China between 70 and 280 kyr ago,” </w:t>
      </w:r>
      <w:r w:rsidRPr="00BC76FD">
        <w:rPr>
          <w:i/>
          <w:iCs/>
          <w:lang w:val="en-US"/>
        </w:rPr>
        <w:t>Geochimica et Cosmochimica Acta</w:t>
      </w:r>
      <w:r w:rsidRPr="00BC76FD">
        <w:rPr>
          <w:lang w:val="en-US"/>
        </w:rPr>
        <w:t>, 69, 3933-3947, DOI: 10.1016/j.gca.2005.01.009.</w:t>
      </w:r>
    </w:p>
    <w:p w14:paraId="7F394475" w14:textId="77777777" w:rsidR="007C6F17" w:rsidRPr="00023D70" w:rsidRDefault="007C6F17" w:rsidP="007A5F81">
      <w:pPr>
        <w:pStyle w:val="References"/>
        <w:spacing w:before="0" w:line="473" w:lineRule="auto"/>
        <w:jc w:val="both"/>
        <w:rPr>
          <w:lang w:val="en-US"/>
        </w:rPr>
      </w:pPr>
      <w:r w:rsidRPr="00023D70">
        <w:rPr>
          <w:lang w:val="en-US"/>
        </w:rPr>
        <w:t xml:space="preserve">Montgomery, J., and Evans, J. A. (2006), “Immigrants on the Isle of Lewis - Combining Traditional Funerary and Modern Isotopic Evidence to Investigate Social Differentiation, Migration and Dietary Change in the Outer Hebrides of Scotland,” In </w:t>
      </w:r>
      <w:r w:rsidRPr="00023D70">
        <w:rPr>
          <w:i/>
          <w:iCs/>
          <w:lang w:val="en-US"/>
        </w:rPr>
        <w:t xml:space="preserve">Social Archaeology of Funerary Remains </w:t>
      </w:r>
      <w:r w:rsidRPr="00023D70">
        <w:rPr>
          <w:lang w:val="en-US"/>
        </w:rPr>
        <w:t xml:space="preserve">(pp. 123-142), eds. R. Gowland, and C. Knusel, Oxbow: Oxford. </w:t>
      </w:r>
    </w:p>
    <w:p w14:paraId="53043909" w14:textId="77777777" w:rsidR="007C6F17" w:rsidRDefault="007C6F17" w:rsidP="007A5F81">
      <w:pPr>
        <w:pStyle w:val="References"/>
        <w:spacing w:before="0" w:line="473" w:lineRule="auto"/>
        <w:jc w:val="both"/>
        <w:rPr>
          <w:lang w:val="en-US"/>
        </w:rPr>
      </w:pPr>
      <w:r w:rsidRPr="00023D70">
        <w:rPr>
          <w:lang w:val="en-US"/>
        </w:rPr>
        <w:t xml:space="preserve">Montgomery, J., Evans, J. A. and Cooper, R. E. (2005), “Resolving Archaeological Populations with Strontium Mixing Diagrams,” </w:t>
      </w:r>
      <w:r w:rsidRPr="00023D70">
        <w:rPr>
          <w:i/>
          <w:iCs/>
          <w:lang w:val="en-US"/>
        </w:rPr>
        <w:t>Geological Research Abstracts</w:t>
      </w:r>
      <w:r w:rsidRPr="00023D70">
        <w:rPr>
          <w:lang w:val="en-US"/>
        </w:rPr>
        <w:t>, 17, 10020.</w:t>
      </w:r>
    </w:p>
    <w:p w14:paraId="4623419E" w14:textId="7155D458" w:rsidR="006C2AE8" w:rsidRPr="006C2AE8" w:rsidRDefault="006C2AE8" w:rsidP="006C2AE8">
      <w:pPr>
        <w:pStyle w:val="EndNoteBibliography"/>
        <w:spacing w:after="0" w:line="480" w:lineRule="auto"/>
        <w:ind w:left="720" w:hanging="720"/>
        <w:contextualSpacing/>
        <w:rPr>
          <w:rFonts w:ascii="Times New Roman" w:hAnsi="Times New Roman"/>
        </w:rPr>
      </w:pPr>
      <w:r>
        <w:rPr>
          <w:rFonts w:ascii="Times New Roman" w:hAnsi="Times New Roman"/>
        </w:rPr>
        <w:t xml:space="preserve">Moots, K. Nguyen, C. P Nguyen C. Camacho, F., Lindstrom, D., and Righetti, T, L. (2024). A mathematical explanation for why ratio-based isotopic analyses are commonly misleading: Theory. Scientific Reports </w:t>
      </w:r>
      <w:r>
        <w:rPr>
          <w:rFonts w:ascii="Times New Roman" w:hAnsi="Times New Roman"/>
          <w:i/>
        </w:rPr>
        <w:t xml:space="preserve">this issue </w:t>
      </w:r>
      <w:r>
        <w:rPr>
          <w:rFonts w:ascii="Times New Roman" w:hAnsi="Times New Roman"/>
        </w:rPr>
        <w:t>.</w:t>
      </w:r>
    </w:p>
    <w:p w14:paraId="04D04CFC" w14:textId="77777777" w:rsidR="007C6F17" w:rsidRPr="00023D70" w:rsidRDefault="007C6F17" w:rsidP="007A5F81">
      <w:pPr>
        <w:pStyle w:val="References"/>
        <w:spacing w:before="0" w:line="473" w:lineRule="auto"/>
        <w:jc w:val="both"/>
        <w:rPr>
          <w:lang w:val="en-US"/>
        </w:rPr>
      </w:pPr>
      <w:r w:rsidRPr="00023D70">
        <w:rPr>
          <w:lang w:val="en-US"/>
        </w:rPr>
        <w:t>Muller, W., Fricke, H., Halliday, A.</w:t>
      </w:r>
      <w:r>
        <w:rPr>
          <w:lang w:val="en-US"/>
        </w:rPr>
        <w:t xml:space="preserve"> </w:t>
      </w:r>
      <w:r w:rsidRPr="00023D70">
        <w:rPr>
          <w:lang w:val="en-US"/>
        </w:rPr>
        <w:t>N., McCulloch, M.</w:t>
      </w:r>
      <w:r>
        <w:rPr>
          <w:lang w:val="en-US"/>
        </w:rPr>
        <w:t xml:space="preserve"> </w:t>
      </w:r>
      <w:r w:rsidRPr="00023D70">
        <w:rPr>
          <w:lang w:val="en-US"/>
        </w:rPr>
        <w:t>T. and Wartho, J.</w:t>
      </w:r>
      <w:r>
        <w:rPr>
          <w:lang w:val="en-US"/>
        </w:rPr>
        <w:t xml:space="preserve"> </w:t>
      </w:r>
      <w:r w:rsidRPr="00023D70">
        <w:rPr>
          <w:lang w:val="en-US"/>
        </w:rPr>
        <w:t xml:space="preserve">A. </w:t>
      </w:r>
      <w:r>
        <w:rPr>
          <w:lang w:val="en-US"/>
        </w:rPr>
        <w:t>(</w:t>
      </w:r>
      <w:r w:rsidRPr="00023D70">
        <w:rPr>
          <w:lang w:val="en-US"/>
        </w:rPr>
        <w:t>2003</w:t>
      </w:r>
      <w:r>
        <w:rPr>
          <w:lang w:val="en-US"/>
        </w:rPr>
        <w:t>),</w:t>
      </w:r>
      <w:r w:rsidRPr="00023D70">
        <w:rPr>
          <w:lang w:val="en-US"/>
        </w:rPr>
        <w:t xml:space="preserve"> </w:t>
      </w:r>
      <w:r>
        <w:rPr>
          <w:lang w:val="en-US"/>
        </w:rPr>
        <w:t>“</w:t>
      </w:r>
      <w:r w:rsidRPr="00023D70">
        <w:rPr>
          <w:lang w:val="en-US"/>
        </w:rPr>
        <w:t xml:space="preserve">Origin and migration of the Alpine Iceman. </w:t>
      </w:r>
      <w:r w:rsidRPr="00023D70">
        <w:rPr>
          <w:i/>
          <w:iCs/>
          <w:lang w:val="en-US"/>
        </w:rPr>
        <w:t>Science</w:t>
      </w:r>
      <w:r w:rsidRPr="00023D70">
        <w:rPr>
          <w:lang w:val="en-US"/>
        </w:rPr>
        <w:t>, 302, 862-866.</w:t>
      </w:r>
    </w:p>
    <w:p w14:paraId="462618CB" w14:textId="77777777" w:rsidR="007C6F17" w:rsidRPr="00023D70" w:rsidRDefault="007C6F17" w:rsidP="007A5F81">
      <w:pPr>
        <w:pStyle w:val="References"/>
        <w:spacing w:before="0" w:line="473" w:lineRule="auto"/>
        <w:jc w:val="both"/>
        <w:rPr>
          <w:lang w:val="en-US"/>
        </w:rPr>
      </w:pPr>
      <w:r w:rsidRPr="00023D70">
        <w:rPr>
          <w:lang w:val="en-US"/>
        </w:rPr>
        <w:t xml:space="preserve">Packard, G. C., and Boardman, T. J. (1998), “The Misuse of Indices and Percentages in Ecophysiological Research,” </w:t>
      </w:r>
      <w:r w:rsidRPr="00023D70">
        <w:rPr>
          <w:i/>
          <w:iCs/>
          <w:lang w:val="en-US"/>
        </w:rPr>
        <w:t>Physiological Zoology</w:t>
      </w:r>
      <w:r w:rsidRPr="00023D70">
        <w:rPr>
          <w:lang w:val="en-US"/>
        </w:rPr>
        <w:t>, 61, 1-9, DOI: 10.1086/physzool.61.1.30163730.</w:t>
      </w:r>
    </w:p>
    <w:p w14:paraId="006CC42C" w14:textId="77777777" w:rsidR="007C6F17" w:rsidRPr="00023D70" w:rsidRDefault="007C6F17" w:rsidP="007A5F81">
      <w:pPr>
        <w:pStyle w:val="References"/>
        <w:spacing w:before="0" w:line="473" w:lineRule="auto"/>
        <w:jc w:val="both"/>
        <w:rPr>
          <w:lang w:val="en-US"/>
        </w:rPr>
      </w:pPr>
      <w:r w:rsidRPr="00023D70">
        <w:rPr>
          <w:lang w:val="en-US"/>
        </w:rPr>
        <w:t xml:space="preserve">Righetti, T. L., Sandrock, D. R. Strik, B., Vasconcelos, C., Moreno, Y., Oretega-Farias, S., </w:t>
      </w:r>
      <w:r>
        <w:rPr>
          <w:lang w:val="en-US"/>
        </w:rPr>
        <w:t>et al</w:t>
      </w:r>
      <w:r w:rsidRPr="00023D70">
        <w:rPr>
          <w:lang w:val="en-US"/>
        </w:rPr>
        <w:t xml:space="preserve">. (2007), “Analysis of Ratio-Based Responses,” </w:t>
      </w:r>
      <w:r w:rsidRPr="00023D70">
        <w:rPr>
          <w:i/>
          <w:iCs/>
          <w:lang w:val="en-US"/>
        </w:rPr>
        <w:t>Journal of the American Society for Horticultural Science</w:t>
      </w:r>
      <w:r w:rsidRPr="00023D70">
        <w:rPr>
          <w:lang w:val="en-US"/>
        </w:rPr>
        <w:t>, 132, 3-13, DOI: 10.21273/JASHS.132.1.3.</w:t>
      </w:r>
    </w:p>
    <w:p w14:paraId="26135BF1" w14:textId="77777777" w:rsidR="007C6F17" w:rsidRPr="00023D70" w:rsidRDefault="007C6F17" w:rsidP="007A5F81">
      <w:pPr>
        <w:pStyle w:val="References"/>
        <w:spacing w:before="0" w:line="473" w:lineRule="auto"/>
        <w:jc w:val="both"/>
        <w:rPr>
          <w:lang w:val="en-US"/>
        </w:rPr>
      </w:pPr>
      <w:r w:rsidRPr="00023D70">
        <w:rPr>
          <w:lang w:val="en-US"/>
        </w:rPr>
        <w:t>West, J.</w:t>
      </w:r>
      <w:r>
        <w:rPr>
          <w:lang w:val="en-US"/>
        </w:rPr>
        <w:t xml:space="preserve"> </w:t>
      </w:r>
      <w:r w:rsidRPr="00023D70">
        <w:rPr>
          <w:lang w:val="en-US"/>
        </w:rPr>
        <w:t>B., Bowen, G.</w:t>
      </w:r>
      <w:r>
        <w:rPr>
          <w:lang w:val="en-US"/>
        </w:rPr>
        <w:t xml:space="preserve"> </w:t>
      </w:r>
      <w:r w:rsidRPr="00023D70">
        <w:rPr>
          <w:lang w:val="en-US"/>
        </w:rPr>
        <w:t>J., Dawson, T.</w:t>
      </w:r>
      <w:r>
        <w:rPr>
          <w:lang w:val="en-US"/>
        </w:rPr>
        <w:t xml:space="preserve"> </w:t>
      </w:r>
      <w:r w:rsidRPr="00023D70">
        <w:rPr>
          <w:lang w:val="en-US"/>
        </w:rPr>
        <w:t>E. and Tu, K.</w:t>
      </w:r>
      <w:r>
        <w:rPr>
          <w:lang w:val="en-US"/>
        </w:rPr>
        <w:t xml:space="preserve"> </w:t>
      </w:r>
      <w:r w:rsidRPr="00023D70">
        <w:rPr>
          <w:lang w:val="en-US"/>
        </w:rPr>
        <w:t>P.</w:t>
      </w:r>
      <w:r>
        <w:rPr>
          <w:lang w:val="en-US"/>
        </w:rPr>
        <w:t>,</w:t>
      </w:r>
      <w:r w:rsidRPr="00023D70">
        <w:rPr>
          <w:lang w:val="en-US"/>
        </w:rPr>
        <w:t xml:space="preserve"> eds. </w:t>
      </w:r>
      <w:r>
        <w:rPr>
          <w:lang w:val="en-US"/>
        </w:rPr>
        <w:t>(</w:t>
      </w:r>
      <w:r w:rsidRPr="00023D70">
        <w:rPr>
          <w:lang w:val="en-US"/>
        </w:rPr>
        <w:t>2009</w:t>
      </w:r>
      <w:r>
        <w:rPr>
          <w:lang w:val="en-US"/>
        </w:rPr>
        <w:t>),</w:t>
      </w:r>
      <w:r w:rsidRPr="00023D70">
        <w:rPr>
          <w:lang w:val="en-US"/>
        </w:rPr>
        <w:t xml:space="preserve"> </w:t>
      </w:r>
      <w:r w:rsidRPr="00023D70">
        <w:rPr>
          <w:i/>
          <w:iCs/>
          <w:lang w:val="en-US"/>
        </w:rPr>
        <w:t>Isoscapes</w:t>
      </w:r>
      <w:r w:rsidRPr="00590667">
        <w:rPr>
          <w:i/>
          <w:iCs/>
          <w:lang w:val="en-US"/>
        </w:rPr>
        <w:t xml:space="preserve">: Understanding Movement, Pattern, </w:t>
      </w:r>
      <w:r>
        <w:rPr>
          <w:i/>
          <w:iCs/>
          <w:lang w:val="en-US"/>
        </w:rPr>
        <w:t>a</w:t>
      </w:r>
      <w:r w:rsidRPr="00590667">
        <w:rPr>
          <w:i/>
          <w:iCs/>
          <w:lang w:val="en-US"/>
        </w:rPr>
        <w:t xml:space="preserve">nd Process </w:t>
      </w:r>
      <w:r>
        <w:rPr>
          <w:i/>
          <w:iCs/>
          <w:lang w:val="en-US"/>
        </w:rPr>
        <w:t>o</w:t>
      </w:r>
      <w:r w:rsidRPr="00590667">
        <w:rPr>
          <w:i/>
          <w:iCs/>
          <w:lang w:val="en-US"/>
        </w:rPr>
        <w:t xml:space="preserve">n </w:t>
      </w:r>
      <w:r w:rsidRPr="00023D70">
        <w:rPr>
          <w:i/>
          <w:iCs/>
          <w:lang w:val="en-US"/>
        </w:rPr>
        <w:t xml:space="preserve">Earth </w:t>
      </w:r>
      <w:r>
        <w:rPr>
          <w:i/>
          <w:iCs/>
          <w:lang w:val="en-US"/>
        </w:rPr>
        <w:t>t</w:t>
      </w:r>
      <w:r w:rsidRPr="00590667">
        <w:rPr>
          <w:i/>
          <w:iCs/>
          <w:lang w:val="en-US"/>
        </w:rPr>
        <w:t>hrough Isotope Mapping</w:t>
      </w:r>
      <w:r>
        <w:rPr>
          <w:lang w:val="en-US"/>
        </w:rPr>
        <w:t>,</w:t>
      </w:r>
      <w:r w:rsidRPr="00023D70">
        <w:rPr>
          <w:lang w:val="en-US"/>
        </w:rPr>
        <w:t xml:space="preserve"> </w:t>
      </w:r>
      <w:r>
        <w:rPr>
          <w:lang w:val="en-US"/>
        </w:rPr>
        <w:t xml:space="preserve">London UK: </w:t>
      </w:r>
      <w:r w:rsidRPr="00023D70">
        <w:rPr>
          <w:lang w:val="en-US"/>
        </w:rPr>
        <w:t>Springer Science &amp; Business Media.</w:t>
      </w:r>
    </w:p>
    <w:p w14:paraId="4FBAE353" w14:textId="77777777" w:rsidR="007C6F17" w:rsidRPr="00023D70" w:rsidRDefault="007C6F17" w:rsidP="007A5F81">
      <w:pPr>
        <w:pStyle w:val="References"/>
        <w:spacing w:before="0" w:line="473" w:lineRule="auto"/>
        <w:jc w:val="both"/>
        <w:rPr>
          <w:lang w:val="en-US"/>
        </w:rPr>
      </w:pPr>
      <w:r w:rsidRPr="00023D70">
        <w:rPr>
          <w:lang w:val="en-US"/>
        </w:rPr>
        <w:lastRenderedPageBreak/>
        <w:t xml:space="preserve">Whipkey, C. E., Capo, R. C., Chadwick, O. A., and Stewart, B. W. (2000), “The Importance of Sea Spray to the Cation Budget of a Coastal Hawaiian Soil: A Strontium Isotope Approach,” </w:t>
      </w:r>
      <w:r w:rsidRPr="00023D70">
        <w:rPr>
          <w:i/>
          <w:iCs/>
          <w:lang w:val="en-US"/>
        </w:rPr>
        <w:t>Chemical Geology,</w:t>
      </w:r>
      <w:r w:rsidRPr="00023D70">
        <w:rPr>
          <w:lang w:val="en-US"/>
        </w:rPr>
        <w:t xml:space="preserve"> 168, 37-48, DOI: 10.1016/S0009-2541(00)00187-X.</w:t>
      </w:r>
    </w:p>
    <w:p w14:paraId="4FAFB886" w14:textId="77777777" w:rsidR="007C6F17" w:rsidRPr="00023D70" w:rsidRDefault="007C6F17" w:rsidP="007A5F81">
      <w:pPr>
        <w:pStyle w:val="References"/>
        <w:spacing w:before="0" w:line="473" w:lineRule="auto"/>
        <w:jc w:val="both"/>
        <w:rPr>
          <w:lang w:val="en-US" w:eastAsia="en-US"/>
        </w:rPr>
      </w:pPr>
      <w:r w:rsidRPr="00023D70">
        <w:rPr>
          <w:lang w:val="en-US" w:eastAsia="en-US"/>
        </w:rPr>
        <w:t>Wooller, M.</w:t>
      </w:r>
      <w:r>
        <w:rPr>
          <w:lang w:val="en-US" w:eastAsia="en-US"/>
        </w:rPr>
        <w:t xml:space="preserve"> </w:t>
      </w:r>
      <w:r w:rsidRPr="00023D70">
        <w:rPr>
          <w:lang w:val="en-US" w:eastAsia="en-US"/>
        </w:rPr>
        <w:t>J., Bataille, C., Druckenmiller, P., Erickson, G.M., Groves, P., Haubenstock, N.,</w:t>
      </w:r>
      <w:r>
        <w:rPr>
          <w:lang w:val="en-US" w:eastAsia="en-US"/>
        </w:rPr>
        <w:t xml:space="preserve"> et al.</w:t>
      </w:r>
      <w:r w:rsidRPr="00023D70">
        <w:rPr>
          <w:lang w:val="en-US" w:eastAsia="en-US"/>
        </w:rPr>
        <w:t xml:space="preserve"> </w:t>
      </w:r>
      <w:r>
        <w:rPr>
          <w:lang w:val="en-US" w:eastAsia="en-US"/>
        </w:rPr>
        <w:t>(</w:t>
      </w:r>
      <w:r w:rsidRPr="00023D70">
        <w:rPr>
          <w:lang w:val="en-US" w:eastAsia="en-US"/>
        </w:rPr>
        <w:t>2021</w:t>
      </w:r>
      <w:r>
        <w:rPr>
          <w:lang w:val="en-US" w:eastAsia="en-US"/>
        </w:rPr>
        <w:t>),</w:t>
      </w:r>
      <w:r w:rsidRPr="00023D70">
        <w:rPr>
          <w:lang w:val="en-US" w:eastAsia="en-US"/>
        </w:rPr>
        <w:t xml:space="preserve"> </w:t>
      </w:r>
      <w:r>
        <w:rPr>
          <w:lang w:val="en-US" w:eastAsia="en-US"/>
        </w:rPr>
        <w:t>“</w:t>
      </w:r>
      <w:r w:rsidRPr="00023D70">
        <w:rPr>
          <w:lang w:val="en-US" w:eastAsia="en-US"/>
        </w:rPr>
        <w:t xml:space="preserve">Lifetime </w:t>
      </w:r>
      <w:r>
        <w:rPr>
          <w:lang w:val="en-US" w:eastAsia="en-US"/>
        </w:rPr>
        <w:t>M</w:t>
      </w:r>
      <w:r w:rsidRPr="00023D70">
        <w:rPr>
          <w:lang w:val="en-US" w:eastAsia="en-US"/>
        </w:rPr>
        <w:t xml:space="preserve">obility of an Arctic </w:t>
      </w:r>
      <w:r w:rsidRPr="00590667">
        <w:rPr>
          <w:lang w:val="en-US" w:eastAsia="en-US"/>
        </w:rPr>
        <w:t>Woolly Mammoth</w:t>
      </w:r>
      <w:r>
        <w:rPr>
          <w:lang w:val="en-US" w:eastAsia="en-US"/>
        </w:rPr>
        <w:t>,”</w:t>
      </w:r>
      <w:r w:rsidRPr="00023D70">
        <w:rPr>
          <w:lang w:val="en-US" w:eastAsia="en-US"/>
        </w:rPr>
        <w:t xml:space="preserve"> </w:t>
      </w:r>
      <w:r w:rsidRPr="00023D70">
        <w:rPr>
          <w:i/>
          <w:iCs/>
          <w:lang w:val="en-US" w:eastAsia="en-US"/>
        </w:rPr>
        <w:t>Science</w:t>
      </w:r>
      <w:r w:rsidRPr="00023D70">
        <w:rPr>
          <w:lang w:val="en-US" w:eastAsia="en-US"/>
        </w:rPr>
        <w:t>, 373, 806-808</w:t>
      </w:r>
      <w:r w:rsidRPr="00C04E07">
        <w:rPr>
          <w:lang w:val="en-US"/>
        </w:rPr>
        <w:t>, DOI:</w:t>
      </w:r>
      <w:r w:rsidRPr="00C42335">
        <w:t xml:space="preserve"> </w:t>
      </w:r>
      <w:r w:rsidRPr="00C42335">
        <w:rPr>
          <w:lang w:val="en-US" w:eastAsia="en-US"/>
        </w:rPr>
        <w:t>10.1126/science.abg1134</w:t>
      </w:r>
      <w:r>
        <w:rPr>
          <w:lang w:val="en-US" w:eastAsia="en-US"/>
        </w:rPr>
        <w:t>.</w:t>
      </w:r>
    </w:p>
    <w:sectPr w:rsidR="007C6F17" w:rsidRPr="00023D70">
      <w:footerReference w:type="even" r:id="rId39"/>
      <w:footerReference w:type="default" r:id="rId40"/>
      <w:footerReference w:type="first" r:id="rId41"/>
      <w:pgSz w:w="12240" w:h="15840"/>
      <w:pgMar w:top="1057" w:right="1537" w:bottom="9" w:left="149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426ED" w14:textId="77777777" w:rsidR="00E61DA6" w:rsidRDefault="00E61DA6">
      <w:pPr>
        <w:spacing w:after="0" w:line="240" w:lineRule="auto"/>
      </w:pPr>
      <w:r>
        <w:separator/>
      </w:r>
    </w:p>
  </w:endnote>
  <w:endnote w:type="continuationSeparator" w:id="0">
    <w:p w14:paraId="3E13076A" w14:textId="77777777" w:rsidR="00E61DA6" w:rsidRDefault="00E61D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382B7" w14:textId="77777777" w:rsidR="00271714" w:rsidRDefault="00766DDD">
    <w:pPr>
      <w:spacing w:after="0" w:line="259" w:lineRule="auto"/>
      <w:ind w:left="5" w:firstLine="0"/>
      <w:jc w:val="center"/>
    </w:pPr>
    <w:r>
      <w:fldChar w:fldCharType="begin"/>
    </w:r>
    <w:r>
      <w:instrText xml:space="preserve"> PAGE   \* MERGEFORMAT </w:instrText>
    </w:r>
    <w:r>
      <w:fldChar w:fldCharType="separate"/>
    </w:r>
    <w: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F2AB" w14:textId="77777777" w:rsidR="00271714" w:rsidRDefault="00766DDD">
    <w:pPr>
      <w:spacing w:after="0" w:line="259" w:lineRule="auto"/>
      <w:ind w:left="5" w:firstLine="0"/>
      <w:jc w:val="center"/>
    </w:pPr>
    <w:r>
      <w:fldChar w:fldCharType="begin"/>
    </w:r>
    <w:r>
      <w:instrText xml:space="preserve"> PAGE   \* MERGEFORMAT </w:instrText>
    </w:r>
    <w:r>
      <w:fldChar w:fldCharType="separate"/>
    </w:r>
    <w: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1372A" w14:textId="77777777" w:rsidR="00271714" w:rsidRDefault="00271714">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F4DC9" w14:textId="77777777" w:rsidR="00E61DA6" w:rsidRDefault="00E61DA6">
      <w:pPr>
        <w:spacing w:after="0" w:line="240" w:lineRule="auto"/>
      </w:pPr>
      <w:r>
        <w:separator/>
      </w:r>
    </w:p>
  </w:footnote>
  <w:footnote w:type="continuationSeparator" w:id="0">
    <w:p w14:paraId="0F299E0B" w14:textId="77777777" w:rsidR="00E61DA6" w:rsidRDefault="00E61D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404E1A"/>
    <w:multiLevelType w:val="hybridMultilevel"/>
    <w:tmpl w:val="FE6E544E"/>
    <w:lvl w:ilvl="0" w:tplc="106AF94A">
      <w:start w:val="1"/>
      <w:numFmt w:val="decimal"/>
      <w:lvlText w:val="(%1)"/>
      <w:lvlJc w:val="left"/>
      <w:pPr>
        <w:ind w:left="720" w:hanging="360"/>
      </w:pPr>
      <w:rPr>
        <w:rFonts w:hint="default"/>
      </w:rPr>
    </w:lvl>
    <w:lvl w:ilvl="1" w:tplc="145A1454" w:tentative="1">
      <w:start w:val="1"/>
      <w:numFmt w:val="lowerLetter"/>
      <w:lvlText w:val="%2."/>
      <w:lvlJc w:val="left"/>
      <w:pPr>
        <w:ind w:left="1440" w:hanging="360"/>
      </w:pPr>
    </w:lvl>
    <w:lvl w:ilvl="2" w:tplc="394A3694" w:tentative="1">
      <w:start w:val="1"/>
      <w:numFmt w:val="lowerRoman"/>
      <w:lvlText w:val="%3."/>
      <w:lvlJc w:val="right"/>
      <w:pPr>
        <w:ind w:left="2160" w:hanging="180"/>
      </w:pPr>
    </w:lvl>
    <w:lvl w:ilvl="3" w:tplc="3D2C3A76" w:tentative="1">
      <w:start w:val="1"/>
      <w:numFmt w:val="decimal"/>
      <w:lvlText w:val="%4."/>
      <w:lvlJc w:val="left"/>
      <w:pPr>
        <w:ind w:left="2880" w:hanging="360"/>
      </w:pPr>
    </w:lvl>
    <w:lvl w:ilvl="4" w:tplc="2C0ABFF4" w:tentative="1">
      <w:start w:val="1"/>
      <w:numFmt w:val="lowerLetter"/>
      <w:lvlText w:val="%5."/>
      <w:lvlJc w:val="left"/>
      <w:pPr>
        <w:ind w:left="3600" w:hanging="360"/>
      </w:pPr>
    </w:lvl>
    <w:lvl w:ilvl="5" w:tplc="750E2520" w:tentative="1">
      <w:start w:val="1"/>
      <w:numFmt w:val="lowerRoman"/>
      <w:lvlText w:val="%6."/>
      <w:lvlJc w:val="right"/>
      <w:pPr>
        <w:ind w:left="4320" w:hanging="180"/>
      </w:pPr>
    </w:lvl>
    <w:lvl w:ilvl="6" w:tplc="848A46C8" w:tentative="1">
      <w:start w:val="1"/>
      <w:numFmt w:val="decimal"/>
      <w:lvlText w:val="%7."/>
      <w:lvlJc w:val="left"/>
      <w:pPr>
        <w:ind w:left="5040" w:hanging="360"/>
      </w:pPr>
    </w:lvl>
    <w:lvl w:ilvl="7" w:tplc="D4E28C8A" w:tentative="1">
      <w:start w:val="1"/>
      <w:numFmt w:val="lowerLetter"/>
      <w:lvlText w:val="%8."/>
      <w:lvlJc w:val="left"/>
      <w:pPr>
        <w:ind w:left="5760" w:hanging="360"/>
      </w:pPr>
    </w:lvl>
    <w:lvl w:ilvl="8" w:tplc="125A73FA" w:tentative="1">
      <w:start w:val="1"/>
      <w:numFmt w:val="lowerRoman"/>
      <w:lvlText w:val="%9."/>
      <w:lvlJc w:val="right"/>
      <w:pPr>
        <w:ind w:left="6480" w:hanging="180"/>
      </w:pPr>
    </w:lvl>
  </w:abstractNum>
  <w:abstractNum w:abstractNumId="12"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B6965EB"/>
    <w:multiLevelType w:val="hybridMultilevel"/>
    <w:tmpl w:val="656EB7BE"/>
    <w:lvl w:ilvl="0" w:tplc="E6A614C6">
      <w:start w:val="1"/>
      <w:numFmt w:val="decimal"/>
      <w:lvlText w:val="(%1)"/>
      <w:lvlJc w:val="left"/>
      <w:pPr>
        <w:ind w:left="1287" w:hanging="360"/>
      </w:pPr>
      <w:rPr>
        <w:rFonts w:hint="default"/>
      </w:rPr>
    </w:lvl>
    <w:lvl w:ilvl="1" w:tplc="42E6057C" w:tentative="1">
      <w:start w:val="1"/>
      <w:numFmt w:val="lowerLetter"/>
      <w:lvlText w:val="%2."/>
      <w:lvlJc w:val="left"/>
      <w:pPr>
        <w:ind w:left="2007" w:hanging="360"/>
      </w:pPr>
    </w:lvl>
    <w:lvl w:ilvl="2" w:tplc="D1CC2E34" w:tentative="1">
      <w:start w:val="1"/>
      <w:numFmt w:val="lowerRoman"/>
      <w:lvlText w:val="%3."/>
      <w:lvlJc w:val="right"/>
      <w:pPr>
        <w:ind w:left="2727" w:hanging="180"/>
      </w:pPr>
    </w:lvl>
    <w:lvl w:ilvl="3" w:tplc="02445248" w:tentative="1">
      <w:start w:val="1"/>
      <w:numFmt w:val="decimal"/>
      <w:lvlText w:val="%4."/>
      <w:lvlJc w:val="left"/>
      <w:pPr>
        <w:ind w:left="3447" w:hanging="360"/>
      </w:pPr>
    </w:lvl>
    <w:lvl w:ilvl="4" w:tplc="E9B42ECA" w:tentative="1">
      <w:start w:val="1"/>
      <w:numFmt w:val="lowerLetter"/>
      <w:lvlText w:val="%5."/>
      <w:lvlJc w:val="left"/>
      <w:pPr>
        <w:ind w:left="4167" w:hanging="360"/>
      </w:pPr>
    </w:lvl>
    <w:lvl w:ilvl="5" w:tplc="876EF1E0" w:tentative="1">
      <w:start w:val="1"/>
      <w:numFmt w:val="lowerRoman"/>
      <w:lvlText w:val="%6."/>
      <w:lvlJc w:val="right"/>
      <w:pPr>
        <w:ind w:left="4887" w:hanging="180"/>
      </w:pPr>
    </w:lvl>
    <w:lvl w:ilvl="6" w:tplc="C7909592" w:tentative="1">
      <w:start w:val="1"/>
      <w:numFmt w:val="decimal"/>
      <w:lvlText w:val="%7."/>
      <w:lvlJc w:val="left"/>
      <w:pPr>
        <w:ind w:left="5607" w:hanging="360"/>
      </w:pPr>
    </w:lvl>
    <w:lvl w:ilvl="7" w:tplc="65A4E32A" w:tentative="1">
      <w:start w:val="1"/>
      <w:numFmt w:val="lowerLetter"/>
      <w:lvlText w:val="%8."/>
      <w:lvlJc w:val="left"/>
      <w:pPr>
        <w:ind w:left="6327" w:hanging="360"/>
      </w:pPr>
    </w:lvl>
    <w:lvl w:ilvl="8" w:tplc="7A0EECAA" w:tentative="1">
      <w:start w:val="1"/>
      <w:numFmt w:val="lowerRoman"/>
      <w:lvlText w:val="%9."/>
      <w:lvlJc w:val="right"/>
      <w:pPr>
        <w:ind w:left="7047" w:hanging="180"/>
      </w:pPr>
    </w:lvl>
  </w:abstractNum>
  <w:abstractNum w:abstractNumId="14"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91154A"/>
    <w:multiLevelType w:val="hybridMultilevel"/>
    <w:tmpl w:val="BEFC442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FA23A6A"/>
    <w:multiLevelType w:val="hybridMultilevel"/>
    <w:tmpl w:val="6E308A5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12E0E06"/>
    <w:multiLevelType w:val="multilevel"/>
    <w:tmpl w:val="78D8974C"/>
    <w:lvl w:ilvl="0">
      <w:start w:val="1"/>
      <w:numFmt w:val="decimal"/>
      <w:lvlText w:val="%1."/>
      <w:lvlJc w:val="left"/>
      <w:pPr>
        <w:ind w:left="360" w:hanging="360"/>
      </w:pPr>
    </w:lvl>
    <w:lvl w:ilvl="1">
      <w:start w:val="1"/>
      <w:numFmt w:val="decimal"/>
      <w:lvlText w:val="%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7E8289F"/>
    <w:multiLevelType w:val="hybridMultilevel"/>
    <w:tmpl w:val="E976D66C"/>
    <w:lvl w:ilvl="0" w:tplc="36FE2D70">
      <w:start w:val="1"/>
      <w:numFmt w:val="decimal"/>
      <w:lvlText w:val="(%1)"/>
      <w:lvlJc w:val="left"/>
      <w:pPr>
        <w:tabs>
          <w:tab w:val="num" w:pos="720"/>
        </w:tabs>
        <w:ind w:left="720" w:hanging="360"/>
      </w:pPr>
      <w:rPr>
        <w:rFonts w:hint="default"/>
      </w:rPr>
    </w:lvl>
    <w:lvl w:ilvl="1" w:tplc="7088AB14" w:tentative="1">
      <w:start w:val="1"/>
      <w:numFmt w:val="lowerLetter"/>
      <w:lvlText w:val="%2."/>
      <w:lvlJc w:val="left"/>
      <w:pPr>
        <w:tabs>
          <w:tab w:val="num" w:pos="1440"/>
        </w:tabs>
        <w:ind w:left="1440" w:hanging="360"/>
      </w:pPr>
    </w:lvl>
    <w:lvl w:ilvl="2" w:tplc="C906A206" w:tentative="1">
      <w:start w:val="1"/>
      <w:numFmt w:val="lowerRoman"/>
      <w:lvlText w:val="%3."/>
      <w:lvlJc w:val="right"/>
      <w:pPr>
        <w:tabs>
          <w:tab w:val="num" w:pos="2160"/>
        </w:tabs>
        <w:ind w:left="2160" w:hanging="180"/>
      </w:pPr>
    </w:lvl>
    <w:lvl w:ilvl="3" w:tplc="58728E86" w:tentative="1">
      <w:start w:val="1"/>
      <w:numFmt w:val="decimal"/>
      <w:lvlText w:val="%4."/>
      <w:lvlJc w:val="left"/>
      <w:pPr>
        <w:tabs>
          <w:tab w:val="num" w:pos="2880"/>
        </w:tabs>
        <w:ind w:left="2880" w:hanging="360"/>
      </w:pPr>
    </w:lvl>
    <w:lvl w:ilvl="4" w:tplc="1422A000" w:tentative="1">
      <w:start w:val="1"/>
      <w:numFmt w:val="lowerLetter"/>
      <w:lvlText w:val="%5."/>
      <w:lvlJc w:val="left"/>
      <w:pPr>
        <w:tabs>
          <w:tab w:val="num" w:pos="3600"/>
        </w:tabs>
        <w:ind w:left="3600" w:hanging="360"/>
      </w:pPr>
    </w:lvl>
    <w:lvl w:ilvl="5" w:tplc="A0321330" w:tentative="1">
      <w:start w:val="1"/>
      <w:numFmt w:val="lowerRoman"/>
      <w:lvlText w:val="%6."/>
      <w:lvlJc w:val="right"/>
      <w:pPr>
        <w:tabs>
          <w:tab w:val="num" w:pos="4320"/>
        </w:tabs>
        <w:ind w:left="4320" w:hanging="180"/>
      </w:pPr>
    </w:lvl>
    <w:lvl w:ilvl="6" w:tplc="606688F2" w:tentative="1">
      <w:start w:val="1"/>
      <w:numFmt w:val="decimal"/>
      <w:lvlText w:val="%7."/>
      <w:lvlJc w:val="left"/>
      <w:pPr>
        <w:tabs>
          <w:tab w:val="num" w:pos="5040"/>
        </w:tabs>
        <w:ind w:left="5040" w:hanging="360"/>
      </w:pPr>
    </w:lvl>
    <w:lvl w:ilvl="7" w:tplc="3BF6A818" w:tentative="1">
      <w:start w:val="1"/>
      <w:numFmt w:val="lowerLetter"/>
      <w:lvlText w:val="%8."/>
      <w:lvlJc w:val="left"/>
      <w:pPr>
        <w:tabs>
          <w:tab w:val="num" w:pos="5760"/>
        </w:tabs>
        <w:ind w:left="5760" w:hanging="360"/>
      </w:pPr>
    </w:lvl>
    <w:lvl w:ilvl="8" w:tplc="3746FF0C" w:tentative="1">
      <w:start w:val="1"/>
      <w:numFmt w:val="lowerRoman"/>
      <w:lvlText w:val="%9."/>
      <w:lvlJc w:val="right"/>
      <w:pPr>
        <w:tabs>
          <w:tab w:val="num" w:pos="6480"/>
        </w:tabs>
        <w:ind w:left="6480" w:hanging="180"/>
      </w:pPr>
    </w:lvl>
  </w:abstractNum>
  <w:abstractNum w:abstractNumId="21" w15:restartNumberingAfterBreak="0">
    <w:nsid w:val="2B040495"/>
    <w:multiLevelType w:val="hybridMultilevel"/>
    <w:tmpl w:val="E5F8DDA4"/>
    <w:lvl w:ilvl="0" w:tplc="1E2853EC">
      <w:start w:val="1"/>
      <w:numFmt w:val="decimal"/>
      <w:lvlText w:val="(%1)"/>
      <w:lvlJc w:val="left"/>
      <w:pPr>
        <w:ind w:left="1440" w:hanging="360"/>
      </w:pPr>
      <w:rPr>
        <w:rFonts w:hint="default"/>
      </w:rPr>
    </w:lvl>
    <w:lvl w:ilvl="1" w:tplc="0FEE6E68" w:tentative="1">
      <w:start w:val="1"/>
      <w:numFmt w:val="lowerLetter"/>
      <w:lvlText w:val="%2."/>
      <w:lvlJc w:val="left"/>
      <w:pPr>
        <w:ind w:left="2160" w:hanging="360"/>
      </w:pPr>
    </w:lvl>
    <w:lvl w:ilvl="2" w:tplc="0C24212E" w:tentative="1">
      <w:start w:val="1"/>
      <w:numFmt w:val="lowerRoman"/>
      <w:lvlText w:val="%3."/>
      <w:lvlJc w:val="right"/>
      <w:pPr>
        <w:ind w:left="2880" w:hanging="180"/>
      </w:pPr>
    </w:lvl>
    <w:lvl w:ilvl="3" w:tplc="315296C6" w:tentative="1">
      <w:start w:val="1"/>
      <w:numFmt w:val="decimal"/>
      <w:lvlText w:val="%4."/>
      <w:lvlJc w:val="left"/>
      <w:pPr>
        <w:ind w:left="3600" w:hanging="360"/>
      </w:pPr>
    </w:lvl>
    <w:lvl w:ilvl="4" w:tplc="D8EEE124" w:tentative="1">
      <w:start w:val="1"/>
      <w:numFmt w:val="lowerLetter"/>
      <w:lvlText w:val="%5."/>
      <w:lvlJc w:val="left"/>
      <w:pPr>
        <w:ind w:left="4320" w:hanging="360"/>
      </w:pPr>
    </w:lvl>
    <w:lvl w:ilvl="5" w:tplc="CC3CC50A" w:tentative="1">
      <w:start w:val="1"/>
      <w:numFmt w:val="lowerRoman"/>
      <w:lvlText w:val="%6."/>
      <w:lvlJc w:val="right"/>
      <w:pPr>
        <w:ind w:left="5040" w:hanging="180"/>
      </w:pPr>
    </w:lvl>
    <w:lvl w:ilvl="6" w:tplc="8574196E" w:tentative="1">
      <w:start w:val="1"/>
      <w:numFmt w:val="decimal"/>
      <w:lvlText w:val="%7."/>
      <w:lvlJc w:val="left"/>
      <w:pPr>
        <w:ind w:left="5760" w:hanging="360"/>
      </w:pPr>
    </w:lvl>
    <w:lvl w:ilvl="7" w:tplc="094C2658" w:tentative="1">
      <w:start w:val="1"/>
      <w:numFmt w:val="lowerLetter"/>
      <w:lvlText w:val="%8."/>
      <w:lvlJc w:val="left"/>
      <w:pPr>
        <w:ind w:left="6480" w:hanging="360"/>
      </w:pPr>
    </w:lvl>
    <w:lvl w:ilvl="8" w:tplc="51D83E54" w:tentative="1">
      <w:start w:val="1"/>
      <w:numFmt w:val="lowerRoman"/>
      <w:lvlText w:val="%9."/>
      <w:lvlJc w:val="right"/>
      <w:pPr>
        <w:ind w:left="7200" w:hanging="180"/>
      </w:pPr>
    </w:lvl>
  </w:abstractNum>
  <w:abstractNum w:abstractNumId="22" w15:restartNumberingAfterBreak="0">
    <w:nsid w:val="319861AC"/>
    <w:multiLevelType w:val="hybridMultilevel"/>
    <w:tmpl w:val="5B62304C"/>
    <w:lvl w:ilvl="0" w:tplc="0409000F">
      <w:start w:val="1"/>
      <w:numFmt w:val="decimal"/>
      <w:lvlText w:val="%1."/>
      <w:lvlJc w:val="left"/>
      <w:pPr>
        <w:ind w:left="720" w:hanging="360"/>
      </w:pPr>
      <w:rPr>
        <w:rFonts w:hint="default"/>
      </w:rPr>
    </w:lvl>
    <w:lvl w:ilvl="1" w:tplc="DEEED170" w:tentative="1">
      <w:start w:val="1"/>
      <w:numFmt w:val="lowerLetter"/>
      <w:lvlText w:val="%2."/>
      <w:lvlJc w:val="left"/>
      <w:pPr>
        <w:ind w:left="1440" w:hanging="360"/>
      </w:pPr>
    </w:lvl>
    <w:lvl w:ilvl="2" w:tplc="384624B4" w:tentative="1">
      <w:start w:val="1"/>
      <w:numFmt w:val="lowerRoman"/>
      <w:lvlText w:val="%3."/>
      <w:lvlJc w:val="right"/>
      <w:pPr>
        <w:ind w:left="2160" w:hanging="180"/>
      </w:pPr>
    </w:lvl>
    <w:lvl w:ilvl="3" w:tplc="943AE5D6" w:tentative="1">
      <w:start w:val="1"/>
      <w:numFmt w:val="decimal"/>
      <w:lvlText w:val="%4."/>
      <w:lvlJc w:val="left"/>
      <w:pPr>
        <w:ind w:left="2880" w:hanging="360"/>
      </w:pPr>
    </w:lvl>
    <w:lvl w:ilvl="4" w:tplc="CDCEE09C" w:tentative="1">
      <w:start w:val="1"/>
      <w:numFmt w:val="lowerLetter"/>
      <w:lvlText w:val="%5."/>
      <w:lvlJc w:val="left"/>
      <w:pPr>
        <w:ind w:left="3600" w:hanging="360"/>
      </w:pPr>
    </w:lvl>
    <w:lvl w:ilvl="5" w:tplc="6E02C190" w:tentative="1">
      <w:start w:val="1"/>
      <w:numFmt w:val="lowerRoman"/>
      <w:lvlText w:val="%6."/>
      <w:lvlJc w:val="right"/>
      <w:pPr>
        <w:ind w:left="4320" w:hanging="180"/>
      </w:pPr>
    </w:lvl>
    <w:lvl w:ilvl="6" w:tplc="31307C68" w:tentative="1">
      <w:start w:val="1"/>
      <w:numFmt w:val="decimal"/>
      <w:lvlText w:val="%7."/>
      <w:lvlJc w:val="left"/>
      <w:pPr>
        <w:ind w:left="5040" w:hanging="360"/>
      </w:pPr>
    </w:lvl>
    <w:lvl w:ilvl="7" w:tplc="283AC570" w:tentative="1">
      <w:start w:val="1"/>
      <w:numFmt w:val="lowerLetter"/>
      <w:lvlText w:val="%8."/>
      <w:lvlJc w:val="left"/>
      <w:pPr>
        <w:ind w:left="5760" w:hanging="360"/>
      </w:pPr>
    </w:lvl>
    <w:lvl w:ilvl="8" w:tplc="D5B4E4DC" w:tentative="1">
      <w:start w:val="1"/>
      <w:numFmt w:val="lowerRoman"/>
      <w:lvlText w:val="%9."/>
      <w:lvlJc w:val="right"/>
      <w:pPr>
        <w:ind w:left="6480" w:hanging="180"/>
      </w:pPr>
    </w:lvl>
  </w:abstractNum>
  <w:abstractNum w:abstractNumId="23"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9CB5131"/>
    <w:multiLevelType w:val="hybridMultilevel"/>
    <w:tmpl w:val="F83A4C80"/>
    <w:lvl w:ilvl="0" w:tplc="9E362CF8">
      <w:start w:val="1"/>
      <w:numFmt w:val="decimal"/>
      <w:lvlText w:val="%1)"/>
      <w:lvlJc w:val="left"/>
      <w:pPr>
        <w:ind w:left="720" w:hanging="360"/>
      </w:pPr>
      <w:rPr>
        <w:rFonts w:hint="default"/>
      </w:rPr>
    </w:lvl>
    <w:lvl w:ilvl="1" w:tplc="B520FF52" w:tentative="1">
      <w:start w:val="1"/>
      <w:numFmt w:val="lowerLetter"/>
      <w:lvlText w:val="%2."/>
      <w:lvlJc w:val="left"/>
      <w:pPr>
        <w:ind w:left="1440" w:hanging="360"/>
      </w:pPr>
    </w:lvl>
    <w:lvl w:ilvl="2" w:tplc="BBEE53EE" w:tentative="1">
      <w:start w:val="1"/>
      <w:numFmt w:val="lowerRoman"/>
      <w:lvlText w:val="%3."/>
      <w:lvlJc w:val="right"/>
      <w:pPr>
        <w:ind w:left="2160" w:hanging="180"/>
      </w:pPr>
    </w:lvl>
    <w:lvl w:ilvl="3" w:tplc="369A35FE" w:tentative="1">
      <w:start w:val="1"/>
      <w:numFmt w:val="decimal"/>
      <w:lvlText w:val="%4."/>
      <w:lvlJc w:val="left"/>
      <w:pPr>
        <w:ind w:left="2880" w:hanging="360"/>
      </w:pPr>
    </w:lvl>
    <w:lvl w:ilvl="4" w:tplc="9BD47BC8" w:tentative="1">
      <w:start w:val="1"/>
      <w:numFmt w:val="lowerLetter"/>
      <w:lvlText w:val="%5."/>
      <w:lvlJc w:val="left"/>
      <w:pPr>
        <w:ind w:left="3600" w:hanging="360"/>
      </w:pPr>
    </w:lvl>
    <w:lvl w:ilvl="5" w:tplc="3AF41B08" w:tentative="1">
      <w:start w:val="1"/>
      <w:numFmt w:val="lowerRoman"/>
      <w:lvlText w:val="%6."/>
      <w:lvlJc w:val="right"/>
      <w:pPr>
        <w:ind w:left="4320" w:hanging="180"/>
      </w:pPr>
    </w:lvl>
    <w:lvl w:ilvl="6" w:tplc="791829BA" w:tentative="1">
      <w:start w:val="1"/>
      <w:numFmt w:val="decimal"/>
      <w:lvlText w:val="%7."/>
      <w:lvlJc w:val="left"/>
      <w:pPr>
        <w:ind w:left="5040" w:hanging="360"/>
      </w:pPr>
    </w:lvl>
    <w:lvl w:ilvl="7" w:tplc="41E45472" w:tentative="1">
      <w:start w:val="1"/>
      <w:numFmt w:val="lowerLetter"/>
      <w:lvlText w:val="%8."/>
      <w:lvlJc w:val="left"/>
      <w:pPr>
        <w:ind w:left="5760" w:hanging="360"/>
      </w:pPr>
    </w:lvl>
    <w:lvl w:ilvl="8" w:tplc="254E91CC" w:tentative="1">
      <w:start w:val="1"/>
      <w:numFmt w:val="lowerRoman"/>
      <w:lvlText w:val="%9."/>
      <w:lvlJc w:val="right"/>
      <w:pPr>
        <w:ind w:left="6480" w:hanging="180"/>
      </w:pPr>
    </w:lvl>
  </w:abstractNum>
  <w:abstractNum w:abstractNumId="25" w15:restartNumberingAfterBreak="0">
    <w:nsid w:val="3C5D0C07"/>
    <w:multiLevelType w:val="hybridMultilevel"/>
    <w:tmpl w:val="4CA02766"/>
    <w:lvl w:ilvl="0" w:tplc="B34034A8">
      <w:start w:val="1"/>
      <w:numFmt w:val="decimal"/>
      <w:pStyle w:val="Numberedlist"/>
      <w:lvlText w:val="(%1)"/>
      <w:lvlJc w:val="right"/>
      <w:pPr>
        <w:ind w:left="720" w:hanging="153"/>
      </w:pPr>
      <w:rPr>
        <w:rFonts w:hint="default"/>
      </w:rPr>
    </w:lvl>
    <w:lvl w:ilvl="1" w:tplc="65B8A67A">
      <w:start w:val="1"/>
      <w:numFmt w:val="lowerLetter"/>
      <w:lvlText w:val="(%2)"/>
      <w:lvlJc w:val="left"/>
      <w:pPr>
        <w:ind w:left="1440" w:hanging="360"/>
      </w:pPr>
      <w:rPr>
        <w:rFonts w:hint="default"/>
      </w:rPr>
    </w:lvl>
    <w:lvl w:ilvl="2" w:tplc="1668F22A">
      <w:start w:val="1"/>
      <w:numFmt w:val="lowerRoman"/>
      <w:lvlText w:val="(%3)"/>
      <w:lvlJc w:val="right"/>
      <w:pPr>
        <w:ind w:left="2160" w:hanging="180"/>
      </w:pPr>
      <w:rPr>
        <w:rFonts w:hint="default"/>
      </w:rPr>
    </w:lvl>
    <w:lvl w:ilvl="3" w:tplc="FD927A42" w:tentative="1">
      <w:start w:val="1"/>
      <w:numFmt w:val="decimal"/>
      <w:lvlText w:val="%4."/>
      <w:lvlJc w:val="left"/>
      <w:pPr>
        <w:ind w:left="2880" w:hanging="360"/>
      </w:pPr>
    </w:lvl>
    <w:lvl w:ilvl="4" w:tplc="B7F2380A" w:tentative="1">
      <w:start w:val="1"/>
      <w:numFmt w:val="lowerLetter"/>
      <w:lvlText w:val="%5."/>
      <w:lvlJc w:val="left"/>
      <w:pPr>
        <w:ind w:left="3600" w:hanging="360"/>
      </w:pPr>
    </w:lvl>
    <w:lvl w:ilvl="5" w:tplc="316095B6" w:tentative="1">
      <w:start w:val="1"/>
      <w:numFmt w:val="lowerRoman"/>
      <w:lvlText w:val="%6."/>
      <w:lvlJc w:val="right"/>
      <w:pPr>
        <w:ind w:left="4320" w:hanging="180"/>
      </w:pPr>
    </w:lvl>
    <w:lvl w:ilvl="6" w:tplc="DA767910" w:tentative="1">
      <w:start w:val="1"/>
      <w:numFmt w:val="decimal"/>
      <w:lvlText w:val="%7."/>
      <w:lvlJc w:val="left"/>
      <w:pPr>
        <w:ind w:left="5040" w:hanging="360"/>
      </w:pPr>
    </w:lvl>
    <w:lvl w:ilvl="7" w:tplc="F6DAA6B6" w:tentative="1">
      <w:start w:val="1"/>
      <w:numFmt w:val="lowerLetter"/>
      <w:lvlText w:val="%8."/>
      <w:lvlJc w:val="left"/>
      <w:pPr>
        <w:ind w:left="5760" w:hanging="360"/>
      </w:pPr>
    </w:lvl>
    <w:lvl w:ilvl="8" w:tplc="16E6F966" w:tentative="1">
      <w:start w:val="1"/>
      <w:numFmt w:val="lowerRoman"/>
      <w:lvlText w:val="%9."/>
      <w:lvlJc w:val="right"/>
      <w:pPr>
        <w:ind w:left="6480" w:hanging="180"/>
      </w:pPr>
    </w:lvl>
  </w:abstractNum>
  <w:abstractNum w:abstractNumId="26" w15:restartNumberingAfterBreak="0">
    <w:nsid w:val="3D4A71FF"/>
    <w:multiLevelType w:val="hybridMultilevel"/>
    <w:tmpl w:val="CADCD1BE"/>
    <w:lvl w:ilvl="0" w:tplc="27D0A654">
      <w:start w:val="1"/>
      <w:numFmt w:val="decimal"/>
      <w:lvlText w:val="%1."/>
      <w:lvlJc w:val="left"/>
      <w:pPr>
        <w:ind w:left="360" w:hanging="360"/>
      </w:pPr>
      <w:rPr>
        <w:rFonts w:hint="default"/>
      </w:rPr>
    </w:lvl>
    <w:lvl w:ilvl="1" w:tplc="55200B28" w:tentative="1">
      <w:start w:val="1"/>
      <w:numFmt w:val="lowerLetter"/>
      <w:lvlText w:val="%2."/>
      <w:lvlJc w:val="left"/>
      <w:pPr>
        <w:ind w:left="1080" w:hanging="360"/>
      </w:pPr>
    </w:lvl>
    <w:lvl w:ilvl="2" w:tplc="7E62E794" w:tentative="1">
      <w:start w:val="1"/>
      <w:numFmt w:val="lowerRoman"/>
      <w:lvlText w:val="%3."/>
      <w:lvlJc w:val="right"/>
      <w:pPr>
        <w:ind w:left="1800" w:hanging="180"/>
      </w:pPr>
    </w:lvl>
    <w:lvl w:ilvl="3" w:tplc="972E6F40" w:tentative="1">
      <w:start w:val="1"/>
      <w:numFmt w:val="decimal"/>
      <w:lvlText w:val="%4."/>
      <w:lvlJc w:val="left"/>
      <w:pPr>
        <w:ind w:left="2520" w:hanging="360"/>
      </w:pPr>
    </w:lvl>
    <w:lvl w:ilvl="4" w:tplc="5F28E408" w:tentative="1">
      <w:start w:val="1"/>
      <w:numFmt w:val="lowerLetter"/>
      <w:lvlText w:val="%5."/>
      <w:lvlJc w:val="left"/>
      <w:pPr>
        <w:ind w:left="3240" w:hanging="360"/>
      </w:pPr>
    </w:lvl>
    <w:lvl w:ilvl="5" w:tplc="9A0ADC90" w:tentative="1">
      <w:start w:val="1"/>
      <w:numFmt w:val="lowerRoman"/>
      <w:lvlText w:val="%6."/>
      <w:lvlJc w:val="right"/>
      <w:pPr>
        <w:ind w:left="3960" w:hanging="180"/>
      </w:pPr>
    </w:lvl>
    <w:lvl w:ilvl="6" w:tplc="FB489960" w:tentative="1">
      <w:start w:val="1"/>
      <w:numFmt w:val="decimal"/>
      <w:lvlText w:val="%7."/>
      <w:lvlJc w:val="left"/>
      <w:pPr>
        <w:ind w:left="4680" w:hanging="360"/>
      </w:pPr>
    </w:lvl>
    <w:lvl w:ilvl="7" w:tplc="63DECE4C" w:tentative="1">
      <w:start w:val="1"/>
      <w:numFmt w:val="lowerLetter"/>
      <w:lvlText w:val="%8."/>
      <w:lvlJc w:val="left"/>
      <w:pPr>
        <w:ind w:left="5400" w:hanging="360"/>
      </w:pPr>
    </w:lvl>
    <w:lvl w:ilvl="8" w:tplc="C5422B6A" w:tentative="1">
      <w:start w:val="1"/>
      <w:numFmt w:val="lowerRoman"/>
      <w:lvlText w:val="%9."/>
      <w:lvlJc w:val="right"/>
      <w:pPr>
        <w:ind w:left="6120" w:hanging="180"/>
      </w:pPr>
    </w:lvl>
  </w:abstractNum>
  <w:abstractNum w:abstractNumId="27" w15:restartNumberingAfterBreak="0">
    <w:nsid w:val="424355E5"/>
    <w:multiLevelType w:val="multilevel"/>
    <w:tmpl w:val="EDA2F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D92973"/>
    <w:multiLevelType w:val="hybridMultilevel"/>
    <w:tmpl w:val="0DB89800"/>
    <w:lvl w:ilvl="0" w:tplc="9BF22B3C">
      <w:start w:val="1"/>
      <w:numFmt w:val="decimal"/>
      <w:lvlText w:val="%1."/>
      <w:lvlJc w:val="left"/>
      <w:pPr>
        <w:ind w:left="6315" w:hanging="360"/>
      </w:pPr>
      <w:rPr>
        <w:i w:val="0"/>
        <w:iCs w:val="0"/>
        <w:lang w:val="en-GB"/>
      </w:rPr>
    </w:lvl>
    <w:lvl w:ilvl="1" w:tplc="1EF02B64" w:tentative="1">
      <w:start w:val="1"/>
      <w:numFmt w:val="lowerLetter"/>
      <w:lvlText w:val="%2."/>
      <w:lvlJc w:val="left"/>
      <w:pPr>
        <w:ind w:left="1440" w:hanging="360"/>
      </w:pPr>
    </w:lvl>
    <w:lvl w:ilvl="2" w:tplc="07C425AC" w:tentative="1">
      <w:start w:val="1"/>
      <w:numFmt w:val="lowerRoman"/>
      <w:lvlText w:val="%3."/>
      <w:lvlJc w:val="right"/>
      <w:pPr>
        <w:ind w:left="2160" w:hanging="180"/>
      </w:pPr>
    </w:lvl>
    <w:lvl w:ilvl="3" w:tplc="A2E0DD54" w:tentative="1">
      <w:start w:val="1"/>
      <w:numFmt w:val="decimal"/>
      <w:lvlText w:val="%4."/>
      <w:lvlJc w:val="left"/>
      <w:pPr>
        <w:ind w:left="2880" w:hanging="360"/>
      </w:pPr>
    </w:lvl>
    <w:lvl w:ilvl="4" w:tplc="88DE32EC" w:tentative="1">
      <w:start w:val="1"/>
      <w:numFmt w:val="lowerLetter"/>
      <w:lvlText w:val="%5."/>
      <w:lvlJc w:val="left"/>
      <w:pPr>
        <w:ind w:left="3600" w:hanging="360"/>
      </w:pPr>
    </w:lvl>
    <w:lvl w:ilvl="5" w:tplc="04EE6F62" w:tentative="1">
      <w:start w:val="1"/>
      <w:numFmt w:val="lowerRoman"/>
      <w:lvlText w:val="%6."/>
      <w:lvlJc w:val="right"/>
      <w:pPr>
        <w:ind w:left="4320" w:hanging="180"/>
      </w:pPr>
    </w:lvl>
    <w:lvl w:ilvl="6" w:tplc="64FA2932" w:tentative="1">
      <w:start w:val="1"/>
      <w:numFmt w:val="decimal"/>
      <w:lvlText w:val="%7."/>
      <w:lvlJc w:val="left"/>
      <w:pPr>
        <w:ind w:left="5040" w:hanging="360"/>
      </w:pPr>
    </w:lvl>
    <w:lvl w:ilvl="7" w:tplc="BC44FB44" w:tentative="1">
      <w:start w:val="1"/>
      <w:numFmt w:val="lowerLetter"/>
      <w:lvlText w:val="%8."/>
      <w:lvlJc w:val="left"/>
      <w:pPr>
        <w:ind w:left="5760" w:hanging="360"/>
      </w:pPr>
    </w:lvl>
    <w:lvl w:ilvl="8" w:tplc="F78413D2" w:tentative="1">
      <w:start w:val="1"/>
      <w:numFmt w:val="lowerRoman"/>
      <w:lvlText w:val="%9."/>
      <w:lvlJc w:val="right"/>
      <w:pPr>
        <w:ind w:left="6480" w:hanging="180"/>
      </w:pPr>
    </w:lvl>
  </w:abstractNum>
  <w:abstractNum w:abstractNumId="29" w15:restartNumberingAfterBreak="0">
    <w:nsid w:val="4D1725E7"/>
    <w:multiLevelType w:val="hybridMultilevel"/>
    <w:tmpl w:val="A7A27262"/>
    <w:lvl w:ilvl="0" w:tplc="0409000F">
      <w:start w:val="1"/>
      <w:numFmt w:val="decimal"/>
      <w:lvlText w:val="%1."/>
      <w:lvlJc w:val="left"/>
      <w:pPr>
        <w:ind w:left="171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30" w15:restartNumberingAfterBreak="0">
    <w:nsid w:val="55073044"/>
    <w:multiLevelType w:val="multilevel"/>
    <w:tmpl w:val="B220F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38135E"/>
    <w:multiLevelType w:val="hybridMultilevel"/>
    <w:tmpl w:val="68EEE13A"/>
    <w:lvl w:ilvl="0" w:tplc="726E4918">
      <w:start w:val="1"/>
      <w:numFmt w:val="bullet"/>
      <w:lvlText w:val=""/>
      <w:lvlJc w:val="left"/>
      <w:pPr>
        <w:tabs>
          <w:tab w:val="num" w:pos="720"/>
        </w:tabs>
        <w:ind w:left="720" w:hanging="360"/>
      </w:pPr>
      <w:rPr>
        <w:rFonts w:ascii="Symbol" w:hAnsi="Symbol" w:hint="default"/>
      </w:rPr>
    </w:lvl>
    <w:lvl w:ilvl="1" w:tplc="882A435E" w:tentative="1">
      <w:start w:val="1"/>
      <w:numFmt w:val="bullet"/>
      <w:lvlText w:val="o"/>
      <w:lvlJc w:val="left"/>
      <w:pPr>
        <w:tabs>
          <w:tab w:val="num" w:pos="1440"/>
        </w:tabs>
        <w:ind w:left="1440" w:hanging="360"/>
      </w:pPr>
      <w:rPr>
        <w:rFonts w:ascii="Courier New" w:hAnsi="Courier New" w:cs="Arial" w:hint="default"/>
      </w:rPr>
    </w:lvl>
    <w:lvl w:ilvl="2" w:tplc="E9C81D56" w:tentative="1">
      <w:start w:val="1"/>
      <w:numFmt w:val="bullet"/>
      <w:lvlText w:val=""/>
      <w:lvlJc w:val="left"/>
      <w:pPr>
        <w:tabs>
          <w:tab w:val="num" w:pos="2160"/>
        </w:tabs>
        <w:ind w:left="2160" w:hanging="360"/>
      </w:pPr>
      <w:rPr>
        <w:rFonts w:ascii="Wingdings" w:hAnsi="Wingdings" w:hint="default"/>
      </w:rPr>
    </w:lvl>
    <w:lvl w:ilvl="3" w:tplc="E910B1EA" w:tentative="1">
      <w:start w:val="1"/>
      <w:numFmt w:val="bullet"/>
      <w:lvlText w:val=""/>
      <w:lvlJc w:val="left"/>
      <w:pPr>
        <w:tabs>
          <w:tab w:val="num" w:pos="2880"/>
        </w:tabs>
        <w:ind w:left="2880" w:hanging="360"/>
      </w:pPr>
      <w:rPr>
        <w:rFonts w:ascii="Symbol" w:hAnsi="Symbol" w:hint="default"/>
      </w:rPr>
    </w:lvl>
    <w:lvl w:ilvl="4" w:tplc="FC88775E" w:tentative="1">
      <w:start w:val="1"/>
      <w:numFmt w:val="bullet"/>
      <w:lvlText w:val="o"/>
      <w:lvlJc w:val="left"/>
      <w:pPr>
        <w:tabs>
          <w:tab w:val="num" w:pos="3600"/>
        </w:tabs>
        <w:ind w:left="3600" w:hanging="360"/>
      </w:pPr>
      <w:rPr>
        <w:rFonts w:ascii="Courier New" w:hAnsi="Courier New" w:cs="Arial" w:hint="default"/>
      </w:rPr>
    </w:lvl>
    <w:lvl w:ilvl="5" w:tplc="B3344E42" w:tentative="1">
      <w:start w:val="1"/>
      <w:numFmt w:val="bullet"/>
      <w:lvlText w:val=""/>
      <w:lvlJc w:val="left"/>
      <w:pPr>
        <w:tabs>
          <w:tab w:val="num" w:pos="4320"/>
        </w:tabs>
        <w:ind w:left="4320" w:hanging="360"/>
      </w:pPr>
      <w:rPr>
        <w:rFonts w:ascii="Wingdings" w:hAnsi="Wingdings" w:hint="default"/>
      </w:rPr>
    </w:lvl>
    <w:lvl w:ilvl="6" w:tplc="9CC471B0" w:tentative="1">
      <w:start w:val="1"/>
      <w:numFmt w:val="bullet"/>
      <w:lvlText w:val=""/>
      <w:lvlJc w:val="left"/>
      <w:pPr>
        <w:tabs>
          <w:tab w:val="num" w:pos="5040"/>
        </w:tabs>
        <w:ind w:left="5040" w:hanging="360"/>
      </w:pPr>
      <w:rPr>
        <w:rFonts w:ascii="Symbol" w:hAnsi="Symbol" w:hint="default"/>
      </w:rPr>
    </w:lvl>
    <w:lvl w:ilvl="7" w:tplc="CFA0A7F2" w:tentative="1">
      <w:start w:val="1"/>
      <w:numFmt w:val="bullet"/>
      <w:lvlText w:val="o"/>
      <w:lvlJc w:val="left"/>
      <w:pPr>
        <w:tabs>
          <w:tab w:val="num" w:pos="5760"/>
        </w:tabs>
        <w:ind w:left="5760" w:hanging="360"/>
      </w:pPr>
      <w:rPr>
        <w:rFonts w:ascii="Courier New" w:hAnsi="Courier New" w:cs="Arial" w:hint="default"/>
      </w:rPr>
    </w:lvl>
    <w:lvl w:ilvl="8" w:tplc="89A4BE32"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AF2297"/>
    <w:multiLevelType w:val="hybridMultilevel"/>
    <w:tmpl w:val="E592C112"/>
    <w:lvl w:ilvl="0" w:tplc="668C7B8A">
      <w:start w:val="1"/>
      <w:numFmt w:val="decimal"/>
      <w:lvlText w:val="%1."/>
      <w:lvlJc w:val="left"/>
      <w:pPr>
        <w:ind w:left="720" w:hanging="360"/>
      </w:pPr>
      <w:rPr>
        <w:rFonts w:hint="default"/>
      </w:rPr>
    </w:lvl>
    <w:lvl w:ilvl="1" w:tplc="E38609D2" w:tentative="1">
      <w:start w:val="1"/>
      <w:numFmt w:val="lowerLetter"/>
      <w:lvlText w:val="%2."/>
      <w:lvlJc w:val="left"/>
      <w:pPr>
        <w:ind w:left="1440" w:hanging="360"/>
      </w:pPr>
    </w:lvl>
    <w:lvl w:ilvl="2" w:tplc="F8404CFE" w:tentative="1">
      <w:start w:val="1"/>
      <w:numFmt w:val="lowerRoman"/>
      <w:lvlText w:val="%3."/>
      <w:lvlJc w:val="right"/>
      <w:pPr>
        <w:ind w:left="2160" w:hanging="180"/>
      </w:pPr>
    </w:lvl>
    <w:lvl w:ilvl="3" w:tplc="05D87002" w:tentative="1">
      <w:start w:val="1"/>
      <w:numFmt w:val="decimal"/>
      <w:lvlText w:val="%4."/>
      <w:lvlJc w:val="left"/>
      <w:pPr>
        <w:ind w:left="2880" w:hanging="360"/>
      </w:pPr>
    </w:lvl>
    <w:lvl w:ilvl="4" w:tplc="74BE38CC" w:tentative="1">
      <w:start w:val="1"/>
      <w:numFmt w:val="lowerLetter"/>
      <w:lvlText w:val="%5."/>
      <w:lvlJc w:val="left"/>
      <w:pPr>
        <w:ind w:left="3600" w:hanging="360"/>
      </w:pPr>
    </w:lvl>
    <w:lvl w:ilvl="5" w:tplc="42320DCC" w:tentative="1">
      <w:start w:val="1"/>
      <w:numFmt w:val="lowerRoman"/>
      <w:lvlText w:val="%6."/>
      <w:lvlJc w:val="right"/>
      <w:pPr>
        <w:ind w:left="4320" w:hanging="180"/>
      </w:pPr>
    </w:lvl>
    <w:lvl w:ilvl="6" w:tplc="A844E2E8" w:tentative="1">
      <w:start w:val="1"/>
      <w:numFmt w:val="decimal"/>
      <w:lvlText w:val="%7."/>
      <w:lvlJc w:val="left"/>
      <w:pPr>
        <w:ind w:left="5040" w:hanging="360"/>
      </w:pPr>
    </w:lvl>
    <w:lvl w:ilvl="7" w:tplc="91141F14" w:tentative="1">
      <w:start w:val="1"/>
      <w:numFmt w:val="lowerLetter"/>
      <w:lvlText w:val="%8."/>
      <w:lvlJc w:val="left"/>
      <w:pPr>
        <w:ind w:left="5760" w:hanging="360"/>
      </w:pPr>
    </w:lvl>
    <w:lvl w:ilvl="8" w:tplc="8C6C8A5E" w:tentative="1">
      <w:start w:val="1"/>
      <w:numFmt w:val="lowerRoman"/>
      <w:lvlText w:val="%9."/>
      <w:lvlJc w:val="right"/>
      <w:pPr>
        <w:ind w:left="6480" w:hanging="180"/>
      </w:pPr>
    </w:lvl>
  </w:abstractNum>
  <w:abstractNum w:abstractNumId="33" w15:restartNumberingAfterBreak="0">
    <w:nsid w:val="5BC31D5F"/>
    <w:multiLevelType w:val="hybridMultilevel"/>
    <w:tmpl w:val="FA6C9C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D96BF8"/>
    <w:multiLevelType w:val="hybridMultilevel"/>
    <w:tmpl w:val="76D2C65A"/>
    <w:lvl w:ilvl="0" w:tplc="171CDF6E">
      <w:start w:val="1"/>
      <w:numFmt w:val="bullet"/>
      <w:pStyle w:val="Bulletedlist"/>
      <w:lvlText w:val=""/>
      <w:lvlJc w:val="left"/>
      <w:pPr>
        <w:ind w:left="720" w:hanging="360"/>
      </w:pPr>
      <w:rPr>
        <w:rFonts w:ascii="Symbol" w:hAnsi="Symbol" w:hint="default"/>
      </w:rPr>
    </w:lvl>
    <w:lvl w:ilvl="1" w:tplc="1C7E8AC2" w:tentative="1">
      <w:start w:val="1"/>
      <w:numFmt w:val="bullet"/>
      <w:lvlText w:val="o"/>
      <w:lvlJc w:val="left"/>
      <w:pPr>
        <w:ind w:left="1440" w:hanging="360"/>
      </w:pPr>
      <w:rPr>
        <w:rFonts w:ascii="Courier New" w:hAnsi="Courier New" w:cs="Arial" w:hint="default"/>
      </w:rPr>
    </w:lvl>
    <w:lvl w:ilvl="2" w:tplc="A9384C04" w:tentative="1">
      <w:start w:val="1"/>
      <w:numFmt w:val="bullet"/>
      <w:lvlText w:val=""/>
      <w:lvlJc w:val="left"/>
      <w:pPr>
        <w:ind w:left="2160" w:hanging="360"/>
      </w:pPr>
      <w:rPr>
        <w:rFonts w:ascii="Wingdings" w:hAnsi="Wingdings" w:hint="default"/>
      </w:rPr>
    </w:lvl>
    <w:lvl w:ilvl="3" w:tplc="CA48D576" w:tentative="1">
      <w:start w:val="1"/>
      <w:numFmt w:val="bullet"/>
      <w:lvlText w:val=""/>
      <w:lvlJc w:val="left"/>
      <w:pPr>
        <w:ind w:left="2880" w:hanging="360"/>
      </w:pPr>
      <w:rPr>
        <w:rFonts w:ascii="Symbol" w:hAnsi="Symbol" w:hint="default"/>
      </w:rPr>
    </w:lvl>
    <w:lvl w:ilvl="4" w:tplc="B570FF54" w:tentative="1">
      <w:start w:val="1"/>
      <w:numFmt w:val="bullet"/>
      <w:lvlText w:val="o"/>
      <w:lvlJc w:val="left"/>
      <w:pPr>
        <w:ind w:left="3600" w:hanging="360"/>
      </w:pPr>
      <w:rPr>
        <w:rFonts w:ascii="Courier New" w:hAnsi="Courier New" w:cs="Arial" w:hint="default"/>
      </w:rPr>
    </w:lvl>
    <w:lvl w:ilvl="5" w:tplc="E7148C32" w:tentative="1">
      <w:start w:val="1"/>
      <w:numFmt w:val="bullet"/>
      <w:lvlText w:val=""/>
      <w:lvlJc w:val="left"/>
      <w:pPr>
        <w:ind w:left="4320" w:hanging="360"/>
      </w:pPr>
      <w:rPr>
        <w:rFonts w:ascii="Wingdings" w:hAnsi="Wingdings" w:hint="default"/>
      </w:rPr>
    </w:lvl>
    <w:lvl w:ilvl="6" w:tplc="BFB4D45C" w:tentative="1">
      <w:start w:val="1"/>
      <w:numFmt w:val="bullet"/>
      <w:lvlText w:val=""/>
      <w:lvlJc w:val="left"/>
      <w:pPr>
        <w:ind w:left="5040" w:hanging="360"/>
      </w:pPr>
      <w:rPr>
        <w:rFonts w:ascii="Symbol" w:hAnsi="Symbol" w:hint="default"/>
      </w:rPr>
    </w:lvl>
    <w:lvl w:ilvl="7" w:tplc="479CA230" w:tentative="1">
      <w:start w:val="1"/>
      <w:numFmt w:val="bullet"/>
      <w:lvlText w:val="o"/>
      <w:lvlJc w:val="left"/>
      <w:pPr>
        <w:ind w:left="5760" w:hanging="360"/>
      </w:pPr>
      <w:rPr>
        <w:rFonts w:ascii="Courier New" w:hAnsi="Courier New" w:cs="Arial" w:hint="default"/>
      </w:rPr>
    </w:lvl>
    <w:lvl w:ilvl="8" w:tplc="83DE44B6" w:tentative="1">
      <w:start w:val="1"/>
      <w:numFmt w:val="bullet"/>
      <w:lvlText w:val=""/>
      <w:lvlJc w:val="left"/>
      <w:pPr>
        <w:ind w:left="6480" w:hanging="360"/>
      </w:pPr>
      <w:rPr>
        <w:rFonts w:ascii="Wingdings" w:hAnsi="Wingdings" w:hint="default"/>
      </w:rPr>
    </w:lvl>
  </w:abstractNum>
  <w:abstractNum w:abstractNumId="35" w15:restartNumberingAfterBreak="0">
    <w:nsid w:val="5C89346A"/>
    <w:multiLevelType w:val="hybridMultilevel"/>
    <w:tmpl w:val="F694165A"/>
    <w:lvl w:ilvl="0" w:tplc="CA328992">
      <w:start w:val="1"/>
      <w:numFmt w:val="bullet"/>
      <w:lvlText w:val="•"/>
      <w:lvlJc w:val="left"/>
      <w:pPr>
        <w:ind w:left="585"/>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1" w:tplc="4080CC22">
      <w:start w:val="1"/>
      <w:numFmt w:val="bullet"/>
      <w:lvlText w:val="o"/>
      <w:lvlJc w:val="left"/>
      <w:pPr>
        <w:ind w:left="142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2" w:tplc="AAB6B1C0">
      <w:start w:val="1"/>
      <w:numFmt w:val="bullet"/>
      <w:lvlText w:val="▪"/>
      <w:lvlJc w:val="left"/>
      <w:pPr>
        <w:ind w:left="214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3" w:tplc="7EBC75A4">
      <w:start w:val="1"/>
      <w:numFmt w:val="bullet"/>
      <w:lvlText w:val="•"/>
      <w:lvlJc w:val="left"/>
      <w:pPr>
        <w:ind w:left="286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4" w:tplc="B8CC1A92">
      <w:start w:val="1"/>
      <w:numFmt w:val="bullet"/>
      <w:lvlText w:val="o"/>
      <w:lvlJc w:val="left"/>
      <w:pPr>
        <w:ind w:left="358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5" w:tplc="AC24837C">
      <w:start w:val="1"/>
      <w:numFmt w:val="bullet"/>
      <w:lvlText w:val="▪"/>
      <w:lvlJc w:val="left"/>
      <w:pPr>
        <w:ind w:left="430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6" w:tplc="AC5CE2BA">
      <w:start w:val="1"/>
      <w:numFmt w:val="bullet"/>
      <w:lvlText w:val="•"/>
      <w:lvlJc w:val="left"/>
      <w:pPr>
        <w:ind w:left="502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7" w:tplc="811EDF4A">
      <w:start w:val="1"/>
      <w:numFmt w:val="bullet"/>
      <w:lvlText w:val="o"/>
      <w:lvlJc w:val="left"/>
      <w:pPr>
        <w:ind w:left="574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lvl w:ilvl="8" w:tplc="A628B4B2">
      <w:start w:val="1"/>
      <w:numFmt w:val="bullet"/>
      <w:lvlText w:val="▪"/>
      <w:lvlJc w:val="left"/>
      <w:pPr>
        <w:ind w:left="6469"/>
      </w:pPr>
      <w:rPr>
        <w:rFonts w:ascii="Cambria" w:eastAsia="Cambria" w:hAnsi="Cambria" w:cs="Cambria"/>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5DD751B3"/>
    <w:multiLevelType w:val="hybridMultilevel"/>
    <w:tmpl w:val="57082860"/>
    <w:lvl w:ilvl="0" w:tplc="3D26599E">
      <w:start w:val="1"/>
      <w:numFmt w:val="decimal"/>
      <w:lvlText w:val="%1."/>
      <w:lvlJc w:val="left"/>
      <w:pPr>
        <w:ind w:left="720" w:hanging="360"/>
      </w:pPr>
      <w:rPr>
        <w:rFonts w:hint="default"/>
      </w:rPr>
    </w:lvl>
    <w:lvl w:ilvl="1" w:tplc="6F0C92A0" w:tentative="1">
      <w:start w:val="1"/>
      <w:numFmt w:val="lowerLetter"/>
      <w:lvlText w:val="%2."/>
      <w:lvlJc w:val="left"/>
      <w:pPr>
        <w:ind w:left="1440" w:hanging="360"/>
      </w:pPr>
    </w:lvl>
    <w:lvl w:ilvl="2" w:tplc="9740DE44" w:tentative="1">
      <w:start w:val="1"/>
      <w:numFmt w:val="lowerRoman"/>
      <w:lvlText w:val="%3."/>
      <w:lvlJc w:val="right"/>
      <w:pPr>
        <w:ind w:left="2160" w:hanging="180"/>
      </w:pPr>
    </w:lvl>
    <w:lvl w:ilvl="3" w:tplc="8772CA5E" w:tentative="1">
      <w:start w:val="1"/>
      <w:numFmt w:val="decimal"/>
      <w:lvlText w:val="%4."/>
      <w:lvlJc w:val="left"/>
      <w:pPr>
        <w:ind w:left="2880" w:hanging="360"/>
      </w:pPr>
    </w:lvl>
    <w:lvl w:ilvl="4" w:tplc="313884C0" w:tentative="1">
      <w:start w:val="1"/>
      <w:numFmt w:val="lowerLetter"/>
      <w:lvlText w:val="%5."/>
      <w:lvlJc w:val="left"/>
      <w:pPr>
        <w:ind w:left="3600" w:hanging="360"/>
      </w:pPr>
    </w:lvl>
    <w:lvl w:ilvl="5" w:tplc="62641F1C" w:tentative="1">
      <w:start w:val="1"/>
      <w:numFmt w:val="lowerRoman"/>
      <w:lvlText w:val="%6."/>
      <w:lvlJc w:val="right"/>
      <w:pPr>
        <w:ind w:left="4320" w:hanging="180"/>
      </w:pPr>
    </w:lvl>
    <w:lvl w:ilvl="6" w:tplc="E9748A62" w:tentative="1">
      <w:start w:val="1"/>
      <w:numFmt w:val="decimal"/>
      <w:lvlText w:val="%7."/>
      <w:lvlJc w:val="left"/>
      <w:pPr>
        <w:ind w:left="5040" w:hanging="360"/>
      </w:pPr>
    </w:lvl>
    <w:lvl w:ilvl="7" w:tplc="6BE0D6F4" w:tentative="1">
      <w:start w:val="1"/>
      <w:numFmt w:val="lowerLetter"/>
      <w:lvlText w:val="%8."/>
      <w:lvlJc w:val="left"/>
      <w:pPr>
        <w:ind w:left="5760" w:hanging="360"/>
      </w:pPr>
    </w:lvl>
    <w:lvl w:ilvl="8" w:tplc="D61681D6" w:tentative="1">
      <w:start w:val="1"/>
      <w:numFmt w:val="lowerRoman"/>
      <w:lvlText w:val="%9."/>
      <w:lvlJc w:val="right"/>
      <w:pPr>
        <w:ind w:left="6480" w:hanging="180"/>
      </w:pPr>
    </w:lvl>
  </w:abstractNum>
  <w:abstractNum w:abstractNumId="37" w15:restartNumberingAfterBreak="0">
    <w:nsid w:val="5F773261"/>
    <w:multiLevelType w:val="hybridMultilevel"/>
    <w:tmpl w:val="E76CBDCA"/>
    <w:lvl w:ilvl="0" w:tplc="D982F610">
      <w:start w:val="1"/>
      <w:numFmt w:val="decimal"/>
      <w:lvlText w:val="%1."/>
      <w:lvlJc w:val="left"/>
      <w:pPr>
        <w:ind w:left="1287" w:hanging="360"/>
      </w:pPr>
    </w:lvl>
    <w:lvl w:ilvl="1" w:tplc="6890E40E" w:tentative="1">
      <w:start w:val="1"/>
      <w:numFmt w:val="lowerLetter"/>
      <w:lvlText w:val="%2."/>
      <w:lvlJc w:val="left"/>
      <w:pPr>
        <w:ind w:left="2007" w:hanging="360"/>
      </w:pPr>
    </w:lvl>
    <w:lvl w:ilvl="2" w:tplc="96A23D4A" w:tentative="1">
      <w:start w:val="1"/>
      <w:numFmt w:val="lowerRoman"/>
      <w:lvlText w:val="%3."/>
      <w:lvlJc w:val="right"/>
      <w:pPr>
        <w:ind w:left="2727" w:hanging="180"/>
      </w:pPr>
    </w:lvl>
    <w:lvl w:ilvl="3" w:tplc="D31096BE" w:tentative="1">
      <w:start w:val="1"/>
      <w:numFmt w:val="decimal"/>
      <w:lvlText w:val="%4."/>
      <w:lvlJc w:val="left"/>
      <w:pPr>
        <w:ind w:left="3447" w:hanging="360"/>
      </w:pPr>
    </w:lvl>
    <w:lvl w:ilvl="4" w:tplc="6DDC11F6" w:tentative="1">
      <w:start w:val="1"/>
      <w:numFmt w:val="lowerLetter"/>
      <w:lvlText w:val="%5."/>
      <w:lvlJc w:val="left"/>
      <w:pPr>
        <w:ind w:left="4167" w:hanging="360"/>
      </w:pPr>
    </w:lvl>
    <w:lvl w:ilvl="5" w:tplc="768A1A6A" w:tentative="1">
      <w:start w:val="1"/>
      <w:numFmt w:val="lowerRoman"/>
      <w:lvlText w:val="%6."/>
      <w:lvlJc w:val="right"/>
      <w:pPr>
        <w:ind w:left="4887" w:hanging="180"/>
      </w:pPr>
    </w:lvl>
    <w:lvl w:ilvl="6" w:tplc="9564B802" w:tentative="1">
      <w:start w:val="1"/>
      <w:numFmt w:val="decimal"/>
      <w:lvlText w:val="%7."/>
      <w:lvlJc w:val="left"/>
      <w:pPr>
        <w:ind w:left="5607" w:hanging="360"/>
      </w:pPr>
    </w:lvl>
    <w:lvl w:ilvl="7" w:tplc="C286036A" w:tentative="1">
      <w:start w:val="1"/>
      <w:numFmt w:val="lowerLetter"/>
      <w:lvlText w:val="%8."/>
      <w:lvlJc w:val="left"/>
      <w:pPr>
        <w:ind w:left="6327" w:hanging="360"/>
      </w:pPr>
    </w:lvl>
    <w:lvl w:ilvl="8" w:tplc="64C67830" w:tentative="1">
      <w:start w:val="1"/>
      <w:numFmt w:val="lowerRoman"/>
      <w:lvlText w:val="%9."/>
      <w:lvlJc w:val="right"/>
      <w:pPr>
        <w:ind w:left="7047" w:hanging="180"/>
      </w:pPr>
    </w:lvl>
  </w:abstractNum>
  <w:abstractNum w:abstractNumId="38" w15:restartNumberingAfterBreak="0">
    <w:nsid w:val="601E2CDC"/>
    <w:multiLevelType w:val="hybridMultilevel"/>
    <w:tmpl w:val="C84231E2"/>
    <w:lvl w:ilvl="0" w:tplc="10284B74">
      <w:start w:val="1"/>
      <w:numFmt w:val="decimal"/>
      <w:lvlText w:val="%1)"/>
      <w:lvlJc w:val="left"/>
      <w:pPr>
        <w:ind w:left="2520" w:hanging="360"/>
      </w:pPr>
      <w:rPr>
        <w:rFonts w:hint="default"/>
      </w:rPr>
    </w:lvl>
    <w:lvl w:ilvl="1" w:tplc="0F822A0C">
      <w:start w:val="1"/>
      <w:numFmt w:val="lowerLetter"/>
      <w:lvlText w:val="%2."/>
      <w:lvlJc w:val="left"/>
      <w:pPr>
        <w:ind w:left="3240" w:hanging="360"/>
      </w:pPr>
    </w:lvl>
    <w:lvl w:ilvl="2" w:tplc="86E22716" w:tentative="1">
      <w:start w:val="1"/>
      <w:numFmt w:val="lowerRoman"/>
      <w:lvlText w:val="%3."/>
      <w:lvlJc w:val="right"/>
      <w:pPr>
        <w:ind w:left="3960" w:hanging="180"/>
      </w:pPr>
    </w:lvl>
    <w:lvl w:ilvl="3" w:tplc="E15ABF2C" w:tentative="1">
      <w:start w:val="1"/>
      <w:numFmt w:val="decimal"/>
      <w:lvlText w:val="%4."/>
      <w:lvlJc w:val="left"/>
      <w:pPr>
        <w:ind w:left="4680" w:hanging="360"/>
      </w:pPr>
    </w:lvl>
    <w:lvl w:ilvl="4" w:tplc="88E4FADA" w:tentative="1">
      <w:start w:val="1"/>
      <w:numFmt w:val="lowerLetter"/>
      <w:lvlText w:val="%5."/>
      <w:lvlJc w:val="left"/>
      <w:pPr>
        <w:ind w:left="5400" w:hanging="360"/>
      </w:pPr>
    </w:lvl>
    <w:lvl w:ilvl="5" w:tplc="02328956" w:tentative="1">
      <w:start w:val="1"/>
      <w:numFmt w:val="lowerRoman"/>
      <w:lvlText w:val="%6."/>
      <w:lvlJc w:val="right"/>
      <w:pPr>
        <w:ind w:left="6120" w:hanging="180"/>
      </w:pPr>
    </w:lvl>
    <w:lvl w:ilvl="6" w:tplc="257EBDB0" w:tentative="1">
      <w:start w:val="1"/>
      <w:numFmt w:val="decimal"/>
      <w:lvlText w:val="%7."/>
      <w:lvlJc w:val="left"/>
      <w:pPr>
        <w:ind w:left="6840" w:hanging="360"/>
      </w:pPr>
    </w:lvl>
    <w:lvl w:ilvl="7" w:tplc="C1DA3CF4" w:tentative="1">
      <w:start w:val="1"/>
      <w:numFmt w:val="lowerLetter"/>
      <w:lvlText w:val="%8."/>
      <w:lvlJc w:val="left"/>
      <w:pPr>
        <w:ind w:left="7560" w:hanging="360"/>
      </w:pPr>
    </w:lvl>
    <w:lvl w:ilvl="8" w:tplc="EA045B08" w:tentative="1">
      <w:start w:val="1"/>
      <w:numFmt w:val="lowerRoman"/>
      <w:lvlText w:val="%9."/>
      <w:lvlJc w:val="right"/>
      <w:pPr>
        <w:ind w:left="8280" w:hanging="180"/>
      </w:pPr>
    </w:lvl>
  </w:abstractNum>
  <w:abstractNum w:abstractNumId="39" w15:restartNumberingAfterBreak="0">
    <w:nsid w:val="63015A2E"/>
    <w:multiLevelType w:val="hybridMultilevel"/>
    <w:tmpl w:val="23221B56"/>
    <w:lvl w:ilvl="0" w:tplc="25881C42">
      <w:start w:val="1"/>
      <w:numFmt w:val="decimal"/>
      <w:lvlText w:val="(%1)"/>
      <w:lvlJc w:val="left"/>
      <w:pPr>
        <w:ind w:left="720" w:hanging="360"/>
      </w:pPr>
      <w:rPr>
        <w:rFonts w:hint="default"/>
      </w:rPr>
    </w:lvl>
    <w:lvl w:ilvl="1" w:tplc="5F3E6206" w:tentative="1">
      <w:start w:val="1"/>
      <w:numFmt w:val="lowerLetter"/>
      <w:lvlText w:val="%2."/>
      <w:lvlJc w:val="left"/>
      <w:pPr>
        <w:ind w:left="1440" w:hanging="360"/>
      </w:pPr>
    </w:lvl>
    <w:lvl w:ilvl="2" w:tplc="1110F86A" w:tentative="1">
      <w:start w:val="1"/>
      <w:numFmt w:val="lowerRoman"/>
      <w:lvlText w:val="%3."/>
      <w:lvlJc w:val="right"/>
      <w:pPr>
        <w:ind w:left="2160" w:hanging="180"/>
      </w:pPr>
    </w:lvl>
    <w:lvl w:ilvl="3" w:tplc="98742E3E" w:tentative="1">
      <w:start w:val="1"/>
      <w:numFmt w:val="decimal"/>
      <w:lvlText w:val="%4."/>
      <w:lvlJc w:val="left"/>
      <w:pPr>
        <w:ind w:left="2880" w:hanging="360"/>
      </w:pPr>
    </w:lvl>
    <w:lvl w:ilvl="4" w:tplc="45843D40" w:tentative="1">
      <w:start w:val="1"/>
      <w:numFmt w:val="lowerLetter"/>
      <w:lvlText w:val="%5."/>
      <w:lvlJc w:val="left"/>
      <w:pPr>
        <w:ind w:left="3600" w:hanging="360"/>
      </w:pPr>
    </w:lvl>
    <w:lvl w:ilvl="5" w:tplc="3F5AB546" w:tentative="1">
      <w:start w:val="1"/>
      <w:numFmt w:val="lowerRoman"/>
      <w:lvlText w:val="%6."/>
      <w:lvlJc w:val="right"/>
      <w:pPr>
        <w:ind w:left="4320" w:hanging="180"/>
      </w:pPr>
    </w:lvl>
    <w:lvl w:ilvl="6" w:tplc="C756E7E6" w:tentative="1">
      <w:start w:val="1"/>
      <w:numFmt w:val="decimal"/>
      <w:lvlText w:val="%7."/>
      <w:lvlJc w:val="left"/>
      <w:pPr>
        <w:ind w:left="5040" w:hanging="360"/>
      </w:pPr>
    </w:lvl>
    <w:lvl w:ilvl="7" w:tplc="083427C6" w:tentative="1">
      <w:start w:val="1"/>
      <w:numFmt w:val="lowerLetter"/>
      <w:lvlText w:val="%8."/>
      <w:lvlJc w:val="left"/>
      <w:pPr>
        <w:ind w:left="5760" w:hanging="360"/>
      </w:pPr>
    </w:lvl>
    <w:lvl w:ilvl="8" w:tplc="4B821F0C" w:tentative="1">
      <w:start w:val="1"/>
      <w:numFmt w:val="lowerRoman"/>
      <w:lvlText w:val="%9."/>
      <w:lvlJc w:val="right"/>
      <w:pPr>
        <w:ind w:left="6480" w:hanging="180"/>
      </w:pPr>
    </w:lvl>
  </w:abstractNum>
  <w:abstractNum w:abstractNumId="40" w15:restartNumberingAfterBreak="0">
    <w:nsid w:val="63FA38AF"/>
    <w:multiLevelType w:val="hybridMultilevel"/>
    <w:tmpl w:val="C96A95C2"/>
    <w:lvl w:ilvl="0" w:tplc="5970923C">
      <w:start w:val="1"/>
      <w:numFmt w:val="decimal"/>
      <w:lvlText w:val="%1."/>
      <w:lvlJc w:val="left"/>
      <w:pPr>
        <w:ind w:left="720" w:hanging="360"/>
      </w:pPr>
      <w:rPr>
        <w:rFonts w:hint="default"/>
      </w:rPr>
    </w:lvl>
    <w:lvl w:ilvl="1" w:tplc="7D50D9F8" w:tentative="1">
      <w:start w:val="1"/>
      <w:numFmt w:val="lowerLetter"/>
      <w:lvlText w:val="%2."/>
      <w:lvlJc w:val="left"/>
      <w:pPr>
        <w:ind w:left="1440" w:hanging="360"/>
      </w:pPr>
    </w:lvl>
    <w:lvl w:ilvl="2" w:tplc="A3EE6608" w:tentative="1">
      <w:start w:val="1"/>
      <w:numFmt w:val="lowerRoman"/>
      <w:lvlText w:val="%3."/>
      <w:lvlJc w:val="right"/>
      <w:pPr>
        <w:ind w:left="2160" w:hanging="180"/>
      </w:pPr>
    </w:lvl>
    <w:lvl w:ilvl="3" w:tplc="9AAE8162" w:tentative="1">
      <w:start w:val="1"/>
      <w:numFmt w:val="decimal"/>
      <w:lvlText w:val="%4."/>
      <w:lvlJc w:val="left"/>
      <w:pPr>
        <w:ind w:left="2880" w:hanging="360"/>
      </w:pPr>
    </w:lvl>
    <w:lvl w:ilvl="4" w:tplc="FD88FA48" w:tentative="1">
      <w:start w:val="1"/>
      <w:numFmt w:val="lowerLetter"/>
      <w:lvlText w:val="%5."/>
      <w:lvlJc w:val="left"/>
      <w:pPr>
        <w:ind w:left="3600" w:hanging="360"/>
      </w:pPr>
    </w:lvl>
    <w:lvl w:ilvl="5" w:tplc="459E156A" w:tentative="1">
      <w:start w:val="1"/>
      <w:numFmt w:val="lowerRoman"/>
      <w:lvlText w:val="%6."/>
      <w:lvlJc w:val="right"/>
      <w:pPr>
        <w:ind w:left="4320" w:hanging="180"/>
      </w:pPr>
    </w:lvl>
    <w:lvl w:ilvl="6" w:tplc="F8F67D82" w:tentative="1">
      <w:start w:val="1"/>
      <w:numFmt w:val="decimal"/>
      <w:lvlText w:val="%7."/>
      <w:lvlJc w:val="left"/>
      <w:pPr>
        <w:ind w:left="5040" w:hanging="360"/>
      </w:pPr>
    </w:lvl>
    <w:lvl w:ilvl="7" w:tplc="576AF1E8" w:tentative="1">
      <w:start w:val="1"/>
      <w:numFmt w:val="lowerLetter"/>
      <w:lvlText w:val="%8."/>
      <w:lvlJc w:val="left"/>
      <w:pPr>
        <w:ind w:left="5760" w:hanging="360"/>
      </w:pPr>
    </w:lvl>
    <w:lvl w:ilvl="8" w:tplc="F3163A80" w:tentative="1">
      <w:start w:val="1"/>
      <w:numFmt w:val="lowerRoman"/>
      <w:lvlText w:val="%9."/>
      <w:lvlJc w:val="right"/>
      <w:pPr>
        <w:ind w:left="6480" w:hanging="180"/>
      </w:pPr>
    </w:lvl>
  </w:abstractNum>
  <w:abstractNum w:abstractNumId="41" w15:restartNumberingAfterBreak="0">
    <w:nsid w:val="677A105A"/>
    <w:multiLevelType w:val="hybridMultilevel"/>
    <w:tmpl w:val="E6A01C3C"/>
    <w:lvl w:ilvl="0" w:tplc="76C2707C">
      <w:start w:val="1"/>
      <w:numFmt w:val="decimal"/>
      <w:lvlText w:val="%1."/>
      <w:lvlJc w:val="left"/>
      <w:pPr>
        <w:ind w:left="720" w:hanging="360"/>
      </w:pPr>
      <w:rPr>
        <w:rFonts w:hint="default"/>
      </w:rPr>
    </w:lvl>
    <w:lvl w:ilvl="1" w:tplc="C6286682" w:tentative="1">
      <w:start w:val="1"/>
      <w:numFmt w:val="lowerLetter"/>
      <w:lvlText w:val="%2."/>
      <w:lvlJc w:val="left"/>
      <w:pPr>
        <w:ind w:left="1440" w:hanging="360"/>
      </w:pPr>
    </w:lvl>
    <w:lvl w:ilvl="2" w:tplc="FD123D2A" w:tentative="1">
      <w:start w:val="1"/>
      <w:numFmt w:val="lowerRoman"/>
      <w:lvlText w:val="%3."/>
      <w:lvlJc w:val="right"/>
      <w:pPr>
        <w:ind w:left="2160" w:hanging="180"/>
      </w:pPr>
    </w:lvl>
    <w:lvl w:ilvl="3" w:tplc="C9462560" w:tentative="1">
      <w:start w:val="1"/>
      <w:numFmt w:val="decimal"/>
      <w:lvlText w:val="%4."/>
      <w:lvlJc w:val="left"/>
      <w:pPr>
        <w:ind w:left="2880" w:hanging="360"/>
      </w:pPr>
    </w:lvl>
    <w:lvl w:ilvl="4" w:tplc="4F166462" w:tentative="1">
      <w:start w:val="1"/>
      <w:numFmt w:val="lowerLetter"/>
      <w:lvlText w:val="%5."/>
      <w:lvlJc w:val="left"/>
      <w:pPr>
        <w:ind w:left="3600" w:hanging="360"/>
      </w:pPr>
    </w:lvl>
    <w:lvl w:ilvl="5" w:tplc="6B24C138" w:tentative="1">
      <w:start w:val="1"/>
      <w:numFmt w:val="lowerRoman"/>
      <w:lvlText w:val="%6."/>
      <w:lvlJc w:val="right"/>
      <w:pPr>
        <w:ind w:left="4320" w:hanging="180"/>
      </w:pPr>
    </w:lvl>
    <w:lvl w:ilvl="6" w:tplc="FDBEF2B8" w:tentative="1">
      <w:start w:val="1"/>
      <w:numFmt w:val="decimal"/>
      <w:lvlText w:val="%7."/>
      <w:lvlJc w:val="left"/>
      <w:pPr>
        <w:ind w:left="5040" w:hanging="360"/>
      </w:pPr>
    </w:lvl>
    <w:lvl w:ilvl="7" w:tplc="3E7CADC0" w:tentative="1">
      <w:start w:val="1"/>
      <w:numFmt w:val="lowerLetter"/>
      <w:lvlText w:val="%8."/>
      <w:lvlJc w:val="left"/>
      <w:pPr>
        <w:ind w:left="5760" w:hanging="360"/>
      </w:pPr>
    </w:lvl>
    <w:lvl w:ilvl="8" w:tplc="23B07C5C" w:tentative="1">
      <w:start w:val="1"/>
      <w:numFmt w:val="lowerRoman"/>
      <w:lvlText w:val="%9."/>
      <w:lvlJc w:val="right"/>
      <w:pPr>
        <w:ind w:left="6480" w:hanging="180"/>
      </w:pPr>
    </w:lvl>
  </w:abstractNum>
  <w:abstractNum w:abstractNumId="42" w15:restartNumberingAfterBreak="0">
    <w:nsid w:val="69E3073B"/>
    <w:multiLevelType w:val="hybridMultilevel"/>
    <w:tmpl w:val="55089048"/>
    <w:lvl w:ilvl="0" w:tplc="7F86B2A0">
      <w:start w:val="1"/>
      <w:numFmt w:val="decimal"/>
      <w:lvlText w:val="%1)"/>
      <w:lvlJc w:val="left"/>
      <w:pPr>
        <w:ind w:left="720" w:hanging="360"/>
      </w:pPr>
      <w:rPr>
        <w:rFonts w:hint="default"/>
      </w:rPr>
    </w:lvl>
    <w:lvl w:ilvl="1" w:tplc="1D22EB8C" w:tentative="1">
      <w:start w:val="1"/>
      <w:numFmt w:val="lowerLetter"/>
      <w:lvlText w:val="%2."/>
      <w:lvlJc w:val="left"/>
      <w:pPr>
        <w:ind w:left="1440" w:hanging="360"/>
      </w:pPr>
    </w:lvl>
    <w:lvl w:ilvl="2" w:tplc="02082F6C" w:tentative="1">
      <w:start w:val="1"/>
      <w:numFmt w:val="lowerRoman"/>
      <w:lvlText w:val="%3."/>
      <w:lvlJc w:val="right"/>
      <w:pPr>
        <w:ind w:left="2160" w:hanging="180"/>
      </w:pPr>
    </w:lvl>
    <w:lvl w:ilvl="3" w:tplc="A48AC5DC" w:tentative="1">
      <w:start w:val="1"/>
      <w:numFmt w:val="decimal"/>
      <w:lvlText w:val="%4."/>
      <w:lvlJc w:val="left"/>
      <w:pPr>
        <w:ind w:left="2880" w:hanging="360"/>
      </w:pPr>
    </w:lvl>
    <w:lvl w:ilvl="4" w:tplc="009E1A00" w:tentative="1">
      <w:start w:val="1"/>
      <w:numFmt w:val="lowerLetter"/>
      <w:lvlText w:val="%5."/>
      <w:lvlJc w:val="left"/>
      <w:pPr>
        <w:ind w:left="3600" w:hanging="360"/>
      </w:pPr>
    </w:lvl>
    <w:lvl w:ilvl="5" w:tplc="E5DCDFEA" w:tentative="1">
      <w:start w:val="1"/>
      <w:numFmt w:val="lowerRoman"/>
      <w:lvlText w:val="%6."/>
      <w:lvlJc w:val="right"/>
      <w:pPr>
        <w:ind w:left="4320" w:hanging="180"/>
      </w:pPr>
    </w:lvl>
    <w:lvl w:ilvl="6" w:tplc="B5A046B6" w:tentative="1">
      <w:start w:val="1"/>
      <w:numFmt w:val="decimal"/>
      <w:lvlText w:val="%7."/>
      <w:lvlJc w:val="left"/>
      <w:pPr>
        <w:ind w:left="5040" w:hanging="360"/>
      </w:pPr>
    </w:lvl>
    <w:lvl w:ilvl="7" w:tplc="00AAD786" w:tentative="1">
      <w:start w:val="1"/>
      <w:numFmt w:val="lowerLetter"/>
      <w:lvlText w:val="%8."/>
      <w:lvlJc w:val="left"/>
      <w:pPr>
        <w:ind w:left="5760" w:hanging="360"/>
      </w:pPr>
    </w:lvl>
    <w:lvl w:ilvl="8" w:tplc="F0B4DAF6" w:tentative="1">
      <w:start w:val="1"/>
      <w:numFmt w:val="lowerRoman"/>
      <w:lvlText w:val="%9."/>
      <w:lvlJc w:val="right"/>
      <w:pPr>
        <w:ind w:left="6480" w:hanging="180"/>
      </w:pPr>
    </w:lvl>
  </w:abstractNum>
  <w:abstractNum w:abstractNumId="43" w15:restartNumberingAfterBreak="0">
    <w:nsid w:val="6AB73CEC"/>
    <w:multiLevelType w:val="hybridMultilevel"/>
    <w:tmpl w:val="E49CE714"/>
    <w:lvl w:ilvl="0" w:tplc="ADFE6C18">
      <w:start w:val="1"/>
      <w:numFmt w:val="decimal"/>
      <w:lvlText w:val="%1."/>
      <w:lvlJc w:val="left"/>
      <w:pPr>
        <w:ind w:left="720" w:hanging="360"/>
      </w:pPr>
    </w:lvl>
    <w:lvl w:ilvl="1" w:tplc="5ACA6A14" w:tentative="1">
      <w:start w:val="1"/>
      <w:numFmt w:val="lowerLetter"/>
      <w:lvlText w:val="%2."/>
      <w:lvlJc w:val="left"/>
      <w:pPr>
        <w:ind w:left="1440" w:hanging="360"/>
      </w:pPr>
    </w:lvl>
    <w:lvl w:ilvl="2" w:tplc="F78C537A" w:tentative="1">
      <w:start w:val="1"/>
      <w:numFmt w:val="lowerRoman"/>
      <w:lvlText w:val="%3."/>
      <w:lvlJc w:val="right"/>
      <w:pPr>
        <w:ind w:left="2160" w:hanging="180"/>
      </w:pPr>
    </w:lvl>
    <w:lvl w:ilvl="3" w:tplc="E736A796" w:tentative="1">
      <w:start w:val="1"/>
      <w:numFmt w:val="decimal"/>
      <w:lvlText w:val="%4."/>
      <w:lvlJc w:val="left"/>
      <w:pPr>
        <w:ind w:left="2880" w:hanging="360"/>
      </w:pPr>
    </w:lvl>
    <w:lvl w:ilvl="4" w:tplc="96109294" w:tentative="1">
      <w:start w:val="1"/>
      <w:numFmt w:val="lowerLetter"/>
      <w:lvlText w:val="%5."/>
      <w:lvlJc w:val="left"/>
      <w:pPr>
        <w:ind w:left="3600" w:hanging="360"/>
      </w:pPr>
    </w:lvl>
    <w:lvl w:ilvl="5" w:tplc="E4BA61D4" w:tentative="1">
      <w:start w:val="1"/>
      <w:numFmt w:val="lowerRoman"/>
      <w:lvlText w:val="%6."/>
      <w:lvlJc w:val="right"/>
      <w:pPr>
        <w:ind w:left="4320" w:hanging="180"/>
      </w:pPr>
    </w:lvl>
    <w:lvl w:ilvl="6" w:tplc="A0FEA554" w:tentative="1">
      <w:start w:val="1"/>
      <w:numFmt w:val="decimal"/>
      <w:lvlText w:val="%7."/>
      <w:lvlJc w:val="left"/>
      <w:pPr>
        <w:ind w:left="5040" w:hanging="360"/>
      </w:pPr>
    </w:lvl>
    <w:lvl w:ilvl="7" w:tplc="05640780" w:tentative="1">
      <w:start w:val="1"/>
      <w:numFmt w:val="lowerLetter"/>
      <w:lvlText w:val="%8."/>
      <w:lvlJc w:val="left"/>
      <w:pPr>
        <w:ind w:left="5760" w:hanging="360"/>
      </w:pPr>
    </w:lvl>
    <w:lvl w:ilvl="8" w:tplc="F39C3650" w:tentative="1">
      <w:start w:val="1"/>
      <w:numFmt w:val="lowerRoman"/>
      <w:lvlText w:val="%9."/>
      <w:lvlJc w:val="right"/>
      <w:pPr>
        <w:ind w:left="6480" w:hanging="180"/>
      </w:pPr>
    </w:lvl>
  </w:abstractNum>
  <w:abstractNum w:abstractNumId="44"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14081681">
    <w:abstractNumId w:val="35"/>
  </w:num>
  <w:num w:numId="2" w16cid:durableId="54165017">
    <w:abstractNumId w:val="24"/>
  </w:num>
  <w:num w:numId="3" w16cid:durableId="1775322307">
    <w:abstractNumId w:val="42"/>
  </w:num>
  <w:num w:numId="4" w16cid:durableId="996954476">
    <w:abstractNumId w:val="38"/>
  </w:num>
  <w:num w:numId="5" w16cid:durableId="1456289956">
    <w:abstractNumId w:val="19"/>
  </w:num>
  <w:num w:numId="6" w16cid:durableId="688944893">
    <w:abstractNumId w:val="28"/>
  </w:num>
  <w:num w:numId="7" w16cid:durableId="361368008">
    <w:abstractNumId w:val="20"/>
  </w:num>
  <w:num w:numId="8" w16cid:durableId="2053769694">
    <w:abstractNumId w:val="31"/>
  </w:num>
  <w:num w:numId="9" w16cid:durableId="1259824998">
    <w:abstractNumId w:val="1"/>
  </w:num>
  <w:num w:numId="10" w16cid:durableId="187791326">
    <w:abstractNumId w:val="2"/>
  </w:num>
  <w:num w:numId="11" w16cid:durableId="1144353691">
    <w:abstractNumId w:val="3"/>
  </w:num>
  <w:num w:numId="12" w16cid:durableId="1523938329">
    <w:abstractNumId w:val="4"/>
  </w:num>
  <w:num w:numId="13" w16cid:durableId="586614593">
    <w:abstractNumId w:val="9"/>
  </w:num>
  <w:num w:numId="14" w16cid:durableId="1786265285">
    <w:abstractNumId w:val="5"/>
  </w:num>
  <w:num w:numId="15" w16cid:durableId="1509364720">
    <w:abstractNumId w:val="7"/>
  </w:num>
  <w:num w:numId="16" w16cid:durableId="422382698">
    <w:abstractNumId w:val="6"/>
  </w:num>
  <w:num w:numId="17" w16cid:durableId="1598831966">
    <w:abstractNumId w:val="10"/>
  </w:num>
  <w:num w:numId="18" w16cid:durableId="2037348881">
    <w:abstractNumId w:val="8"/>
  </w:num>
  <w:num w:numId="19" w16cid:durableId="821895563">
    <w:abstractNumId w:val="25"/>
  </w:num>
  <w:num w:numId="20" w16cid:durableId="171844619">
    <w:abstractNumId w:val="34"/>
  </w:num>
  <w:num w:numId="21" w16cid:durableId="45569248">
    <w:abstractNumId w:val="18"/>
  </w:num>
  <w:num w:numId="22" w16cid:durableId="1299143169">
    <w:abstractNumId w:val="23"/>
  </w:num>
  <w:num w:numId="23" w16cid:durableId="582644616">
    <w:abstractNumId w:val="12"/>
  </w:num>
  <w:num w:numId="24" w16cid:durableId="1914778602">
    <w:abstractNumId w:val="0"/>
  </w:num>
  <w:num w:numId="25" w16cid:durableId="1295674477">
    <w:abstractNumId w:val="14"/>
  </w:num>
  <w:num w:numId="26" w16cid:durableId="1651203755">
    <w:abstractNumId w:val="26"/>
  </w:num>
  <w:num w:numId="27" w16cid:durableId="489449456">
    <w:abstractNumId w:val="36"/>
  </w:num>
  <w:num w:numId="28" w16cid:durableId="741683233">
    <w:abstractNumId w:val="40"/>
  </w:num>
  <w:num w:numId="29" w16cid:durableId="644316682">
    <w:abstractNumId w:val="16"/>
  </w:num>
  <w:num w:numId="30" w16cid:durableId="589892118">
    <w:abstractNumId w:val="44"/>
  </w:num>
  <w:num w:numId="31" w16cid:durableId="723794443">
    <w:abstractNumId w:val="37"/>
  </w:num>
  <w:num w:numId="32" w16cid:durableId="1916940293">
    <w:abstractNumId w:val="13"/>
  </w:num>
  <w:num w:numId="33" w16cid:durableId="1958288966">
    <w:abstractNumId w:val="11"/>
  </w:num>
  <w:num w:numId="34" w16cid:durableId="529681669">
    <w:abstractNumId w:val="21"/>
  </w:num>
  <w:num w:numId="35" w16cid:durableId="276186261">
    <w:abstractNumId w:val="39"/>
  </w:num>
  <w:num w:numId="36" w16cid:durableId="1429347681">
    <w:abstractNumId w:val="27"/>
  </w:num>
  <w:num w:numId="37" w16cid:durableId="1008679125">
    <w:abstractNumId w:val="43"/>
  </w:num>
  <w:num w:numId="38" w16cid:durableId="2070495313">
    <w:abstractNumId w:val="30"/>
  </w:num>
  <w:num w:numId="39" w16cid:durableId="835851237">
    <w:abstractNumId w:val="33"/>
  </w:num>
  <w:num w:numId="40" w16cid:durableId="1918394680">
    <w:abstractNumId w:val="29"/>
  </w:num>
  <w:num w:numId="41" w16cid:durableId="785276745">
    <w:abstractNumId w:val="41"/>
  </w:num>
  <w:num w:numId="42" w16cid:durableId="788664300">
    <w:abstractNumId w:val="32"/>
  </w:num>
  <w:num w:numId="43" w16cid:durableId="141166486">
    <w:abstractNumId w:val="22"/>
  </w:num>
  <w:num w:numId="44" w16cid:durableId="1036470102">
    <w:abstractNumId w:val="17"/>
  </w:num>
  <w:num w:numId="45" w16cid:durableId="207238849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714"/>
    <w:rsid w:val="00004306"/>
    <w:rsid w:val="00012470"/>
    <w:rsid w:val="00014686"/>
    <w:rsid w:val="00036A8D"/>
    <w:rsid w:val="00040A0F"/>
    <w:rsid w:val="00064E3A"/>
    <w:rsid w:val="0007773C"/>
    <w:rsid w:val="00081057"/>
    <w:rsid w:val="000902E5"/>
    <w:rsid w:val="000A0217"/>
    <w:rsid w:val="000A1568"/>
    <w:rsid w:val="000B02B9"/>
    <w:rsid w:val="000B3414"/>
    <w:rsid w:val="000B7EA8"/>
    <w:rsid w:val="000D26AF"/>
    <w:rsid w:val="000E3D56"/>
    <w:rsid w:val="000F1083"/>
    <w:rsid w:val="001570D9"/>
    <w:rsid w:val="0016102D"/>
    <w:rsid w:val="0016313A"/>
    <w:rsid w:val="00173176"/>
    <w:rsid w:val="001917B6"/>
    <w:rsid w:val="001917DC"/>
    <w:rsid w:val="0019671C"/>
    <w:rsid w:val="001A44B6"/>
    <w:rsid w:val="001C5B6A"/>
    <w:rsid w:val="001C6663"/>
    <w:rsid w:val="001D0226"/>
    <w:rsid w:val="001E51E3"/>
    <w:rsid w:val="001F00A6"/>
    <w:rsid w:val="001F762E"/>
    <w:rsid w:val="00205F23"/>
    <w:rsid w:val="00207CAB"/>
    <w:rsid w:val="00237E90"/>
    <w:rsid w:val="00247099"/>
    <w:rsid w:val="00255BC1"/>
    <w:rsid w:val="00261003"/>
    <w:rsid w:val="00271714"/>
    <w:rsid w:val="002733EF"/>
    <w:rsid w:val="00281D73"/>
    <w:rsid w:val="002934F3"/>
    <w:rsid w:val="0029590C"/>
    <w:rsid w:val="002A4A64"/>
    <w:rsid w:val="002B27BF"/>
    <w:rsid w:val="002B49A3"/>
    <w:rsid w:val="002C1D1C"/>
    <w:rsid w:val="002E56D8"/>
    <w:rsid w:val="00306C91"/>
    <w:rsid w:val="003234C8"/>
    <w:rsid w:val="0033338F"/>
    <w:rsid w:val="00334458"/>
    <w:rsid w:val="00335B0A"/>
    <w:rsid w:val="00376EBB"/>
    <w:rsid w:val="00377EA2"/>
    <w:rsid w:val="003803A2"/>
    <w:rsid w:val="0038490C"/>
    <w:rsid w:val="00387D69"/>
    <w:rsid w:val="00390395"/>
    <w:rsid w:val="00397C08"/>
    <w:rsid w:val="003A3631"/>
    <w:rsid w:val="003A4EB2"/>
    <w:rsid w:val="003A50EF"/>
    <w:rsid w:val="003A5BDC"/>
    <w:rsid w:val="003C6569"/>
    <w:rsid w:val="003D3EFB"/>
    <w:rsid w:val="003D53BC"/>
    <w:rsid w:val="003D7EFF"/>
    <w:rsid w:val="003E2A63"/>
    <w:rsid w:val="003F1C42"/>
    <w:rsid w:val="004007E0"/>
    <w:rsid w:val="004138E0"/>
    <w:rsid w:val="004233F6"/>
    <w:rsid w:val="00431EAA"/>
    <w:rsid w:val="00451079"/>
    <w:rsid w:val="004530AC"/>
    <w:rsid w:val="00455505"/>
    <w:rsid w:val="004600DA"/>
    <w:rsid w:val="00463568"/>
    <w:rsid w:val="00476EB0"/>
    <w:rsid w:val="00482F7C"/>
    <w:rsid w:val="004876C9"/>
    <w:rsid w:val="00495CBB"/>
    <w:rsid w:val="00497544"/>
    <w:rsid w:val="004A4F89"/>
    <w:rsid w:val="004C57FF"/>
    <w:rsid w:val="004E5A0F"/>
    <w:rsid w:val="00506BD3"/>
    <w:rsid w:val="005076C7"/>
    <w:rsid w:val="00514668"/>
    <w:rsid w:val="00516AF3"/>
    <w:rsid w:val="0052226F"/>
    <w:rsid w:val="0053286E"/>
    <w:rsid w:val="00543897"/>
    <w:rsid w:val="0054601D"/>
    <w:rsid w:val="00563EA2"/>
    <w:rsid w:val="005739BB"/>
    <w:rsid w:val="00575DE2"/>
    <w:rsid w:val="0057613A"/>
    <w:rsid w:val="00577806"/>
    <w:rsid w:val="00591D88"/>
    <w:rsid w:val="005A1757"/>
    <w:rsid w:val="005A35EE"/>
    <w:rsid w:val="005A7B14"/>
    <w:rsid w:val="005B7A4A"/>
    <w:rsid w:val="005C3122"/>
    <w:rsid w:val="005C609A"/>
    <w:rsid w:val="005D0265"/>
    <w:rsid w:val="005E6966"/>
    <w:rsid w:val="005F1D50"/>
    <w:rsid w:val="006129D3"/>
    <w:rsid w:val="00613953"/>
    <w:rsid w:val="00614B68"/>
    <w:rsid w:val="006268FC"/>
    <w:rsid w:val="006401CC"/>
    <w:rsid w:val="00650163"/>
    <w:rsid w:val="00656DDE"/>
    <w:rsid w:val="00687DC6"/>
    <w:rsid w:val="0069370D"/>
    <w:rsid w:val="00697138"/>
    <w:rsid w:val="006A2CAD"/>
    <w:rsid w:val="006B0657"/>
    <w:rsid w:val="006C2AE8"/>
    <w:rsid w:val="006C4C75"/>
    <w:rsid w:val="006C6942"/>
    <w:rsid w:val="006E3087"/>
    <w:rsid w:val="006E728C"/>
    <w:rsid w:val="006F0090"/>
    <w:rsid w:val="006F1E36"/>
    <w:rsid w:val="006F2A44"/>
    <w:rsid w:val="006F2BC0"/>
    <w:rsid w:val="006F625A"/>
    <w:rsid w:val="007132EC"/>
    <w:rsid w:val="00714C0B"/>
    <w:rsid w:val="00720BBA"/>
    <w:rsid w:val="00722B8B"/>
    <w:rsid w:val="00727272"/>
    <w:rsid w:val="0073258B"/>
    <w:rsid w:val="00743D8F"/>
    <w:rsid w:val="00753F44"/>
    <w:rsid w:val="0076624E"/>
    <w:rsid w:val="00766DDD"/>
    <w:rsid w:val="00774AFB"/>
    <w:rsid w:val="007865C5"/>
    <w:rsid w:val="0078777E"/>
    <w:rsid w:val="00791066"/>
    <w:rsid w:val="007A4D06"/>
    <w:rsid w:val="007A5F81"/>
    <w:rsid w:val="007B01AA"/>
    <w:rsid w:val="007B5712"/>
    <w:rsid w:val="007B5944"/>
    <w:rsid w:val="007B5E47"/>
    <w:rsid w:val="007B7FCC"/>
    <w:rsid w:val="007C6F17"/>
    <w:rsid w:val="007E4695"/>
    <w:rsid w:val="007F4837"/>
    <w:rsid w:val="007F4F4C"/>
    <w:rsid w:val="00810231"/>
    <w:rsid w:val="008144FD"/>
    <w:rsid w:val="00817938"/>
    <w:rsid w:val="00817AB6"/>
    <w:rsid w:val="00823C72"/>
    <w:rsid w:val="00824ACB"/>
    <w:rsid w:val="00835A42"/>
    <w:rsid w:val="00841E03"/>
    <w:rsid w:val="00850D14"/>
    <w:rsid w:val="00853266"/>
    <w:rsid w:val="00866113"/>
    <w:rsid w:val="00886F60"/>
    <w:rsid w:val="008D0880"/>
    <w:rsid w:val="008D585E"/>
    <w:rsid w:val="008F41AF"/>
    <w:rsid w:val="00900ADD"/>
    <w:rsid w:val="00923AF1"/>
    <w:rsid w:val="00926D22"/>
    <w:rsid w:val="00964782"/>
    <w:rsid w:val="009707AF"/>
    <w:rsid w:val="00977FF3"/>
    <w:rsid w:val="009835B0"/>
    <w:rsid w:val="009876C6"/>
    <w:rsid w:val="009A2786"/>
    <w:rsid w:val="009B09F9"/>
    <w:rsid w:val="009B54B1"/>
    <w:rsid w:val="009B5A05"/>
    <w:rsid w:val="009B78A1"/>
    <w:rsid w:val="009C5338"/>
    <w:rsid w:val="009D1766"/>
    <w:rsid w:val="009D50FC"/>
    <w:rsid w:val="009F72F9"/>
    <w:rsid w:val="00A446B3"/>
    <w:rsid w:val="00A62633"/>
    <w:rsid w:val="00A7139C"/>
    <w:rsid w:val="00A71752"/>
    <w:rsid w:val="00A80434"/>
    <w:rsid w:val="00A83C5D"/>
    <w:rsid w:val="00A84C57"/>
    <w:rsid w:val="00A9074B"/>
    <w:rsid w:val="00AB1959"/>
    <w:rsid w:val="00AB574C"/>
    <w:rsid w:val="00AB673F"/>
    <w:rsid w:val="00AC6DF2"/>
    <w:rsid w:val="00AD5C71"/>
    <w:rsid w:val="00AD5EA8"/>
    <w:rsid w:val="00AD7EAB"/>
    <w:rsid w:val="00AE14F0"/>
    <w:rsid w:val="00AE4221"/>
    <w:rsid w:val="00B030B0"/>
    <w:rsid w:val="00B060DF"/>
    <w:rsid w:val="00B06563"/>
    <w:rsid w:val="00B0668B"/>
    <w:rsid w:val="00B11033"/>
    <w:rsid w:val="00B150D3"/>
    <w:rsid w:val="00B245D2"/>
    <w:rsid w:val="00B46223"/>
    <w:rsid w:val="00B46A2B"/>
    <w:rsid w:val="00B523A4"/>
    <w:rsid w:val="00B71BA6"/>
    <w:rsid w:val="00B74F18"/>
    <w:rsid w:val="00B75148"/>
    <w:rsid w:val="00BA17DA"/>
    <w:rsid w:val="00BA7637"/>
    <w:rsid w:val="00BB0ADE"/>
    <w:rsid w:val="00BB2D99"/>
    <w:rsid w:val="00BB4E80"/>
    <w:rsid w:val="00BC7077"/>
    <w:rsid w:val="00BC7DE4"/>
    <w:rsid w:val="00BD6872"/>
    <w:rsid w:val="00C01ED2"/>
    <w:rsid w:val="00C1509C"/>
    <w:rsid w:val="00C34171"/>
    <w:rsid w:val="00C37098"/>
    <w:rsid w:val="00C40B2D"/>
    <w:rsid w:val="00C47F55"/>
    <w:rsid w:val="00C56BC5"/>
    <w:rsid w:val="00C66095"/>
    <w:rsid w:val="00C71444"/>
    <w:rsid w:val="00CC110C"/>
    <w:rsid w:val="00CC49F0"/>
    <w:rsid w:val="00CD201B"/>
    <w:rsid w:val="00CD2EEA"/>
    <w:rsid w:val="00CE1B39"/>
    <w:rsid w:val="00CE30F7"/>
    <w:rsid w:val="00CF314F"/>
    <w:rsid w:val="00CF60F0"/>
    <w:rsid w:val="00D072AC"/>
    <w:rsid w:val="00D07400"/>
    <w:rsid w:val="00D1164D"/>
    <w:rsid w:val="00D1355B"/>
    <w:rsid w:val="00D5681B"/>
    <w:rsid w:val="00D63B91"/>
    <w:rsid w:val="00D66D40"/>
    <w:rsid w:val="00D90CDF"/>
    <w:rsid w:val="00D94496"/>
    <w:rsid w:val="00DB387B"/>
    <w:rsid w:val="00DB64D5"/>
    <w:rsid w:val="00DB7AF1"/>
    <w:rsid w:val="00DC728C"/>
    <w:rsid w:val="00DD1752"/>
    <w:rsid w:val="00DD43A8"/>
    <w:rsid w:val="00DD6C7A"/>
    <w:rsid w:val="00DD6EDC"/>
    <w:rsid w:val="00DE7291"/>
    <w:rsid w:val="00DF0701"/>
    <w:rsid w:val="00DF0F27"/>
    <w:rsid w:val="00DF5498"/>
    <w:rsid w:val="00DF775C"/>
    <w:rsid w:val="00E31481"/>
    <w:rsid w:val="00E3338F"/>
    <w:rsid w:val="00E34706"/>
    <w:rsid w:val="00E347A0"/>
    <w:rsid w:val="00E54333"/>
    <w:rsid w:val="00E61DA6"/>
    <w:rsid w:val="00E72716"/>
    <w:rsid w:val="00E83C59"/>
    <w:rsid w:val="00E867CC"/>
    <w:rsid w:val="00E911B7"/>
    <w:rsid w:val="00EC2F0C"/>
    <w:rsid w:val="00EC59D2"/>
    <w:rsid w:val="00EE67B8"/>
    <w:rsid w:val="00F033FD"/>
    <w:rsid w:val="00F1188F"/>
    <w:rsid w:val="00F2335E"/>
    <w:rsid w:val="00F64DEC"/>
    <w:rsid w:val="00F8565F"/>
    <w:rsid w:val="00F85A7D"/>
    <w:rsid w:val="00F92455"/>
    <w:rsid w:val="00F97431"/>
    <w:rsid w:val="00FB2356"/>
    <w:rsid w:val="00FC6B0D"/>
    <w:rsid w:val="00FE2987"/>
    <w:rsid w:val="00FF41FB"/>
    <w:rsid w:val="00FF6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435FD"/>
  <w15:docId w15:val="{49A23BCC-C096-4416-9365-6D208C9B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473" w:lineRule="auto"/>
      <w:ind w:left="10" w:hanging="10"/>
      <w:jc w:val="both"/>
    </w:pPr>
    <w:rPr>
      <w:rFonts w:ascii="Cambria" w:eastAsia="Cambria" w:hAnsi="Cambria" w:cs="Cambria"/>
      <w:color w:val="000000"/>
      <w:sz w:val="24"/>
    </w:rPr>
  </w:style>
  <w:style w:type="paragraph" w:styleId="Heading1">
    <w:name w:val="heading 1"/>
    <w:next w:val="Normal"/>
    <w:link w:val="Heading1Char"/>
    <w:qFormat/>
    <w:pPr>
      <w:keepNext/>
      <w:keepLines/>
      <w:spacing w:after="338" w:line="265" w:lineRule="auto"/>
      <w:ind w:left="10" w:hanging="10"/>
      <w:outlineLvl w:val="0"/>
    </w:pPr>
    <w:rPr>
      <w:rFonts w:ascii="Cambria" w:eastAsia="Cambria" w:hAnsi="Cambria" w:cs="Cambria"/>
      <w:b/>
      <w:color w:val="000000"/>
      <w:sz w:val="34"/>
    </w:rPr>
  </w:style>
  <w:style w:type="paragraph" w:styleId="Heading2">
    <w:name w:val="heading 2"/>
    <w:basedOn w:val="Normal"/>
    <w:next w:val="Paragraph"/>
    <w:link w:val="Heading2Char"/>
    <w:qFormat/>
    <w:rsid w:val="007A4D06"/>
    <w:pPr>
      <w:keepNext/>
      <w:spacing w:before="360" w:after="60" w:line="360" w:lineRule="auto"/>
      <w:ind w:left="0" w:right="567" w:firstLine="0"/>
      <w:contextualSpacing/>
      <w:jc w:val="left"/>
      <w:outlineLvl w:val="1"/>
    </w:pPr>
    <w:rPr>
      <w:rFonts w:ascii="Times New Roman" w:eastAsia="Times New Roman" w:hAnsi="Times New Roman" w:cs="Arial"/>
      <w:b/>
      <w:bCs/>
      <w:i/>
      <w:iCs/>
      <w:color w:val="auto"/>
      <w:kern w:val="0"/>
      <w:szCs w:val="28"/>
      <w:lang w:val="en-GB" w:eastAsia="en-GB"/>
      <w14:ligatures w14:val="none"/>
    </w:rPr>
  </w:style>
  <w:style w:type="paragraph" w:styleId="Heading3">
    <w:name w:val="heading 3"/>
    <w:basedOn w:val="Normal"/>
    <w:next w:val="Paragraph"/>
    <w:link w:val="Heading3Char"/>
    <w:qFormat/>
    <w:rsid w:val="007A4D06"/>
    <w:pPr>
      <w:keepNext/>
      <w:spacing w:before="360" w:after="60" w:line="360" w:lineRule="auto"/>
      <w:ind w:left="0" w:right="567" w:firstLine="0"/>
      <w:contextualSpacing/>
      <w:jc w:val="left"/>
      <w:outlineLvl w:val="2"/>
    </w:pPr>
    <w:rPr>
      <w:rFonts w:ascii="Times New Roman" w:eastAsia="Times New Roman" w:hAnsi="Times New Roman" w:cs="Arial"/>
      <w:bCs/>
      <w:i/>
      <w:color w:val="auto"/>
      <w:kern w:val="0"/>
      <w:szCs w:val="26"/>
      <w:lang w:val="en-GB" w:eastAsia="en-GB"/>
      <w14:ligatures w14:val="none"/>
    </w:rPr>
  </w:style>
  <w:style w:type="paragraph" w:styleId="Heading4">
    <w:name w:val="heading 4"/>
    <w:basedOn w:val="Paragraph"/>
    <w:next w:val="Newparagraph"/>
    <w:link w:val="Heading4Char"/>
    <w:rsid w:val="007A4D06"/>
    <w:pPr>
      <w:spacing w:before="360"/>
      <w:outlineLvl w:val="3"/>
    </w:pPr>
    <w:rPr>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Cambria" w:hAnsi="Cambria" w:cs="Cambria"/>
      <w:b/>
      <w:color w:val="000000"/>
      <w:sz w:val="3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Articletitle">
    <w:name w:val="Article title"/>
    <w:basedOn w:val="Normal"/>
    <w:next w:val="Normal"/>
    <w:qFormat/>
    <w:rsid w:val="00E31481"/>
    <w:pPr>
      <w:spacing w:after="120" w:line="360" w:lineRule="auto"/>
      <w:ind w:left="0" w:firstLine="0"/>
      <w:jc w:val="left"/>
    </w:pPr>
    <w:rPr>
      <w:rFonts w:ascii="Times New Roman" w:eastAsia="Times New Roman" w:hAnsi="Times New Roman" w:cs="Times New Roman"/>
      <w:b/>
      <w:color w:val="auto"/>
      <w:kern w:val="0"/>
      <w:sz w:val="28"/>
      <w:szCs w:val="24"/>
      <w:lang w:val="en-GB" w:eastAsia="en-GB"/>
      <w14:ligatures w14:val="none"/>
    </w:rPr>
  </w:style>
  <w:style w:type="paragraph" w:customStyle="1" w:styleId="Keywords">
    <w:name w:val="Keywords"/>
    <w:basedOn w:val="Normal"/>
    <w:next w:val="Normal"/>
    <w:qFormat/>
    <w:rsid w:val="00E31481"/>
    <w:pPr>
      <w:spacing w:before="240" w:after="240" w:line="360" w:lineRule="auto"/>
      <w:ind w:left="720" w:right="567" w:firstLine="0"/>
      <w:jc w:val="left"/>
    </w:pPr>
    <w:rPr>
      <w:rFonts w:ascii="Times New Roman" w:eastAsia="Times New Roman" w:hAnsi="Times New Roman" w:cs="Times New Roman"/>
      <w:color w:val="auto"/>
      <w:kern w:val="0"/>
      <w:sz w:val="22"/>
      <w:szCs w:val="24"/>
      <w:lang w:val="en-GB" w:eastAsia="en-GB"/>
      <w14:ligatures w14:val="none"/>
    </w:rPr>
  </w:style>
  <w:style w:type="paragraph" w:customStyle="1" w:styleId="Abstract">
    <w:name w:val="Abstract"/>
    <w:basedOn w:val="Normal"/>
    <w:next w:val="Keywords"/>
    <w:qFormat/>
    <w:rsid w:val="00E31481"/>
    <w:pPr>
      <w:spacing w:before="360" w:after="300" w:line="360" w:lineRule="auto"/>
      <w:ind w:left="720" w:right="567" w:firstLine="0"/>
      <w:jc w:val="left"/>
    </w:pPr>
    <w:rPr>
      <w:rFonts w:ascii="Times New Roman" w:eastAsia="Times New Roman" w:hAnsi="Times New Roman" w:cs="Times New Roman"/>
      <w:color w:val="auto"/>
      <w:kern w:val="0"/>
      <w:sz w:val="22"/>
      <w:szCs w:val="24"/>
      <w:lang w:val="en-GB" w:eastAsia="en-GB"/>
      <w14:ligatures w14:val="none"/>
    </w:rPr>
  </w:style>
  <w:style w:type="paragraph" w:customStyle="1" w:styleId="Paragraph">
    <w:name w:val="Paragraph"/>
    <w:basedOn w:val="Normal"/>
    <w:next w:val="Newparagraph"/>
    <w:qFormat/>
    <w:rsid w:val="000E3D56"/>
    <w:pPr>
      <w:widowControl w:val="0"/>
      <w:spacing w:before="240" w:after="0" w:line="480" w:lineRule="auto"/>
      <w:ind w:left="0" w:firstLine="0"/>
      <w:jc w:val="left"/>
    </w:pPr>
    <w:rPr>
      <w:rFonts w:ascii="Times New Roman" w:eastAsia="Times New Roman" w:hAnsi="Times New Roman" w:cs="Times New Roman"/>
      <w:color w:val="auto"/>
      <w:kern w:val="0"/>
      <w:szCs w:val="24"/>
      <w:lang w:val="en-GB" w:eastAsia="en-GB"/>
      <w14:ligatures w14:val="none"/>
    </w:rPr>
  </w:style>
  <w:style w:type="paragraph" w:customStyle="1" w:styleId="Newparagraph">
    <w:name w:val="New paragraph"/>
    <w:basedOn w:val="Normal"/>
    <w:qFormat/>
    <w:rsid w:val="000E3D56"/>
    <w:pPr>
      <w:spacing w:after="0" w:line="480" w:lineRule="auto"/>
      <w:ind w:left="0" w:firstLine="720"/>
      <w:jc w:val="left"/>
    </w:pPr>
    <w:rPr>
      <w:rFonts w:ascii="Times New Roman" w:eastAsia="Times New Roman" w:hAnsi="Times New Roman" w:cs="Times New Roman"/>
      <w:color w:val="auto"/>
      <w:kern w:val="0"/>
      <w:szCs w:val="24"/>
      <w:lang w:val="en-GB" w:eastAsia="en-GB"/>
      <w14:ligatures w14:val="none"/>
    </w:rPr>
  </w:style>
  <w:style w:type="paragraph" w:styleId="NormalWeb">
    <w:name w:val="Normal (Web)"/>
    <w:basedOn w:val="Normal"/>
    <w:uiPriority w:val="99"/>
    <w:unhideWhenUsed/>
    <w:rsid w:val="000E3D56"/>
    <w:pPr>
      <w:spacing w:before="100" w:beforeAutospacing="1" w:after="100" w:afterAutospacing="1" w:line="240" w:lineRule="auto"/>
      <w:ind w:left="0" w:firstLine="0"/>
      <w:jc w:val="left"/>
    </w:pPr>
    <w:rPr>
      <w:rFonts w:ascii="Times New Roman" w:eastAsia="Times New Roman" w:hAnsi="Times New Roman" w:cs="Times New Roman"/>
      <w:color w:val="auto"/>
      <w:kern w:val="0"/>
      <w:szCs w:val="24"/>
      <w:lang w:val="en-GB" w:eastAsia="en-GB"/>
      <w14:ligatures w14:val="none"/>
    </w:rPr>
  </w:style>
  <w:style w:type="paragraph" w:customStyle="1" w:styleId="Figurecaption">
    <w:name w:val="Figure caption"/>
    <w:basedOn w:val="Normal"/>
    <w:next w:val="Normal"/>
    <w:qFormat/>
    <w:rsid w:val="000E3D56"/>
    <w:pPr>
      <w:spacing w:before="240" w:after="0" w:line="360" w:lineRule="auto"/>
      <w:ind w:left="0" w:firstLine="0"/>
      <w:jc w:val="left"/>
    </w:pPr>
    <w:rPr>
      <w:rFonts w:ascii="Times New Roman" w:eastAsia="Times New Roman" w:hAnsi="Times New Roman" w:cs="Times New Roman"/>
      <w:color w:val="auto"/>
      <w:kern w:val="0"/>
      <w:szCs w:val="24"/>
      <w:lang w:val="en-GB" w:eastAsia="en-GB"/>
      <w14:ligatures w14:val="none"/>
    </w:rPr>
  </w:style>
  <w:style w:type="character" w:styleId="Emphasis">
    <w:name w:val="Emphasis"/>
    <w:basedOn w:val="DefaultParagraphFont"/>
    <w:uiPriority w:val="20"/>
    <w:qFormat/>
    <w:rsid w:val="000E3D56"/>
    <w:rPr>
      <w:i/>
      <w:iCs/>
    </w:rPr>
  </w:style>
  <w:style w:type="character" w:customStyle="1" w:styleId="Heading2Char">
    <w:name w:val="Heading 2 Char"/>
    <w:basedOn w:val="DefaultParagraphFont"/>
    <w:link w:val="Heading2"/>
    <w:rsid w:val="007A4D06"/>
    <w:rPr>
      <w:rFonts w:ascii="Times New Roman" w:eastAsia="Times New Roman" w:hAnsi="Times New Roman" w:cs="Arial"/>
      <w:b/>
      <w:bCs/>
      <w:i/>
      <w:iCs/>
      <w:kern w:val="0"/>
      <w:sz w:val="24"/>
      <w:szCs w:val="28"/>
      <w:lang w:val="en-GB" w:eastAsia="en-GB"/>
      <w14:ligatures w14:val="none"/>
    </w:rPr>
  </w:style>
  <w:style w:type="character" w:customStyle="1" w:styleId="Heading3Char">
    <w:name w:val="Heading 3 Char"/>
    <w:basedOn w:val="DefaultParagraphFont"/>
    <w:link w:val="Heading3"/>
    <w:rsid w:val="007A4D06"/>
    <w:rPr>
      <w:rFonts w:ascii="Times New Roman" w:eastAsia="Times New Roman" w:hAnsi="Times New Roman" w:cs="Arial"/>
      <w:bCs/>
      <w:i/>
      <w:kern w:val="0"/>
      <w:sz w:val="24"/>
      <w:szCs w:val="26"/>
      <w:lang w:val="en-GB" w:eastAsia="en-GB"/>
      <w14:ligatures w14:val="none"/>
    </w:rPr>
  </w:style>
  <w:style w:type="character" w:customStyle="1" w:styleId="Heading4Char">
    <w:name w:val="Heading 4 Char"/>
    <w:basedOn w:val="DefaultParagraphFont"/>
    <w:link w:val="Heading4"/>
    <w:rsid w:val="007A4D06"/>
    <w:rPr>
      <w:rFonts w:ascii="Times New Roman" w:eastAsia="Times New Roman" w:hAnsi="Times New Roman" w:cs="Times New Roman"/>
      <w:bCs/>
      <w:kern w:val="0"/>
      <w:sz w:val="24"/>
      <w:szCs w:val="28"/>
      <w:lang w:val="en-GB" w:eastAsia="en-GB"/>
      <w14:ligatures w14:val="none"/>
    </w:rPr>
  </w:style>
  <w:style w:type="character" w:customStyle="1" w:styleId="e24kjd">
    <w:name w:val="e24kjd"/>
    <w:basedOn w:val="DefaultParagraphFont"/>
    <w:rsid w:val="007A4D06"/>
  </w:style>
  <w:style w:type="character" w:styleId="Hyperlink">
    <w:name w:val="Hyperlink"/>
    <w:basedOn w:val="DefaultParagraphFont"/>
    <w:uiPriority w:val="99"/>
    <w:unhideWhenUsed/>
    <w:rsid w:val="007A4D06"/>
    <w:rPr>
      <w:color w:val="0000FF"/>
      <w:u w:val="single"/>
    </w:rPr>
  </w:style>
  <w:style w:type="character" w:styleId="CommentReference">
    <w:name w:val="annotation reference"/>
    <w:basedOn w:val="DefaultParagraphFont"/>
    <w:uiPriority w:val="99"/>
    <w:semiHidden/>
    <w:unhideWhenUsed/>
    <w:rsid w:val="007A4D06"/>
    <w:rPr>
      <w:sz w:val="16"/>
      <w:szCs w:val="16"/>
    </w:rPr>
  </w:style>
  <w:style w:type="paragraph" w:styleId="CommentText">
    <w:name w:val="annotation text"/>
    <w:aliases w:val=" 字元,Char11,字元"/>
    <w:basedOn w:val="Normal"/>
    <w:link w:val="CommentTextChar"/>
    <w:uiPriority w:val="99"/>
    <w:unhideWhenUsed/>
    <w:qFormat/>
    <w:rsid w:val="007A4D06"/>
    <w:pPr>
      <w:spacing w:after="0" w:line="240" w:lineRule="auto"/>
      <w:ind w:left="0" w:firstLine="0"/>
      <w:jc w:val="left"/>
    </w:pPr>
    <w:rPr>
      <w:rFonts w:ascii="Times New Roman" w:eastAsia="Times New Roman" w:hAnsi="Times New Roman" w:cs="Times New Roman"/>
      <w:color w:val="auto"/>
      <w:kern w:val="0"/>
      <w:sz w:val="20"/>
      <w:szCs w:val="20"/>
      <w:lang w:val="en-GB" w:eastAsia="en-GB"/>
      <w14:ligatures w14:val="none"/>
    </w:rPr>
  </w:style>
  <w:style w:type="character" w:customStyle="1" w:styleId="CommentTextChar">
    <w:name w:val="Comment Text Char"/>
    <w:aliases w:val=" 字元 Char,Char11 Char,字元 Char"/>
    <w:basedOn w:val="DefaultParagraphFont"/>
    <w:link w:val="CommentText"/>
    <w:uiPriority w:val="99"/>
    <w:qFormat/>
    <w:rsid w:val="007A4D06"/>
    <w:rPr>
      <w:rFonts w:ascii="Times New Roman" w:eastAsia="Times New Roman" w:hAnsi="Times New Roman" w:cs="Times New Roman"/>
      <w:kern w:val="0"/>
      <w:sz w:val="20"/>
      <w:szCs w:val="20"/>
      <w:lang w:val="en-GB" w:eastAsia="en-GB"/>
      <w14:ligatures w14:val="none"/>
    </w:rPr>
  </w:style>
  <w:style w:type="paragraph" w:styleId="ListParagraph">
    <w:name w:val="List Paragraph"/>
    <w:basedOn w:val="Normal"/>
    <w:uiPriority w:val="34"/>
    <w:qFormat/>
    <w:rsid w:val="007A4D06"/>
    <w:pPr>
      <w:spacing w:after="0" w:line="480" w:lineRule="auto"/>
      <w:ind w:left="720" w:firstLine="0"/>
      <w:contextualSpacing/>
      <w:jc w:val="left"/>
    </w:pPr>
    <w:rPr>
      <w:rFonts w:ascii="Times New Roman" w:eastAsia="Times New Roman" w:hAnsi="Times New Roman" w:cs="Times New Roman"/>
      <w:color w:val="auto"/>
      <w:kern w:val="0"/>
      <w:szCs w:val="24"/>
      <w:lang w:val="en-GB" w:eastAsia="en-GB"/>
      <w14:ligatures w14:val="none"/>
    </w:rPr>
  </w:style>
  <w:style w:type="paragraph" w:styleId="Caption">
    <w:name w:val="caption"/>
    <w:basedOn w:val="Normal"/>
    <w:next w:val="Normal"/>
    <w:uiPriority w:val="35"/>
    <w:semiHidden/>
    <w:unhideWhenUsed/>
    <w:qFormat/>
    <w:rsid w:val="007A4D06"/>
    <w:pPr>
      <w:spacing w:after="200" w:line="240" w:lineRule="auto"/>
      <w:ind w:left="0" w:firstLine="0"/>
      <w:jc w:val="left"/>
    </w:pPr>
    <w:rPr>
      <w:rFonts w:ascii="Times New Roman" w:eastAsiaTheme="minorEastAsia" w:hAnsi="Times New Roman" w:cs="Times New Roman"/>
      <w:b/>
      <w:bCs/>
      <w:color w:val="4472C4" w:themeColor="accent1"/>
      <w:kern w:val="0"/>
      <w:sz w:val="18"/>
      <w:szCs w:val="18"/>
      <w:lang w:val="en-GB" w:eastAsia="ja-JP"/>
      <w14:ligatures w14:val="none"/>
    </w:rPr>
  </w:style>
  <w:style w:type="paragraph" w:styleId="NoSpacing">
    <w:name w:val="No Spacing"/>
    <w:uiPriority w:val="1"/>
    <w:qFormat/>
    <w:rsid w:val="007A4D06"/>
    <w:pPr>
      <w:spacing w:after="0" w:line="240" w:lineRule="auto"/>
    </w:pPr>
    <w:rPr>
      <w:rFonts w:eastAsiaTheme="minorHAnsi"/>
      <w:kern w:val="0"/>
      <w:sz w:val="24"/>
      <w:szCs w:val="24"/>
      <w14:ligatures w14:val="none"/>
    </w:rPr>
  </w:style>
  <w:style w:type="table" w:styleId="TableGrid0">
    <w:name w:val="Table Grid"/>
    <w:basedOn w:val="TableNormal"/>
    <w:uiPriority w:val="39"/>
    <w:rsid w:val="007A4D06"/>
    <w:pPr>
      <w:spacing w:after="0" w:line="240" w:lineRule="auto"/>
    </w:pPr>
    <w:rPr>
      <w:rFonts w:eastAsia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7A4D06"/>
  </w:style>
  <w:style w:type="character" w:customStyle="1" w:styleId="page-numbers-info">
    <w:name w:val="page-numbers-info"/>
    <w:basedOn w:val="DefaultParagraphFont"/>
    <w:rsid w:val="007A4D06"/>
  </w:style>
  <w:style w:type="character" w:customStyle="1" w:styleId="authorsname">
    <w:name w:val="authors__name"/>
    <w:basedOn w:val="DefaultParagraphFont"/>
    <w:rsid w:val="007A4D06"/>
  </w:style>
  <w:style w:type="character" w:styleId="LineNumber">
    <w:name w:val="line number"/>
    <w:basedOn w:val="DefaultParagraphFont"/>
    <w:uiPriority w:val="99"/>
    <w:semiHidden/>
    <w:unhideWhenUsed/>
    <w:rsid w:val="007A4D06"/>
  </w:style>
  <w:style w:type="character" w:customStyle="1" w:styleId="titleheading">
    <w:name w:val="titleheading"/>
    <w:basedOn w:val="DefaultParagraphFont"/>
    <w:rsid w:val="007A4D06"/>
  </w:style>
  <w:style w:type="paragraph" w:styleId="Revision">
    <w:name w:val="Revision"/>
    <w:hidden/>
    <w:uiPriority w:val="99"/>
    <w:semiHidden/>
    <w:rsid w:val="007A4D06"/>
    <w:pPr>
      <w:spacing w:after="0" w:line="240" w:lineRule="auto"/>
    </w:pPr>
    <w:rPr>
      <w:rFonts w:eastAsiaTheme="minorHAnsi"/>
      <w:kern w:val="0"/>
      <w14:ligatures w14:val="none"/>
    </w:rPr>
  </w:style>
  <w:style w:type="paragraph" w:styleId="CommentSubject">
    <w:name w:val="annotation subject"/>
    <w:basedOn w:val="CommentText"/>
    <w:next w:val="CommentText"/>
    <w:link w:val="CommentSubjectChar"/>
    <w:uiPriority w:val="99"/>
    <w:semiHidden/>
    <w:unhideWhenUsed/>
    <w:rsid w:val="007A4D06"/>
    <w:rPr>
      <w:b/>
      <w:bCs/>
    </w:rPr>
  </w:style>
  <w:style w:type="character" w:customStyle="1" w:styleId="CommentSubjectChar">
    <w:name w:val="Comment Subject Char"/>
    <w:basedOn w:val="CommentTextChar"/>
    <w:link w:val="CommentSubject"/>
    <w:uiPriority w:val="99"/>
    <w:semiHidden/>
    <w:rsid w:val="007A4D06"/>
    <w:rPr>
      <w:rFonts w:ascii="Times New Roman" w:eastAsia="Times New Roman" w:hAnsi="Times New Roman" w:cs="Times New Roman"/>
      <w:b/>
      <w:bCs/>
      <w:kern w:val="0"/>
      <w:sz w:val="20"/>
      <w:szCs w:val="20"/>
      <w:lang w:val="en-GB" w:eastAsia="en-GB"/>
      <w14:ligatures w14:val="none"/>
    </w:rPr>
  </w:style>
  <w:style w:type="paragraph" w:customStyle="1" w:styleId="xxmsonormal">
    <w:name w:val="x_x_msonormal"/>
    <w:basedOn w:val="Normal"/>
    <w:rsid w:val="007A4D06"/>
    <w:pPr>
      <w:spacing w:before="100" w:beforeAutospacing="1" w:after="100" w:afterAutospacing="1" w:line="240" w:lineRule="auto"/>
      <w:ind w:left="0" w:firstLine="0"/>
      <w:jc w:val="left"/>
    </w:pPr>
    <w:rPr>
      <w:rFonts w:ascii="Times New Roman" w:eastAsia="Times New Roman" w:hAnsi="Times New Roman" w:cs="Times New Roman"/>
      <w:color w:val="auto"/>
      <w:kern w:val="0"/>
      <w:szCs w:val="24"/>
      <w:lang w:val="en-GB" w:eastAsia="en-GB"/>
      <w14:ligatures w14:val="none"/>
    </w:rPr>
  </w:style>
  <w:style w:type="paragraph" w:styleId="Header">
    <w:name w:val="header"/>
    <w:basedOn w:val="Normal"/>
    <w:link w:val="HeaderChar"/>
    <w:rsid w:val="007A4D06"/>
    <w:pPr>
      <w:tabs>
        <w:tab w:val="center" w:pos="4320"/>
        <w:tab w:val="right" w:pos="8640"/>
      </w:tabs>
      <w:spacing w:after="120" w:line="240" w:lineRule="auto"/>
      <w:ind w:left="0" w:firstLine="0"/>
      <w:contextualSpacing/>
      <w:jc w:val="left"/>
    </w:pPr>
    <w:rPr>
      <w:rFonts w:ascii="Times New Roman" w:eastAsia="Times New Roman" w:hAnsi="Times New Roman" w:cs="Times New Roman"/>
      <w:color w:val="auto"/>
      <w:kern w:val="0"/>
      <w:szCs w:val="24"/>
      <w:lang w:val="en-GB" w:eastAsia="en-GB"/>
      <w14:ligatures w14:val="none"/>
    </w:rPr>
  </w:style>
  <w:style w:type="character" w:customStyle="1" w:styleId="HeaderChar">
    <w:name w:val="Header Char"/>
    <w:basedOn w:val="DefaultParagraphFont"/>
    <w:link w:val="Header"/>
    <w:rsid w:val="007A4D06"/>
    <w:rPr>
      <w:rFonts w:ascii="Times New Roman" w:eastAsia="Times New Roman" w:hAnsi="Times New Roman" w:cs="Times New Roman"/>
      <w:kern w:val="0"/>
      <w:sz w:val="24"/>
      <w:szCs w:val="24"/>
      <w:lang w:val="en-GB" w:eastAsia="en-GB"/>
      <w14:ligatures w14:val="none"/>
    </w:rPr>
  </w:style>
  <w:style w:type="paragraph" w:styleId="Footer">
    <w:name w:val="footer"/>
    <w:basedOn w:val="Normal"/>
    <w:link w:val="FooterChar"/>
    <w:uiPriority w:val="99"/>
    <w:rsid w:val="007A4D06"/>
    <w:pPr>
      <w:tabs>
        <w:tab w:val="center" w:pos="4320"/>
        <w:tab w:val="right" w:pos="8640"/>
      </w:tabs>
      <w:spacing w:before="240" w:after="0" w:line="240" w:lineRule="auto"/>
      <w:ind w:left="0" w:firstLine="0"/>
      <w:contextualSpacing/>
      <w:jc w:val="left"/>
    </w:pPr>
    <w:rPr>
      <w:rFonts w:ascii="Times New Roman" w:eastAsia="Times New Roman" w:hAnsi="Times New Roman" w:cs="Times New Roman"/>
      <w:color w:val="auto"/>
      <w:kern w:val="0"/>
      <w:szCs w:val="24"/>
      <w:lang w:val="en-GB" w:eastAsia="en-GB"/>
      <w14:ligatures w14:val="none"/>
    </w:rPr>
  </w:style>
  <w:style w:type="character" w:customStyle="1" w:styleId="FooterChar">
    <w:name w:val="Footer Char"/>
    <w:basedOn w:val="DefaultParagraphFont"/>
    <w:link w:val="Footer"/>
    <w:uiPriority w:val="99"/>
    <w:rsid w:val="007A4D06"/>
    <w:rPr>
      <w:rFonts w:ascii="Times New Roman" w:eastAsia="Times New Roman" w:hAnsi="Times New Roman" w:cs="Times New Roman"/>
      <w:kern w:val="0"/>
      <w:sz w:val="24"/>
      <w:szCs w:val="24"/>
      <w:lang w:val="en-GB" w:eastAsia="en-GB"/>
      <w14:ligatures w14:val="none"/>
    </w:rPr>
  </w:style>
  <w:style w:type="paragraph" w:styleId="BalloonText">
    <w:name w:val="Balloon Text"/>
    <w:basedOn w:val="Normal"/>
    <w:link w:val="BalloonTextChar"/>
    <w:uiPriority w:val="99"/>
    <w:semiHidden/>
    <w:unhideWhenUsed/>
    <w:rsid w:val="007A4D06"/>
    <w:pPr>
      <w:spacing w:after="0" w:line="240" w:lineRule="auto"/>
      <w:ind w:left="0" w:firstLine="0"/>
      <w:jc w:val="left"/>
    </w:pPr>
    <w:rPr>
      <w:rFonts w:ascii="Segoe UI" w:eastAsia="Times New Roman" w:hAnsi="Segoe UI" w:cs="Segoe UI"/>
      <w:color w:val="auto"/>
      <w:kern w:val="0"/>
      <w:sz w:val="18"/>
      <w:szCs w:val="18"/>
      <w:lang w:val="en-GB" w:eastAsia="en-GB"/>
      <w14:ligatures w14:val="none"/>
    </w:rPr>
  </w:style>
  <w:style w:type="character" w:customStyle="1" w:styleId="BalloonTextChar">
    <w:name w:val="Balloon Text Char"/>
    <w:basedOn w:val="DefaultParagraphFont"/>
    <w:link w:val="BalloonText"/>
    <w:uiPriority w:val="99"/>
    <w:semiHidden/>
    <w:rsid w:val="007A4D06"/>
    <w:rPr>
      <w:rFonts w:ascii="Segoe UI" w:eastAsia="Times New Roman" w:hAnsi="Segoe UI" w:cs="Segoe UI"/>
      <w:kern w:val="0"/>
      <w:sz w:val="18"/>
      <w:szCs w:val="18"/>
      <w:lang w:val="en-GB" w:eastAsia="en-GB"/>
      <w14:ligatures w14:val="none"/>
    </w:rPr>
  </w:style>
  <w:style w:type="paragraph" w:customStyle="1" w:styleId="Authornames">
    <w:name w:val="Author names"/>
    <w:basedOn w:val="Normal"/>
    <w:next w:val="Normal"/>
    <w:qFormat/>
    <w:rsid w:val="007A4D06"/>
    <w:pPr>
      <w:spacing w:before="240" w:after="0" w:line="360" w:lineRule="auto"/>
      <w:ind w:left="0" w:firstLine="0"/>
      <w:jc w:val="left"/>
    </w:pPr>
    <w:rPr>
      <w:rFonts w:ascii="Times New Roman" w:eastAsia="Times New Roman" w:hAnsi="Times New Roman" w:cs="Times New Roman"/>
      <w:color w:val="auto"/>
      <w:kern w:val="0"/>
      <w:sz w:val="28"/>
      <w:szCs w:val="24"/>
      <w:lang w:val="en-GB" w:eastAsia="en-GB"/>
      <w14:ligatures w14:val="none"/>
    </w:rPr>
  </w:style>
  <w:style w:type="paragraph" w:customStyle="1" w:styleId="Affiliation">
    <w:name w:val="Affiliation"/>
    <w:basedOn w:val="Normal"/>
    <w:qFormat/>
    <w:rsid w:val="007A4D06"/>
    <w:pPr>
      <w:spacing w:before="240" w:after="0" w:line="360" w:lineRule="auto"/>
      <w:ind w:left="0" w:firstLine="0"/>
      <w:jc w:val="left"/>
    </w:pPr>
    <w:rPr>
      <w:rFonts w:ascii="Times New Roman" w:eastAsia="Times New Roman" w:hAnsi="Times New Roman" w:cs="Times New Roman"/>
      <w:i/>
      <w:color w:val="auto"/>
      <w:kern w:val="0"/>
      <w:szCs w:val="24"/>
      <w:lang w:val="en-GB" w:eastAsia="en-GB"/>
      <w14:ligatures w14:val="none"/>
    </w:rPr>
  </w:style>
  <w:style w:type="paragraph" w:customStyle="1" w:styleId="Receiveddates">
    <w:name w:val="Received dates"/>
    <w:basedOn w:val="Affiliation"/>
    <w:next w:val="Normal"/>
    <w:qFormat/>
    <w:rsid w:val="007A4D06"/>
  </w:style>
  <w:style w:type="paragraph" w:customStyle="1" w:styleId="Correspondencedetails">
    <w:name w:val="Correspondence details"/>
    <w:basedOn w:val="Normal"/>
    <w:qFormat/>
    <w:rsid w:val="007A4D06"/>
    <w:pPr>
      <w:spacing w:before="240" w:after="0" w:line="360" w:lineRule="auto"/>
      <w:ind w:left="0" w:firstLine="0"/>
      <w:jc w:val="left"/>
    </w:pPr>
    <w:rPr>
      <w:rFonts w:ascii="Times New Roman" w:eastAsia="Times New Roman" w:hAnsi="Times New Roman" w:cs="Times New Roman"/>
      <w:color w:val="auto"/>
      <w:kern w:val="0"/>
      <w:szCs w:val="24"/>
      <w:lang w:val="en-GB" w:eastAsia="en-GB"/>
      <w14:ligatures w14:val="none"/>
    </w:rPr>
  </w:style>
  <w:style w:type="paragraph" w:customStyle="1" w:styleId="Displayedquotation">
    <w:name w:val="Displayed quotation"/>
    <w:basedOn w:val="Normal"/>
    <w:qFormat/>
    <w:rsid w:val="007A4D06"/>
    <w:pPr>
      <w:tabs>
        <w:tab w:val="left" w:pos="1077"/>
        <w:tab w:val="left" w:pos="1440"/>
        <w:tab w:val="left" w:pos="1797"/>
        <w:tab w:val="left" w:pos="2155"/>
        <w:tab w:val="left" w:pos="2512"/>
      </w:tabs>
      <w:spacing w:before="240" w:after="360" w:line="360" w:lineRule="auto"/>
      <w:ind w:left="709" w:right="425" w:firstLine="0"/>
      <w:contextualSpacing/>
      <w:jc w:val="left"/>
    </w:pPr>
    <w:rPr>
      <w:rFonts w:ascii="Times New Roman" w:eastAsia="Times New Roman" w:hAnsi="Times New Roman" w:cs="Times New Roman"/>
      <w:color w:val="auto"/>
      <w:kern w:val="0"/>
      <w:sz w:val="22"/>
      <w:szCs w:val="24"/>
      <w:lang w:val="en-GB" w:eastAsia="en-GB"/>
      <w14:ligatures w14:val="none"/>
    </w:rPr>
  </w:style>
  <w:style w:type="paragraph" w:customStyle="1" w:styleId="Numberedlist">
    <w:name w:val="Numbered list"/>
    <w:basedOn w:val="Paragraph"/>
    <w:next w:val="Paragraph"/>
    <w:qFormat/>
    <w:rsid w:val="007A4D06"/>
    <w:pPr>
      <w:widowControl/>
      <w:numPr>
        <w:numId w:val="19"/>
      </w:numPr>
      <w:spacing w:after="240"/>
      <w:contextualSpacing/>
    </w:pPr>
  </w:style>
  <w:style w:type="paragraph" w:customStyle="1" w:styleId="Displayedequation">
    <w:name w:val="Displayed equation"/>
    <w:basedOn w:val="Normal"/>
    <w:next w:val="Paragraph"/>
    <w:qFormat/>
    <w:rsid w:val="007A4D06"/>
    <w:pPr>
      <w:tabs>
        <w:tab w:val="center" w:pos="4253"/>
        <w:tab w:val="right" w:pos="8222"/>
      </w:tabs>
      <w:spacing w:before="240" w:after="240" w:line="480" w:lineRule="auto"/>
      <w:ind w:left="0" w:firstLine="0"/>
      <w:jc w:val="center"/>
    </w:pPr>
    <w:rPr>
      <w:rFonts w:ascii="Times New Roman" w:eastAsia="Times New Roman" w:hAnsi="Times New Roman" w:cs="Times New Roman"/>
      <w:color w:val="auto"/>
      <w:kern w:val="0"/>
      <w:szCs w:val="24"/>
      <w:lang w:val="en-GB" w:eastAsia="en-GB"/>
      <w14:ligatures w14:val="none"/>
    </w:rPr>
  </w:style>
  <w:style w:type="paragraph" w:customStyle="1" w:styleId="Acknowledgements">
    <w:name w:val="Acknowledgements"/>
    <w:basedOn w:val="Normal"/>
    <w:next w:val="Normal"/>
    <w:qFormat/>
    <w:rsid w:val="007A4D06"/>
    <w:pPr>
      <w:spacing w:before="120" w:after="0" w:line="360" w:lineRule="auto"/>
      <w:ind w:left="0" w:firstLine="0"/>
      <w:jc w:val="left"/>
    </w:pPr>
    <w:rPr>
      <w:rFonts w:ascii="Times New Roman" w:eastAsia="Times New Roman" w:hAnsi="Times New Roman" w:cs="Times New Roman"/>
      <w:color w:val="auto"/>
      <w:kern w:val="0"/>
      <w:sz w:val="22"/>
      <w:szCs w:val="24"/>
      <w:lang w:val="en-GB" w:eastAsia="en-GB"/>
      <w14:ligatures w14:val="none"/>
    </w:rPr>
  </w:style>
  <w:style w:type="paragraph" w:customStyle="1" w:styleId="Tabletitle">
    <w:name w:val="Table title"/>
    <w:basedOn w:val="Normal"/>
    <w:next w:val="Normal"/>
    <w:qFormat/>
    <w:rsid w:val="007A4D06"/>
    <w:pPr>
      <w:spacing w:before="240" w:after="0" w:line="360" w:lineRule="auto"/>
      <w:ind w:left="0" w:firstLine="0"/>
      <w:jc w:val="left"/>
    </w:pPr>
    <w:rPr>
      <w:rFonts w:ascii="Times New Roman" w:eastAsia="Times New Roman" w:hAnsi="Times New Roman" w:cs="Times New Roman"/>
      <w:color w:val="auto"/>
      <w:kern w:val="0"/>
      <w:szCs w:val="24"/>
      <w:lang w:val="en-GB" w:eastAsia="en-GB"/>
      <w14:ligatures w14:val="none"/>
    </w:rPr>
  </w:style>
  <w:style w:type="paragraph" w:customStyle="1" w:styleId="Footnotes">
    <w:name w:val="Footnotes"/>
    <w:basedOn w:val="Normal"/>
    <w:qFormat/>
    <w:rsid w:val="007A4D06"/>
    <w:pPr>
      <w:spacing w:before="120" w:after="0" w:line="360" w:lineRule="auto"/>
      <w:ind w:left="482" w:hanging="482"/>
      <w:contextualSpacing/>
      <w:jc w:val="left"/>
    </w:pPr>
    <w:rPr>
      <w:rFonts w:ascii="Times New Roman" w:eastAsia="Times New Roman" w:hAnsi="Times New Roman" w:cs="Times New Roman"/>
      <w:color w:val="auto"/>
      <w:kern w:val="0"/>
      <w:sz w:val="22"/>
      <w:szCs w:val="24"/>
      <w:lang w:val="en-GB" w:eastAsia="en-GB"/>
      <w14:ligatures w14:val="none"/>
    </w:rPr>
  </w:style>
  <w:style w:type="paragraph" w:customStyle="1" w:styleId="Notesoncontributors">
    <w:name w:val="Notes on contributors"/>
    <w:basedOn w:val="Normal"/>
    <w:qFormat/>
    <w:rsid w:val="007A4D06"/>
    <w:pPr>
      <w:spacing w:before="240" w:after="0" w:line="360" w:lineRule="auto"/>
      <w:ind w:left="0" w:firstLine="0"/>
      <w:jc w:val="left"/>
    </w:pPr>
    <w:rPr>
      <w:rFonts w:ascii="Times New Roman" w:eastAsia="Times New Roman" w:hAnsi="Times New Roman" w:cs="Times New Roman"/>
      <w:color w:val="auto"/>
      <w:kern w:val="0"/>
      <w:sz w:val="22"/>
      <w:szCs w:val="24"/>
      <w:lang w:val="en-GB" w:eastAsia="en-GB"/>
      <w14:ligatures w14:val="none"/>
    </w:rPr>
  </w:style>
  <w:style w:type="paragraph" w:customStyle="1" w:styleId="Normalparagraphstyle">
    <w:name w:val="Normal paragraph style"/>
    <w:basedOn w:val="Normal"/>
    <w:next w:val="Normal"/>
    <w:rsid w:val="007A4D06"/>
    <w:pPr>
      <w:spacing w:after="0" w:line="480" w:lineRule="auto"/>
      <w:ind w:left="0" w:firstLine="0"/>
      <w:jc w:val="left"/>
    </w:pPr>
    <w:rPr>
      <w:rFonts w:ascii="Times New Roman" w:eastAsia="Times New Roman" w:hAnsi="Times New Roman" w:cs="Times New Roman"/>
      <w:color w:val="auto"/>
      <w:kern w:val="0"/>
      <w:szCs w:val="24"/>
      <w:lang w:val="en-GB" w:eastAsia="en-GB"/>
      <w14:ligatures w14:val="none"/>
    </w:rPr>
  </w:style>
  <w:style w:type="paragraph" w:styleId="NormalIndent">
    <w:name w:val="Normal Indent"/>
    <w:basedOn w:val="Normal"/>
    <w:rsid w:val="007A4D06"/>
    <w:pPr>
      <w:spacing w:after="0" w:line="480" w:lineRule="auto"/>
      <w:ind w:left="720" w:firstLine="0"/>
      <w:jc w:val="left"/>
    </w:pPr>
    <w:rPr>
      <w:rFonts w:ascii="Times New Roman" w:eastAsia="Times New Roman" w:hAnsi="Times New Roman" w:cs="Times New Roman"/>
      <w:color w:val="auto"/>
      <w:kern w:val="0"/>
      <w:szCs w:val="24"/>
      <w:lang w:val="en-GB" w:eastAsia="en-GB"/>
      <w14:ligatures w14:val="none"/>
    </w:rPr>
  </w:style>
  <w:style w:type="paragraph" w:customStyle="1" w:styleId="References">
    <w:name w:val="References"/>
    <w:basedOn w:val="Normal"/>
    <w:qFormat/>
    <w:rsid w:val="007A4D06"/>
    <w:pPr>
      <w:spacing w:before="120" w:after="0" w:line="360" w:lineRule="auto"/>
      <w:ind w:left="720" w:hanging="720"/>
      <w:contextualSpacing/>
      <w:jc w:val="left"/>
    </w:pPr>
    <w:rPr>
      <w:rFonts w:ascii="Times New Roman" w:eastAsia="Times New Roman" w:hAnsi="Times New Roman" w:cs="Times New Roman"/>
      <w:color w:val="auto"/>
      <w:kern w:val="0"/>
      <w:szCs w:val="24"/>
      <w:lang w:val="en-GB" w:eastAsia="en-GB"/>
      <w14:ligatures w14:val="none"/>
    </w:rPr>
  </w:style>
  <w:style w:type="paragraph" w:customStyle="1" w:styleId="Subjectcodes">
    <w:name w:val="Subject codes"/>
    <w:basedOn w:val="Keywords"/>
    <w:next w:val="Paragraph"/>
    <w:qFormat/>
    <w:rsid w:val="007A4D06"/>
  </w:style>
  <w:style w:type="paragraph" w:customStyle="1" w:styleId="Bulletedlist">
    <w:name w:val="Bulleted list"/>
    <w:basedOn w:val="Paragraph"/>
    <w:next w:val="Paragraph"/>
    <w:qFormat/>
    <w:rsid w:val="007A4D06"/>
    <w:pPr>
      <w:widowControl/>
      <w:numPr>
        <w:numId w:val="20"/>
      </w:numPr>
      <w:spacing w:after="240"/>
      <w:contextualSpacing/>
    </w:pPr>
  </w:style>
  <w:style w:type="paragraph" w:styleId="FootnoteText">
    <w:name w:val="footnote text"/>
    <w:basedOn w:val="Normal"/>
    <w:link w:val="FootnoteTextChar"/>
    <w:autoRedefine/>
    <w:rsid w:val="007A4D06"/>
    <w:pPr>
      <w:spacing w:after="0" w:line="480" w:lineRule="auto"/>
      <w:ind w:left="284" w:hanging="284"/>
      <w:jc w:val="left"/>
    </w:pPr>
    <w:rPr>
      <w:rFonts w:ascii="Times New Roman" w:eastAsia="Times New Roman" w:hAnsi="Times New Roman" w:cs="Times New Roman"/>
      <w:color w:val="auto"/>
      <w:kern w:val="0"/>
      <w:sz w:val="22"/>
      <w:szCs w:val="20"/>
      <w:lang w:val="en-GB" w:eastAsia="en-GB"/>
      <w14:ligatures w14:val="none"/>
    </w:rPr>
  </w:style>
  <w:style w:type="character" w:customStyle="1" w:styleId="FootnoteTextChar">
    <w:name w:val="Footnote Text Char"/>
    <w:basedOn w:val="DefaultParagraphFont"/>
    <w:link w:val="FootnoteText"/>
    <w:rsid w:val="007A4D06"/>
    <w:rPr>
      <w:rFonts w:ascii="Times New Roman" w:eastAsia="Times New Roman" w:hAnsi="Times New Roman" w:cs="Times New Roman"/>
      <w:kern w:val="0"/>
      <w:szCs w:val="20"/>
      <w:lang w:val="en-GB" w:eastAsia="en-GB"/>
      <w14:ligatures w14:val="none"/>
    </w:rPr>
  </w:style>
  <w:style w:type="character" w:styleId="FootnoteReference">
    <w:name w:val="footnote reference"/>
    <w:basedOn w:val="DefaultParagraphFont"/>
    <w:rsid w:val="007A4D06"/>
    <w:rPr>
      <w:vertAlign w:val="superscript"/>
    </w:rPr>
  </w:style>
  <w:style w:type="paragraph" w:styleId="EndnoteText">
    <w:name w:val="endnote text"/>
    <w:basedOn w:val="Normal"/>
    <w:link w:val="EndnoteTextChar"/>
    <w:autoRedefine/>
    <w:rsid w:val="007A4D06"/>
    <w:pPr>
      <w:spacing w:after="0" w:line="480" w:lineRule="auto"/>
      <w:ind w:left="284" w:hanging="284"/>
      <w:jc w:val="left"/>
    </w:pPr>
    <w:rPr>
      <w:rFonts w:ascii="Times New Roman" w:eastAsia="Times New Roman" w:hAnsi="Times New Roman" w:cs="Times New Roman"/>
      <w:color w:val="auto"/>
      <w:kern w:val="0"/>
      <w:sz w:val="22"/>
      <w:szCs w:val="20"/>
      <w:lang w:val="en-GB" w:eastAsia="en-GB"/>
      <w14:ligatures w14:val="none"/>
    </w:rPr>
  </w:style>
  <w:style w:type="character" w:customStyle="1" w:styleId="EndnoteTextChar">
    <w:name w:val="Endnote Text Char"/>
    <w:basedOn w:val="DefaultParagraphFont"/>
    <w:link w:val="EndnoteText"/>
    <w:rsid w:val="007A4D06"/>
    <w:rPr>
      <w:rFonts w:ascii="Times New Roman" w:eastAsia="Times New Roman" w:hAnsi="Times New Roman" w:cs="Times New Roman"/>
      <w:kern w:val="0"/>
      <w:szCs w:val="20"/>
      <w:lang w:val="en-GB" w:eastAsia="en-GB"/>
      <w14:ligatures w14:val="none"/>
    </w:rPr>
  </w:style>
  <w:style w:type="character" w:styleId="EndnoteReference">
    <w:name w:val="endnote reference"/>
    <w:basedOn w:val="DefaultParagraphFont"/>
    <w:rsid w:val="007A4D06"/>
    <w:rPr>
      <w:vertAlign w:val="superscript"/>
    </w:rPr>
  </w:style>
  <w:style w:type="paragraph" w:customStyle="1" w:styleId="Heading4Paragraph">
    <w:name w:val="Heading 4 + Paragraph"/>
    <w:basedOn w:val="Paragraph"/>
    <w:next w:val="Newparagraph"/>
    <w:qFormat/>
    <w:rsid w:val="007A4D06"/>
    <w:pPr>
      <w:widowControl/>
      <w:spacing w:before="360"/>
    </w:pPr>
  </w:style>
  <w:style w:type="character" w:customStyle="1" w:styleId="UnresolvedMention1">
    <w:name w:val="Unresolved Mention1"/>
    <w:basedOn w:val="DefaultParagraphFont"/>
    <w:uiPriority w:val="99"/>
    <w:semiHidden/>
    <w:unhideWhenUsed/>
    <w:rsid w:val="007A4D06"/>
    <w:rPr>
      <w:color w:val="605E5C"/>
      <w:shd w:val="clear" w:color="auto" w:fill="E1DFDD"/>
    </w:rPr>
  </w:style>
  <w:style w:type="character" w:styleId="FollowedHyperlink">
    <w:name w:val="FollowedHyperlink"/>
    <w:basedOn w:val="DefaultParagraphFont"/>
    <w:uiPriority w:val="99"/>
    <w:semiHidden/>
    <w:unhideWhenUsed/>
    <w:rsid w:val="007A4D06"/>
    <w:rPr>
      <w:color w:val="954F72" w:themeColor="followedHyperlink"/>
      <w:u w:val="single"/>
    </w:rPr>
  </w:style>
  <w:style w:type="table" w:styleId="TableGridLight">
    <w:name w:val="Grid Table Light"/>
    <w:basedOn w:val="TableNormal"/>
    <w:uiPriority w:val="40"/>
    <w:rsid w:val="007A4D06"/>
    <w:pPr>
      <w:spacing w:after="0" w:line="240" w:lineRule="auto"/>
    </w:pPr>
    <w:rPr>
      <w:rFonts w:eastAsiaTheme="minorHAnsi"/>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uthors">
    <w:name w:val="authors"/>
    <w:basedOn w:val="DefaultParagraphFont"/>
    <w:rsid w:val="007A4D06"/>
  </w:style>
  <w:style w:type="character" w:customStyle="1" w:styleId="Date1">
    <w:name w:val="Date1"/>
    <w:basedOn w:val="DefaultParagraphFont"/>
    <w:rsid w:val="007A4D06"/>
  </w:style>
  <w:style w:type="character" w:customStyle="1" w:styleId="arttitle">
    <w:name w:val="art_title"/>
    <w:basedOn w:val="DefaultParagraphFont"/>
    <w:rsid w:val="007A4D06"/>
  </w:style>
  <w:style w:type="character" w:customStyle="1" w:styleId="serialtitle">
    <w:name w:val="serial_title"/>
    <w:basedOn w:val="DefaultParagraphFont"/>
    <w:rsid w:val="007A4D06"/>
  </w:style>
  <w:style w:type="character" w:customStyle="1" w:styleId="volumeissue">
    <w:name w:val="volume_issue"/>
    <w:basedOn w:val="DefaultParagraphFont"/>
    <w:rsid w:val="007A4D06"/>
  </w:style>
  <w:style w:type="character" w:customStyle="1" w:styleId="pagerange">
    <w:name w:val="page_range"/>
    <w:basedOn w:val="DefaultParagraphFont"/>
    <w:rsid w:val="007A4D06"/>
  </w:style>
  <w:style w:type="character" w:customStyle="1" w:styleId="doilink">
    <w:name w:val="doi_link"/>
    <w:basedOn w:val="DefaultParagraphFont"/>
    <w:rsid w:val="007A4D06"/>
  </w:style>
  <w:style w:type="character" w:customStyle="1" w:styleId="cf01">
    <w:name w:val="cf01"/>
    <w:basedOn w:val="DefaultParagraphFont"/>
    <w:rsid w:val="0016102D"/>
    <w:rPr>
      <w:rFonts w:ascii="Segoe UI" w:hAnsi="Segoe UI" w:cs="Segoe UI" w:hint="default"/>
      <w:sz w:val="18"/>
      <w:szCs w:val="18"/>
    </w:rPr>
  </w:style>
  <w:style w:type="character" w:customStyle="1" w:styleId="cf11">
    <w:name w:val="cf11"/>
    <w:basedOn w:val="DefaultParagraphFont"/>
    <w:rsid w:val="0016102D"/>
    <w:rPr>
      <w:rFonts w:ascii="Segoe UI" w:hAnsi="Segoe UI" w:cs="Segoe UI" w:hint="default"/>
      <w:i/>
      <w:iCs/>
      <w:sz w:val="18"/>
      <w:szCs w:val="18"/>
    </w:rPr>
  </w:style>
  <w:style w:type="character" w:customStyle="1" w:styleId="EndNoteBibliographyChar">
    <w:name w:val="EndNote Bibliography Char"/>
    <w:basedOn w:val="DefaultParagraphFont"/>
    <w:link w:val="EndNoteBibliography"/>
    <w:locked/>
    <w:rsid w:val="006C2AE8"/>
    <w:rPr>
      <w:rFonts w:ascii="Cambria" w:eastAsia="Cambria" w:hAnsi="Cambria" w:cs="Cambria"/>
      <w:noProof/>
      <w:color w:val="000000"/>
      <w:sz w:val="24"/>
    </w:rPr>
  </w:style>
  <w:style w:type="paragraph" w:customStyle="1" w:styleId="EndNoteBibliography">
    <w:name w:val="EndNote Bibliography"/>
    <w:basedOn w:val="Normal"/>
    <w:link w:val="EndNoteBibliographyChar"/>
    <w:rsid w:val="006C2AE8"/>
    <w:pPr>
      <w:spacing w:line="240" w:lineRule="auto"/>
      <w:jc w:val="left"/>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873058">
      <w:bodyDiv w:val="1"/>
      <w:marLeft w:val="0"/>
      <w:marRight w:val="0"/>
      <w:marTop w:val="0"/>
      <w:marBottom w:val="0"/>
      <w:divBdr>
        <w:top w:val="none" w:sz="0" w:space="0" w:color="auto"/>
        <w:left w:val="none" w:sz="0" w:space="0" w:color="auto"/>
        <w:bottom w:val="none" w:sz="0" w:space="0" w:color="auto"/>
        <w:right w:val="none" w:sz="0" w:space="0" w:color="auto"/>
      </w:divBdr>
    </w:div>
    <w:div w:id="948050911">
      <w:bodyDiv w:val="1"/>
      <w:marLeft w:val="0"/>
      <w:marRight w:val="0"/>
      <w:marTop w:val="0"/>
      <w:marBottom w:val="0"/>
      <w:divBdr>
        <w:top w:val="none" w:sz="0" w:space="0" w:color="auto"/>
        <w:left w:val="none" w:sz="0" w:space="0" w:color="auto"/>
        <w:bottom w:val="none" w:sz="0" w:space="0" w:color="auto"/>
        <w:right w:val="none" w:sz="0" w:space="0" w:color="auto"/>
      </w:divBdr>
    </w:div>
    <w:div w:id="1065640399">
      <w:bodyDiv w:val="1"/>
      <w:marLeft w:val="0"/>
      <w:marRight w:val="0"/>
      <w:marTop w:val="0"/>
      <w:marBottom w:val="0"/>
      <w:divBdr>
        <w:top w:val="none" w:sz="0" w:space="0" w:color="auto"/>
        <w:left w:val="none" w:sz="0" w:space="0" w:color="auto"/>
        <w:bottom w:val="none" w:sz="0" w:space="0" w:color="auto"/>
        <w:right w:val="none" w:sz="0" w:space="0" w:color="auto"/>
      </w:divBdr>
    </w:div>
    <w:div w:id="1083378887">
      <w:bodyDiv w:val="1"/>
      <w:marLeft w:val="0"/>
      <w:marRight w:val="0"/>
      <w:marTop w:val="0"/>
      <w:marBottom w:val="0"/>
      <w:divBdr>
        <w:top w:val="none" w:sz="0" w:space="0" w:color="auto"/>
        <w:left w:val="none" w:sz="0" w:space="0" w:color="auto"/>
        <w:bottom w:val="none" w:sz="0" w:space="0" w:color="auto"/>
        <w:right w:val="none" w:sz="0" w:space="0" w:color="auto"/>
      </w:divBdr>
    </w:div>
    <w:div w:id="1166824620">
      <w:bodyDiv w:val="1"/>
      <w:marLeft w:val="0"/>
      <w:marRight w:val="0"/>
      <w:marTop w:val="0"/>
      <w:marBottom w:val="0"/>
      <w:divBdr>
        <w:top w:val="none" w:sz="0" w:space="0" w:color="auto"/>
        <w:left w:val="none" w:sz="0" w:space="0" w:color="auto"/>
        <w:bottom w:val="none" w:sz="0" w:space="0" w:color="auto"/>
        <w:right w:val="none" w:sz="0" w:space="0" w:color="auto"/>
      </w:divBdr>
    </w:div>
    <w:div w:id="1814250552">
      <w:bodyDiv w:val="1"/>
      <w:marLeft w:val="0"/>
      <w:marRight w:val="0"/>
      <w:marTop w:val="0"/>
      <w:marBottom w:val="0"/>
      <w:divBdr>
        <w:top w:val="none" w:sz="0" w:space="0" w:color="auto"/>
        <w:left w:val="none" w:sz="0" w:space="0" w:color="auto"/>
        <w:bottom w:val="none" w:sz="0" w:space="0" w:color="auto"/>
        <w:right w:val="none" w:sz="0" w:space="0" w:color="auto"/>
      </w:divBdr>
    </w:div>
    <w:div w:id="18223081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n.wikipedia.org/wiki/Archaeology" TargetMode="External"/><Relationship Id="rId18" Type="http://schemas.openxmlformats.org/officeDocument/2006/relationships/hyperlink" Target="https://en.wikipedia.org/wiki/Oxygen" TargetMode="External"/><Relationship Id="rId26" Type="http://schemas.openxmlformats.org/officeDocument/2006/relationships/image" Target="media/image6.png"/><Relationship Id="rId39" Type="http://schemas.openxmlformats.org/officeDocument/2006/relationships/footer" Target="footer1.xml"/><Relationship Id="rId21" Type="http://schemas.openxmlformats.org/officeDocument/2006/relationships/image" Target="media/image1.png"/><Relationship Id="rId34" Type="http://schemas.openxmlformats.org/officeDocument/2006/relationships/image" Target="media/image14.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n.wikipedia.org/wiki/Hydrogen" TargetMode="External"/><Relationship Id="rId20" Type="http://schemas.openxmlformats.org/officeDocument/2006/relationships/hyperlink" Target="https://en.wikipedia.org/wiki/Sulfur" TargetMode="External"/><Relationship Id="rId29" Type="http://schemas.openxmlformats.org/officeDocument/2006/relationships/image" Target="media/image9.png"/><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wikipedia.org/wiki/Water_resources" TargetMode="Externa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image" Target="media/image17.png"/><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n.wikipedia.org/wiki/Pollution"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6.png"/><Relationship Id="rId10" Type="http://schemas.openxmlformats.org/officeDocument/2006/relationships/hyperlink" Target="https://en.wikipedia.org/wiki/Biogeochemical_cycle" TargetMode="External"/><Relationship Id="rId19" Type="http://schemas.openxmlformats.org/officeDocument/2006/relationships/hyperlink" Target="https://en.wikipedia.org/wiki/Nitrogen" TargetMode="Externa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en.wikipedia.org/wiki/Human_migration" TargetMode="External"/><Relationship Id="rId14" Type="http://schemas.openxmlformats.org/officeDocument/2006/relationships/hyperlink" Target="https://en.wikipedia.org/wiki/Forensic_science"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theme" Target="theme/theme1.xml"/><Relationship Id="rId8" Type="http://schemas.openxmlformats.org/officeDocument/2006/relationships/hyperlink" Target="https://en.wikipedia.org/wiki/Isotopic_signature" TargetMode="External"/><Relationship Id="rId3" Type="http://schemas.openxmlformats.org/officeDocument/2006/relationships/styles" Target="styles.xml"/><Relationship Id="rId12" Type="http://schemas.openxmlformats.org/officeDocument/2006/relationships/hyperlink" Target="https://en.wikipedia.org/wiki/Climate" TargetMode="External"/><Relationship Id="rId17" Type="http://schemas.openxmlformats.org/officeDocument/2006/relationships/hyperlink" Target="https://en.wikipedia.org/wiki/Carbon"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860BB-A1EF-415C-A44D-BC4CD3763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7923</Words>
  <Characters>45167</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Righetti</dc:creator>
  <cp:keywords/>
  <cp:lastModifiedBy>Timothy L. Righetti</cp:lastModifiedBy>
  <cp:revision>2</cp:revision>
  <dcterms:created xsi:type="dcterms:W3CDTF">2024-03-06T15:04:00Z</dcterms:created>
  <dcterms:modified xsi:type="dcterms:W3CDTF">2024-03-06T15:04:00Z</dcterms:modified>
</cp:coreProperties>
</file>