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67D60" w14:textId="19C70D83" w:rsidR="002F733F" w:rsidRPr="00BB17F9" w:rsidRDefault="002F733F" w:rsidP="002F733F">
      <w:pPr>
        <w:pStyle w:val="Articletitle"/>
        <w:rPr>
          <w:sz w:val="24"/>
          <w:lang w:val="en-US"/>
        </w:rPr>
      </w:pPr>
      <w:r w:rsidRPr="00BB17F9">
        <w:rPr>
          <w:sz w:val="24"/>
          <w:lang w:val="en-US"/>
        </w:rPr>
        <w:t xml:space="preserve">Supplemental Material </w:t>
      </w:r>
      <w:r w:rsidR="00703FF9">
        <w:rPr>
          <w:sz w:val="24"/>
          <w:lang w:val="en-US"/>
        </w:rPr>
        <w:t>3</w:t>
      </w:r>
    </w:p>
    <w:p w14:paraId="1F79B1DB" w14:textId="702279B8" w:rsidR="00817AB6" w:rsidRPr="00BB17F9" w:rsidRDefault="00E31481" w:rsidP="00E10F1C">
      <w:pPr>
        <w:pStyle w:val="Articletitle"/>
        <w:jc w:val="center"/>
        <w:rPr>
          <w:sz w:val="24"/>
          <w:lang w:val="en-US"/>
        </w:rPr>
      </w:pPr>
      <w:r w:rsidRPr="00BB17F9">
        <w:rPr>
          <w:sz w:val="24"/>
          <w:lang w:val="en-US"/>
        </w:rPr>
        <w:t xml:space="preserve">A Mathematical Explanation for Why Ratio-Based Isotopic Analyses are </w:t>
      </w:r>
      <w:r w:rsidR="00982CE1" w:rsidRPr="00BB17F9">
        <w:rPr>
          <w:sz w:val="24"/>
          <w:lang w:val="en-US"/>
        </w:rPr>
        <w:t>Commonly</w:t>
      </w:r>
      <w:r w:rsidRPr="00BB17F9">
        <w:rPr>
          <w:sz w:val="24"/>
          <w:lang w:val="en-US"/>
        </w:rPr>
        <w:t xml:space="preserve"> Misleading: Rethinking Fractionatio</w:t>
      </w:r>
      <w:r w:rsidR="00261003" w:rsidRPr="00BB17F9">
        <w:rPr>
          <w:sz w:val="24"/>
          <w:lang w:val="en-US"/>
        </w:rPr>
        <w:t>n</w:t>
      </w:r>
      <w:r w:rsidR="00DF3355" w:rsidRPr="00BB17F9">
        <w:rPr>
          <w:sz w:val="24"/>
          <w:lang w:val="en-US"/>
        </w:rPr>
        <w:t xml:space="preserve"> Favoring the Common Isotope</w:t>
      </w:r>
    </w:p>
    <w:p w14:paraId="2FDDE31C" w14:textId="77777777" w:rsidR="00271714" w:rsidRPr="00E31481" w:rsidRDefault="00A81F6B" w:rsidP="0006282A">
      <w:pPr>
        <w:spacing w:after="126"/>
        <w:ind w:left="4126" w:firstLine="0"/>
        <w:rPr>
          <w:rFonts w:ascii="Times New Roman" w:hAnsi="Times New Roman" w:cs="Times New Roman"/>
          <w:szCs w:val="24"/>
        </w:rPr>
      </w:pPr>
      <w:r w:rsidRPr="00E31481">
        <w:rPr>
          <w:rFonts w:ascii="Times New Roman" w:hAnsi="Times New Roman" w:cs="Times New Roman"/>
          <w:b/>
          <w:szCs w:val="24"/>
        </w:rPr>
        <w:t>Abstract</w:t>
      </w:r>
    </w:p>
    <w:p w14:paraId="0B10914F" w14:textId="150BC030" w:rsidR="00E31481" w:rsidRPr="00B66D86" w:rsidRDefault="00E31481" w:rsidP="00F70774">
      <w:pPr>
        <w:pStyle w:val="Newparagraph"/>
        <w:spacing w:line="473" w:lineRule="auto"/>
        <w:ind w:firstLine="0"/>
        <w:jc w:val="both"/>
        <w:rPr>
          <w:lang w:val="en-US"/>
        </w:rPr>
      </w:pPr>
      <w:r>
        <w:rPr>
          <w:lang w:val="en-US" w:eastAsia="ja-JP"/>
        </w:rPr>
        <w:t xml:space="preserve">Fractionation factors are subject to the same limitations as </w:t>
      </w:r>
      <w:r w:rsidR="003D64FB">
        <w:rPr>
          <w:lang w:val="en-US" w:eastAsia="ja-JP"/>
        </w:rPr>
        <w:t xml:space="preserve">the </w:t>
      </w:r>
      <w:r>
        <w:rPr>
          <w:lang w:val="en-US" w:eastAsia="ja-JP"/>
        </w:rPr>
        <w:t>ratio-based expressions</w:t>
      </w:r>
      <w:r w:rsidR="003D64FB">
        <w:rPr>
          <w:lang w:val="en-US" w:eastAsia="ja-JP"/>
        </w:rPr>
        <w:t xml:space="preserve"> they are derived from</w:t>
      </w:r>
      <w:r>
        <w:rPr>
          <w:lang w:val="en-US" w:eastAsia="ja-JP"/>
        </w:rPr>
        <w:t>.</w:t>
      </w:r>
      <w:r w:rsidRPr="00A61D20">
        <w:rPr>
          <w:lang w:val="en-US" w:eastAsia="ja-JP"/>
        </w:rPr>
        <w:t xml:space="preserve"> </w:t>
      </w:r>
      <w:r>
        <w:rPr>
          <w:lang w:val="en-US" w:eastAsia="ja-JP"/>
        </w:rPr>
        <w:t xml:space="preserve">Rayleigh </w:t>
      </w:r>
      <w:r w:rsidR="00DF3355">
        <w:rPr>
          <w:lang w:val="en-US" w:eastAsia="ja-JP"/>
        </w:rPr>
        <w:t xml:space="preserve">fractionation </w:t>
      </w:r>
      <w:r>
        <w:rPr>
          <w:lang w:val="en-US" w:eastAsia="ja-JP"/>
        </w:rPr>
        <w:t>factors</w:t>
      </w:r>
      <w:r w:rsidR="00B54677">
        <w:rPr>
          <w:lang w:val="en-US" w:eastAsia="ja-JP"/>
        </w:rPr>
        <w:t xml:space="preserve"> (ln total element vs</w:t>
      </w:r>
      <w:r w:rsidR="00F578F1">
        <w:rPr>
          <w:lang w:val="en-US" w:eastAsia="ja-JP"/>
        </w:rPr>
        <w:t>.</w:t>
      </w:r>
      <w:r w:rsidR="00B54677">
        <w:rPr>
          <w:lang w:val="en-US" w:eastAsia="ja-JP"/>
        </w:rPr>
        <w:t xml:space="preserve"> substrate isotopic ratio</w:t>
      </w:r>
      <w:r w:rsidR="00B52551">
        <w:rPr>
          <w:lang w:val="en-US" w:eastAsia="ja-JP"/>
        </w:rPr>
        <w:t xml:space="preserve"> slope</w:t>
      </w:r>
      <w:r w:rsidR="00B54677">
        <w:rPr>
          <w:lang w:val="en-US" w:eastAsia="ja-JP"/>
        </w:rPr>
        <w:t>)</w:t>
      </w:r>
      <w:r w:rsidR="003902DF">
        <w:rPr>
          <w:lang w:val="en-US" w:eastAsia="ja-JP"/>
        </w:rPr>
        <w:t xml:space="preserve"> </w:t>
      </w:r>
      <w:r>
        <w:rPr>
          <w:lang w:val="en-US" w:eastAsia="ja-JP"/>
        </w:rPr>
        <w:t>are influenced by total isotope concentrations</w:t>
      </w:r>
      <w:r w:rsidR="003902DF">
        <w:rPr>
          <w:lang w:val="en-US" w:eastAsia="ja-JP"/>
        </w:rPr>
        <w:t xml:space="preserve"> and </w:t>
      </w:r>
      <w:r w:rsidR="009A7F49">
        <w:rPr>
          <w:lang w:val="en-US" w:eastAsia="ja-JP"/>
        </w:rPr>
        <w:t xml:space="preserve">the type of </w:t>
      </w:r>
      <w:r w:rsidR="003902DF">
        <w:rPr>
          <w:lang w:val="en-US" w:eastAsia="ja-JP"/>
        </w:rPr>
        <w:t>relationship between isotope ratio denominator and numerator.</w:t>
      </w:r>
      <w:r>
        <w:rPr>
          <w:lang w:val="en-US" w:eastAsia="ja-JP"/>
        </w:rPr>
        <w:t xml:space="preserve"> </w:t>
      </w:r>
      <w:r w:rsidR="00C10511">
        <w:rPr>
          <w:lang w:val="en-US" w:eastAsia="ja-JP"/>
        </w:rPr>
        <w:t>Perfectly l</w:t>
      </w:r>
      <w:r>
        <w:rPr>
          <w:lang w:val="en-US" w:eastAsia="ja-JP"/>
        </w:rPr>
        <w:t xml:space="preserve">inear denominator vs. numerator functions with non-zero </w:t>
      </w:r>
      <w:r w:rsidRPr="00F42963">
        <w:rPr>
          <w:i/>
          <w:iCs/>
          <w:lang w:val="en-US" w:eastAsia="ja-JP"/>
        </w:rPr>
        <w:t>y</w:t>
      </w:r>
      <w:r>
        <w:rPr>
          <w:lang w:val="en-US" w:eastAsia="ja-JP"/>
        </w:rPr>
        <w:t xml:space="preserve">-intercepts can produce discrimination factors when no fractionation exists. Convex polynomial </w:t>
      </w:r>
      <w:r w:rsidR="00D273E9">
        <w:rPr>
          <w:lang w:val="en-US" w:eastAsia="ja-JP"/>
        </w:rPr>
        <w:t xml:space="preserve">denominator vs. numerator </w:t>
      </w:r>
      <w:r>
        <w:rPr>
          <w:lang w:val="en-US" w:eastAsia="ja-JP"/>
        </w:rPr>
        <w:t xml:space="preserve">functions with negative </w:t>
      </w:r>
      <w:r w:rsidRPr="00E00DD8">
        <w:rPr>
          <w:i/>
          <w:iCs/>
          <w:lang w:val="en-US" w:eastAsia="ja-JP"/>
        </w:rPr>
        <w:t>y</w:t>
      </w:r>
      <w:r>
        <w:rPr>
          <w:lang w:val="en-US" w:eastAsia="ja-JP"/>
        </w:rPr>
        <w:t xml:space="preserve">-intercepts and concave polynomial functions with positive </w:t>
      </w:r>
      <w:r w:rsidRPr="00E00DD8">
        <w:rPr>
          <w:i/>
          <w:iCs/>
          <w:lang w:val="en-US" w:eastAsia="ja-JP"/>
        </w:rPr>
        <w:t>y</w:t>
      </w:r>
      <w:r>
        <w:rPr>
          <w:lang w:val="en-US" w:eastAsia="ja-JP"/>
        </w:rPr>
        <w:t xml:space="preserve">-intercepts can produce statistically significant Rayleigh fractionation slopes. Convex polynomial functions with positive </w:t>
      </w:r>
      <w:r w:rsidRPr="00E00DD8">
        <w:rPr>
          <w:i/>
          <w:iCs/>
          <w:lang w:val="en-US" w:eastAsia="ja-JP"/>
        </w:rPr>
        <w:t>y</w:t>
      </w:r>
      <w:r>
        <w:rPr>
          <w:lang w:val="en-US" w:eastAsia="ja-JP"/>
        </w:rPr>
        <w:t xml:space="preserve">-intercepts, and concave polynomial functions with negative </w:t>
      </w:r>
      <w:r w:rsidRPr="00E00DD8">
        <w:rPr>
          <w:i/>
          <w:iCs/>
          <w:lang w:val="en-US" w:eastAsia="ja-JP"/>
        </w:rPr>
        <w:t>y</w:t>
      </w:r>
      <w:r>
        <w:rPr>
          <w:lang w:val="en-US" w:eastAsia="ja-JP"/>
        </w:rPr>
        <w:t xml:space="preserve">-intercepts often do not. </w:t>
      </w:r>
      <w:r w:rsidR="003D64FB">
        <w:rPr>
          <w:lang w:val="en-US" w:eastAsia="ja-JP"/>
        </w:rPr>
        <w:t>B</w:t>
      </w:r>
      <w:r>
        <w:rPr>
          <w:lang w:val="en-US" w:eastAsia="ja-JP"/>
        </w:rPr>
        <w:t xml:space="preserve">ackgrounds </w:t>
      </w:r>
      <w:r w:rsidR="009A7F49">
        <w:rPr>
          <w:lang w:val="en-US" w:eastAsia="ja-JP"/>
        </w:rPr>
        <w:t xml:space="preserve">can </w:t>
      </w:r>
      <w:r>
        <w:rPr>
          <w:lang w:val="en-US" w:eastAsia="ja-JP"/>
        </w:rPr>
        <w:t xml:space="preserve">determine whether Rayleigh fractionation occurs rather than changing sources. </w:t>
      </w:r>
      <w:r w:rsidR="00B94F8B">
        <w:t xml:space="preserve">There may not be a constant microbial preference for lighter common isotopes defined by a fractionation factor. Rather, significant Rayleigh fractionation factors </w:t>
      </w:r>
      <w:r w:rsidR="00B52551">
        <w:t>can</w:t>
      </w:r>
      <w:r w:rsidR="00B94F8B">
        <w:t xml:space="preserve"> be </w:t>
      </w:r>
      <w:r w:rsidR="00F70774">
        <w:t xml:space="preserve">caused by </w:t>
      </w:r>
      <w:r w:rsidR="00B94F8B">
        <w:t xml:space="preserve">relatively constant </w:t>
      </w:r>
      <w:r w:rsidR="00B94F8B" w:rsidRPr="003671D9">
        <w:rPr>
          <w:vertAlign w:val="superscript"/>
        </w:rPr>
        <w:t>15</w:t>
      </w:r>
      <w:r w:rsidR="00B94F8B">
        <w:t>N:</w:t>
      </w:r>
      <w:r w:rsidR="00B94F8B" w:rsidRPr="003671D9">
        <w:rPr>
          <w:vertAlign w:val="superscript"/>
        </w:rPr>
        <w:t>14</w:t>
      </w:r>
      <w:r w:rsidR="00B94F8B">
        <w:t>N or</w:t>
      </w:r>
      <w:r w:rsidR="009A7F49">
        <w:t xml:space="preserve"> </w:t>
      </w:r>
      <w:r w:rsidR="00B94F8B">
        <w:t xml:space="preserve"> </w:t>
      </w:r>
      <w:r w:rsidR="00B94F8B" w:rsidRPr="00026CD8">
        <w:rPr>
          <w:vertAlign w:val="superscript"/>
        </w:rPr>
        <w:t>1</w:t>
      </w:r>
      <w:r w:rsidR="00B94F8B">
        <w:rPr>
          <w:vertAlign w:val="superscript"/>
        </w:rPr>
        <w:t>3</w:t>
      </w:r>
      <w:r w:rsidR="00B94F8B">
        <w:t>C:</w:t>
      </w:r>
      <w:r w:rsidR="00B94F8B" w:rsidRPr="00026CD8">
        <w:rPr>
          <w:vertAlign w:val="superscript"/>
        </w:rPr>
        <w:t>1</w:t>
      </w:r>
      <w:r w:rsidR="00B94F8B">
        <w:rPr>
          <w:vertAlign w:val="superscript"/>
        </w:rPr>
        <w:t>2</w:t>
      </w:r>
      <w:r w:rsidR="00B94F8B">
        <w:t>C loss ratios even though substrate</w:t>
      </w:r>
      <w:r w:rsidR="00F70774">
        <w:t xml:space="preserve"> isotopic</w:t>
      </w:r>
      <w:r w:rsidR="00B94F8B">
        <w:t xml:space="preserve"> ratios var</w:t>
      </w:r>
      <w:r w:rsidR="009C556E">
        <w:t>y</w:t>
      </w:r>
      <w:r w:rsidR="00B94F8B">
        <w:t>.</w:t>
      </w:r>
      <w:r w:rsidR="00B54677">
        <w:rPr>
          <w:lang w:val="en-US"/>
        </w:rPr>
        <w:t xml:space="preserve"> D</w:t>
      </w:r>
      <w:r w:rsidR="003902DF">
        <w:rPr>
          <w:lang w:val="en-US"/>
        </w:rPr>
        <w:t xml:space="preserve">irectly calculated </w:t>
      </w:r>
      <w:r w:rsidR="00B54677">
        <w:rPr>
          <w:lang w:val="en-US"/>
        </w:rPr>
        <w:t xml:space="preserve"> </w:t>
      </w:r>
      <w:r w:rsidR="003902DF">
        <w:rPr>
          <w:lang w:val="en-US"/>
        </w:rPr>
        <w:t xml:space="preserve">fractionation values </w:t>
      </w:r>
      <w:r w:rsidR="009A7F49">
        <w:rPr>
          <w:lang w:val="en-US"/>
        </w:rPr>
        <w:t>(the difference between isotopic loss ratios and observed isotopic ratios)</w:t>
      </w:r>
      <w:r w:rsidR="009A7F49">
        <w:rPr>
          <w:lang w:val="en-US"/>
        </w:rPr>
        <w:t xml:space="preserve"> </w:t>
      </w:r>
      <w:r w:rsidR="00C844D8">
        <w:rPr>
          <w:lang w:val="en-US"/>
        </w:rPr>
        <w:t xml:space="preserve">may </w:t>
      </w:r>
      <w:r w:rsidR="00F578F1">
        <w:rPr>
          <w:lang w:val="en-US"/>
        </w:rPr>
        <w:t>have</w:t>
      </w:r>
      <w:r w:rsidR="003902DF">
        <w:rPr>
          <w:lang w:val="en-US"/>
        </w:rPr>
        <w:t xml:space="preserve"> a mean that approximates </w:t>
      </w:r>
      <w:r w:rsidR="00C844D8">
        <w:rPr>
          <w:lang w:val="en-US"/>
        </w:rPr>
        <w:t xml:space="preserve">a </w:t>
      </w:r>
      <w:r w:rsidR="00F70774">
        <w:rPr>
          <w:lang w:val="en-US"/>
        </w:rPr>
        <w:t xml:space="preserve">constant </w:t>
      </w:r>
      <w:r w:rsidR="003902DF">
        <w:rPr>
          <w:lang w:val="en-US"/>
        </w:rPr>
        <w:t xml:space="preserve">Rayleigh fractionation slope. </w:t>
      </w:r>
      <w:r w:rsidR="004F40AA">
        <w:rPr>
          <w:lang w:val="en-US"/>
        </w:rPr>
        <w:t>However,</w:t>
      </w:r>
      <w:r w:rsidR="00DF3355">
        <w:rPr>
          <w:lang w:val="en-US"/>
        </w:rPr>
        <w:t xml:space="preserve"> </w:t>
      </w:r>
      <w:r w:rsidR="00F578F1">
        <w:rPr>
          <w:lang w:val="en-US"/>
        </w:rPr>
        <w:t>varying</w:t>
      </w:r>
      <w:r w:rsidR="003D64FB">
        <w:rPr>
          <w:lang w:val="en-US"/>
        </w:rPr>
        <w:t xml:space="preserve"> directly calculated</w:t>
      </w:r>
      <w:r w:rsidR="00F578F1">
        <w:rPr>
          <w:lang w:val="en-US"/>
        </w:rPr>
        <w:t xml:space="preserve"> </w:t>
      </w:r>
      <w:r w:rsidR="00DF3355">
        <w:rPr>
          <w:lang w:val="en-US"/>
        </w:rPr>
        <w:t xml:space="preserve">fractionation factors </w:t>
      </w:r>
      <w:r w:rsidR="00F578F1">
        <w:rPr>
          <w:lang w:val="en-US"/>
        </w:rPr>
        <w:t xml:space="preserve">with </w:t>
      </w:r>
      <w:r w:rsidR="0062000C">
        <w:rPr>
          <w:lang w:val="en-US"/>
        </w:rPr>
        <w:t xml:space="preserve">soil or sediment </w:t>
      </w:r>
      <w:r w:rsidR="00F578F1">
        <w:rPr>
          <w:lang w:val="en-US"/>
        </w:rPr>
        <w:t xml:space="preserve">depth </w:t>
      </w:r>
      <w:r w:rsidR="00B54677">
        <w:rPr>
          <w:lang w:val="en-US"/>
        </w:rPr>
        <w:t xml:space="preserve">may be </w:t>
      </w:r>
      <w:r w:rsidR="00DF3355">
        <w:rPr>
          <w:lang w:val="en-US"/>
        </w:rPr>
        <w:t xml:space="preserve">misleading as </w:t>
      </w:r>
      <w:r w:rsidR="00B54677">
        <w:rPr>
          <w:lang w:val="en-US"/>
        </w:rPr>
        <w:t>they</w:t>
      </w:r>
      <w:r w:rsidR="00DF3355">
        <w:rPr>
          <w:lang w:val="en-US"/>
        </w:rPr>
        <w:t xml:space="preserve"> are perfectly related to total element</w:t>
      </w:r>
      <w:r w:rsidR="003902DF">
        <w:rPr>
          <w:lang w:val="en-US"/>
        </w:rPr>
        <w:t xml:space="preserve"> or ratio denominator</w:t>
      </w:r>
      <w:r w:rsidR="00DF3355">
        <w:rPr>
          <w:lang w:val="en-US"/>
        </w:rPr>
        <w:t>.</w:t>
      </w:r>
    </w:p>
    <w:p w14:paraId="364B9003" w14:textId="77FA9719" w:rsidR="00271714" w:rsidRDefault="00E31481" w:rsidP="0006282A">
      <w:pPr>
        <w:pStyle w:val="Keywords"/>
        <w:spacing w:before="0" w:after="3" w:line="473" w:lineRule="auto"/>
        <w:ind w:left="0" w:right="14"/>
        <w:jc w:val="both"/>
      </w:pPr>
      <w:r w:rsidRPr="0033338F">
        <w:rPr>
          <w:i/>
          <w:iCs/>
          <w:sz w:val="24"/>
          <w:lang w:val="en-US"/>
        </w:rPr>
        <w:t>Keywords</w:t>
      </w:r>
      <w:r w:rsidRPr="00A61D20">
        <w:rPr>
          <w:sz w:val="24"/>
          <w:lang w:val="en-US"/>
        </w:rPr>
        <w:t>: derivatives; isotopic scaling; isotopic sources; Keeling plots; mixing diagrams</w:t>
      </w:r>
      <w:r>
        <w:br w:type="page"/>
      </w:r>
    </w:p>
    <w:p w14:paraId="3F70507C" w14:textId="7E27250A" w:rsidR="00271714" w:rsidRPr="00BB17F9" w:rsidRDefault="00A81F6B" w:rsidP="0006282A">
      <w:pPr>
        <w:pStyle w:val="Heading1"/>
        <w:tabs>
          <w:tab w:val="center" w:pos="1644"/>
        </w:tabs>
        <w:ind w:left="-15" w:firstLine="0"/>
        <w:jc w:val="both"/>
        <w:rPr>
          <w:rFonts w:ascii="Times New Roman" w:hAnsi="Times New Roman" w:cs="Times New Roman"/>
          <w:sz w:val="24"/>
          <w:szCs w:val="24"/>
        </w:rPr>
      </w:pPr>
      <w:r w:rsidRPr="00BB17F9">
        <w:rPr>
          <w:rFonts w:ascii="Times New Roman" w:hAnsi="Times New Roman" w:cs="Times New Roman"/>
          <w:sz w:val="24"/>
          <w:szCs w:val="24"/>
        </w:rPr>
        <w:lastRenderedPageBreak/>
        <w:t>1</w:t>
      </w:r>
      <w:r w:rsidR="00BB17F9">
        <w:rPr>
          <w:rFonts w:ascii="Times New Roman" w:hAnsi="Times New Roman" w:cs="Times New Roman"/>
          <w:sz w:val="24"/>
          <w:szCs w:val="24"/>
        </w:rPr>
        <w:t xml:space="preserve">      </w:t>
      </w:r>
      <w:r w:rsidRPr="00BB17F9">
        <w:rPr>
          <w:rFonts w:ascii="Times New Roman" w:hAnsi="Times New Roman" w:cs="Times New Roman"/>
          <w:sz w:val="24"/>
          <w:szCs w:val="24"/>
        </w:rPr>
        <w:t>Introduction</w:t>
      </w:r>
    </w:p>
    <w:p w14:paraId="0C406B6C" w14:textId="29E4CE41" w:rsidR="00591D88" w:rsidRDefault="000E3D56" w:rsidP="0006282A">
      <w:pPr>
        <w:pStyle w:val="Paragraph"/>
        <w:spacing w:before="0" w:after="3" w:line="473" w:lineRule="auto"/>
        <w:ind w:right="14"/>
        <w:jc w:val="both"/>
        <w:rPr>
          <w:rStyle w:val="Emphasis"/>
          <w:i w:val="0"/>
          <w:iCs w:val="0"/>
        </w:rPr>
      </w:pPr>
      <w:r w:rsidRPr="00495CBB">
        <w:rPr>
          <w:lang w:val="en-US"/>
        </w:rPr>
        <w:t>A companion paper (</w:t>
      </w:r>
      <w:r w:rsidR="00BF0C07">
        <w:rPr>
          <w:lang w:val="en-US"/>
        </w:rPr>
        <w:t>M</w:t>
      </w:r>
      <w:r w:rsidR="005A41E3">
        <w:rPr>
          <w:lang w:val="en-US"/>
        </w:rPr>
        <w:t>oots</w:t>
      </w:r>
      <w:r w:rsidR="000B27DD">
        <w:rPr>
          <w:lang w:val="en-US"/>
        </w:rPr>
        <w:t xml:space="preserve"> </w:t>
      </w:r>
      <w:r w:rsidR="00BF0C07">
        <w:rPr>
          <w:lang w:val="en-US"/>
        </w:rPr>
        <w:t>et al.</w:t>
      </w:r>
      <w:r w:rsidRPr="00495CBB">
        <w:rPr>
          <w:lang w:val="en-US"/>
        </w:rPr>
        <w:t xml:space="preserve"> 202</w:t>
      </w:r>
      <w:r w:rsidR="005A41E3">
        <w:rPr>
          <w:lang w:val="en-US"/>
        </w:rPr>
        <w:t>4</w:t>
      </w:r>
      <w:r w:rsidR="00F14030">
        <w:rPr>
          <w:lang w:val="en-US"/>
        </w:rPr>
        <w:t>a</w:t>
      </w:r>
      <w:r w:rsidRPr="00495CBB">
        <w:rPr>
          <w:lang w:val="en-US"/>
        </w:rPr>
        <w:t xml:space="preserve">) suggests isotopic ratios are not immune to ratio issues that have been discussed in the literature for over 100 years. Isotopic researchers often assume an observed isotopic ratio reflects the source of a system, but this is not true. Keeling (1958) proposed methods for determining isotopic sources, but source evaluations on isotopic datasets are relatively rare in the isotopic literature, even when </w:t>
      </w:r>
      <w:r w:rsidR="0085000E">
        <w:rPr>
          <w:lang w:val="en-US"/>
        </w:rPr>
        <w:t xml:space="preserve">the necessary </w:t>
      </w:r>
      <w:r w:rsidRPr="00495CBB">
        <w:rPr>
          <w:lang w:val="en-US"/>
        </w:rPr>
        <w:t>total element concentrations are available (</w:t>
      </w:r>
      <w:r w:rsidR="00BF0C07">
        <w:rPr>
          <w:lang w:val="en-US"/>
        </w:rPr>
        <w:t>M</w:t>
      </w:r>
      <w:r w:rsidR="005A41E3">
        <w:rPr>
          <w:lang w:val="en-US"/>
        </w:rPr>
        <w:t>oots</w:t>
      </w:r>
      <w:r w:rsidR="00BF0C07">
        <w:rPr>
          <w:lang w:val="en-US"/>
        </w:rPr>
        <w:t xml:space="preserve"> et al.</w:t>
      </w:r>
      <w:r w:rsidRPr="00495CBB">
        <w:rPr>
          <w:lang w:val="en-US"/>
        </w:rPr>
        <w:t xml:space="preserve"> 202</w:t>
      </w:r>
      <w:r w:rsidR="005A41E3">
        <w:rPr>
          <w:lang w:val="en-US"/>
        </w:rPr>
        <w:t>4</w:t>
      </w:r>
      <w:r w:rsidR="00F14030">
        <w:rPr>
          <w:lang w:val="en-US"/>
        </w:rPr>
        <w:t>a</w:t>
      </w:r>
      <w:r w:rsidRPr="00495CBB">
        <w:rPr>
          <w:lang w:val="en-US"/>
        </w:rPr>
        <w:t>). The interpretation of Sr</w:t>
      </w:r>
      <w:r w:rsidR="00992267">
        <w:rPr>
          <w:lang w:val="en-US"/>
        </w:rPr>
        <w:t>,</w:t>
      </w:r>
      <w:r w:rsidRPr="00495CBB">
        <w:rPr>
          <w:lang w:val="en-US"/>
        </w:rPr>
        <w:t xml:space="preserve"> N, C and S isotopic information is confounded by total element</w:t>
      </w:r>
      <w:r w:rsidR="00992267">
        <w:rPr>
          <w:lang w:val="en-US"/>
        </w:rPr>
        <w:t xml:space="preserve"> </w:t>
      </w:r>
      <w:r w:rsidR="00992267" w:rsidRPr="00495CBB">
        <w:rPr>
          <w:lang w:val="en-US"/>
        </w:rPr>
        <w:t>(</w:t>
      </w:r>
      <w:r w:rsidR="007127D9">
        <w:rPr>
          <w:lang w:val="en-US"/>
        </w:rPr>
        <w:t xml:space="preserve">Moots et al. 2024b </w:t>
      </w:r>
      <w:r w:rsidR="00684DCD">
        <w:rPr>
          <w:lang w:val="en-US"/>
        </w:rPr>
        <w:t>Supplemental Material 1 and 2)</w:t>
      </w:r>
      <w:r w:rsidRPr="00495CBB">
        <w:rPr>
          <w:lang w:val="en-US"/>
        </w:rPr>
        <w:t>.</w:t>
      </w:r>
      <w:r w:rsidR="00C37098">
        <w:rPr>
          <w:lang w:val="en-US"/>
        </w:rPr>
        <w:t xml:space="preserve"> </w:t>
      </w:r>
      <w:r w:rsidR="00591D88">
        <w:rPr>
          <w:lang w:val="en-US"/>
        </w:rPr>
        <w:t xml:space="preserve">Here we extend </w:t>
      </w:r>
      <w:r w:rsidR="00841E03">
        <w:rPr>
          <w:lang w:val="en-US"/>
        </w:rPr>
        <w:t>our</w:t>
      </w:r>
      <w:r w:rsidR="00591D88">
        <w:rPr>
          <w:lang w:val="en-US"/>
        </w:rPr>
        <w:t xml:space="preserve"> </w:t>
      </w:r>
      <w:r w:rsidR="00C37098">
        <w:rPr>
          <w:lang w:val="en-US"/>
        </w:rPr>
        <w:t xml:space="preserve">ratio biases </w:t>
      </w:r>
      <w:r w:rsidR="00591D88">
        <w:rPr>
          <w:lang w:val="en-US"/>
        </w:rPr>
        <w:t xml:space="preserve">argument to challenge </w:t>
      </w:r>
      <w:r w:rsidR="00C37098">
        <w:rPr>
          <w:lang w:val="en-US"/>
        </w:rPr>
        <w:t xml:space="preserve">isotopic </w:t>
      </w:r>
      <w:r w:rsidR="00591D88">
        <w:rPr>
          <w:lang w:val="en-US"/>
        </w:rPr>
        <w:t>fractionation</w:t>
      </w:r>
      <w:r w:rsidR="00C37098">
        <w:rPr>
          <w:lang w:val="en-US"/>
        </w:rPr>
        <w:t>, a</w:t>
      </w:r>
      <w:r w:rsidR="00591D88">
        <w:rPr>
          <w:lang w:val="en-US"/>
        </w:rPr>
        <w:t xml:space="preserve"> concept</w:t>
      </w:r>
      <w:r w:rsidR="00C37098">
        <w:rPr>
          <w:lang w:val="en-US"/>
        </w:rPr>
        <w:t xml:space="preserve"> that</w:t>
      </w:r>
      <w:r w:rsidR="00E867CC">
        <w:rPr>
          <w:lang w:val="en-US" w:eastAsia="ja-JP"/>
        </w:rPr>
        <w:t xml:space="preserve"> </w:t>
      </w:r>
      <w:r w:rsidR="00C37098">
        <w:rPr>
          <w:lang w:val="en-US" w:eastAsia="ja-JP"/>
        </w:rPr>
        <w:t>deals with</w:t>
      </w:r>
      <w:r w:rsidR="00E867CC">
        <w:rPr>
          <w:lang w:val="en-US" w:eastAsia="ja-JP"/>
        </w:rPr>
        <w:t xml:space="preserve"> the difference between isotopic ratios of a substrate and material removed.</w:t>
      </w:r>
      <w:r w:rsidR="00591D88">
        <w:rPr>
          <w:lang w:val="en-US"/>
        </w:rPr>
        <w:t xml:space="preserve"> </w:t>
      </w:r>
      <w:r w:rsidR="00C37098">
        <w:rPr>
          <w:lang w:val="en-US"/>
        </w:rPr>
        <w:t>Although fractionation studies are deeply rooted in the isotopic literature</w:t>
      </w:r>
      <w:r w:rsidR="002733EF">
        <w:rPr>
          <w:lang w:val="en-US"/>
        </w:rPr>
        <w:t xml:space="preserve"> and the phenomenon does indeed occur</w:t>
      </w:r>
      <w:r w:rsidR="00591D88">
        <w:rPr>
          <w:lang w:val="en-US"/>
        </w:rPr>
        <w:t>, m</w:t>
      </w:r>
      <w:r w:rsidR="00591D88" w:rsidRPr="00495CBB">
        <w:rPr>
          <w:lang w:val="en-US"/>
        </w:rPr>
        <w:t>athematical principles suggest that observed ratios will almost always differ from a source (</w:t>
      </w:r>
      <w:r w:rsidR="00BF0C07">
        <w:rPr>
          <w:lang w:val="en-US"/>
        </w:rPr>
        <w:t>M</w:t>
      </w:r>
      <w:r w:rsidR="005A41E3">
        <w:rPr>
          <w:lang w:val="en-US"/>
        </w:rPr>
        <w:t>oots</w:t>
      </w:r>
      <w:r w:rsidR="00BF0C07">
        <w:rPr>
          <w:lang w:val="en-US"/>
        </w:rPr>
        <w:t xml:space="preserve"> et al. </w:t>
      </w:r>
      <w:r w:rsidR="00591D88" w:rsidRPr="00495CBB">
        <w:rPr>
          <w:lang w:val="en-US"/>
        </w:rPr>
        <w:t>202</w:t>
      </w:r>
      <w:r w:rsidR="005A41E3">
        <w:rPr>
          <w:lang w:val="en-US"/>
        </w:rPr>
        <w:t>4</w:t>
      </w:r>
      <w:r w:rsidR="00F14030">
        <w:rPr>
          <w:lang w:val="en-US"/>
        </w:rPr>
        <w:t>a</w:t>
      </w:r>
      <w:r w:rsidR="00591D88" w:rsidRPr="00495CBB">
        <w:rPr>
          <w:lang w:val="en-US"/>
        </w:rPr>
        <w:t>)</w:t>
      </w:r>
      <w:r w:rsidR="00591D88">
        <w:rPr>
          <w:lang w:val="en-US"/>
        </w:rPr>
        <w:t xml:space="preserve"> even if no </w:t>
      </w:r>
      <w:r w:rsidR="0085000E">
        <w:rPr>
          <w:lang w:val="en-US"/>
        </w:rPr>
        <w:t xml:space="preserve">isotopic </w:t>
      </w:r>
      <w:r w:rsidR="00591D88">
        <w:rPr>
          <w:lang w:val="en-US"/>
        </w:rPr>
        <w:t>discrimination occurs</w:t>
      </w:r>
      <w:r w:rsidR="00591D88" w:rsidRPr="00495CBB">
        <w:rPr>
          <w:lang w:val="en-US"/>
        </w:rPr>
        <w:t>.</w:t>
      </w:r>
      <w:r w:rsidR="00591D88" w:rsidRPr="00495CBB">
        <w:rPr>
          <w:rStyle w:val="Emphasis"/>
          <w:i w:val="0"/>
          <w:iCs w:val="0"/>
        </w:rPr>
        <w:t xml:space="preserve"> </w:t>
      </w:r>
    </w:p>
    <w:p w14:paraId="623D8B1E" w14:textId="7BB298FF" w:rsidR="000E3D56" w:rsidRPr="00495CBB" w:rsidRDefault="00591D88" w:rsidP="0006282A">
      <w:pPr>
        <w:pStyle w:val="Paragraph"/>
        <w:spacing w:before="0" w:after="3" w:line="473" w:lineRule="auto"/>
        <w:ind w:right="14"/>
        <w:jc w:val="both"/>
        <w:rPr>
          <w:lang w:val="en-US"/>
        </w:rPr>
      </w:pPr>
      <w:r>
        <w:rPr>
          <w:rStyle w:val="Emphasis"/>
          <w:i w:val="0"/>
          <w:iCs w:val="0"/>
        </w:rPr>
        <w:tab/>
      </w:r>
      <w:r w:rsidR="00C37098">
        <w:rPr>
          <w:rStyle w:val="Emphasis"/>
          <w:i w:val="0"/>
          <w:iCs w:val="0"/>
        </w:rPr>
        <w:t xml:space="preserve">The two most important types of </w:t>
      </w:r>
      <w:r w:rsidR="004F40AA">
        <w:rPr>
          <w:rStyle w:val="Emphasis"/>
          <w:i w:val="0"/>
          <w:iCs w:val="0"/>
        </w:rPr>
        <w:t>fractionations</w:t>
      </w:r>
      <w:r w:rsidR="00C37098">
        <w:rPr>
          <w:rStyle w:val="Emphasis"/>
          <w:i w:val="0"/>
          <w:iCs w:val="0"/>
        </w:rPr>
        <w:t xml:space="preserve"> in the isotopic literature are equilibrium and </w:t>
      </w:r>
      <w:r w:rsidR="003D07A6">
        <w:rPr>
          <w:rStyle w:val="Emphasis"/>
          <w:i w:val="0"/>
          <w:iCs w:val="0"/>
        </w:rPr>
        <w:t>kinetic</w:t>
      </w:r>
      <w:r w:rsidR="00C37098">
        <w:rPr>
          <w:rStyle w:val="Emphasis"/>
          <w:i w:val="0"/>
          <w:iCs w:val="0"/>
        </w:rPr>
        <w:t xml:space="preserve"> fractionation. </w:t>
      </w:r>
      <w:r w:rsidR="000E3D56" w:rsidRPr="00495CBB">
        <w:rPr>
          <w:rStyle w:val="Emphasis"/>
          <w:i w:val="0"/>
          <w:iCs w:val="0"/>
        </w:rPr>
        <w:t>Equilibrium fractionation</w:t>
      </w:r>
      <w:r w:rsidR="000E3D56" w:rsidRPr="00495CBB">
        <w:t xml:space="preserve"> is a special case of chemical </w:t>
      </w:r>
      <w:r w:rsidR="00C37098">
        <w:t>reaction where</w:t>
      </w:r>
      <w:r w:rsidR="000E3D56" w:rsidRPr="00495CBB">
        <w:t xml:space="preserve"> an exchange of isotopes takes place, which affects the equilibrium constant. </w:t>
      </w:r>
      <w:r w:rsidR="000E3D56" w:rsidRPr="00495CBB">
        <w:rPr>
          <w:rStyle w:val="Emphasis"/>
          <w:i w:val="0"/>
          <w:iCs w:val="0"/>
        </w:rPr>
        <w:t>Kinetic fractionation</w:t>
      </w:r>
      <w:r w:rsidR="000E3D56" w:rsidRPr="00495CBB">
        <w:t xml:space="preserve"> is associated with incomplete and unidirectional processes </w:t>
      </w:r>
      <w:r w:rsidR="00C37098">
        <w:t>that</w:t>
      </w:r>
      <w:r w:rsidR="000E3D56" w:rsidRPr="00495CBB">
        <w:t xml:space="preserve"> affects the rate constant of the reaction. No isotopic equilibrium is attained in the case of kinetic fractionation.</w:t>
      </w:r>
      <w:r w:rsidR="00334458" w:rsidRPr="00495CBB">
        <w:rPr>
          <w:lang w:val="en-US"/>
        </w:rPr>
        <w:t xml:space="preserve"> Isotopic fractionation refers to a situation where substrate and product fractions have different isotopic ratios.</w:t>
      </w:r>
      <w:r w:rsidR="00334458">
        <w:rPr>
          <w:lang w:val="en-US"/>
        </w:rPr>
        <w:t xml:space="preserve"> </w:t>
      </w:r>
      <w:r>
        <w:t xml:space="preserve">Regardless of type, </w:t>
      </w:r>
      <w:r w:rsidR="00C37098">
        <w:t xml:space="preserve">fractionation </w:t>
      </w:r>
      <w:r>
        <w:rPr>
          <w:lang w:val="en-US" w:eastAsia="ja-JP"/>
        </w:rPr>
        <w:t>values are calculated from isotopic ratios and subject to the same limitations as ratio-based expressions.</w:t>
      </w:r>
    </w:p>
    <w:p w14:paraId="58572706" w14:textId="3D11C9A9" w:rsidR="00334458" w:rsidRDefault="00C37098" w:rsidP="0006282A">
      <w:pPr>
        <w:ind w:left="0" w:right="14" w:firstLine="720"/>
        <w:rPr>
          <w:rFonts w:ascii="Times New Roman" w:hAnsi="Times New Roman" w:cs="Times New Roman"/>
        </w:rPr>
      </w:pPr>
      <w:r>
        <w:rPr>
          <w:rFonts w:ascii="Times New Roman" w:hAnsi="Times New Roman" w:cs="Times New Roman"/>
        </w:rPr>
        <w:t xml:space="preserve">An important </w:t>
      </w:r>
      <w:r w:rsidR="00334458">
        <w:rPr>
          <w:rFonts w:ascii="Times New Roman" w:hAnsi="Times New Roman" w:cs="Times New Roman"/>
        </w:rPr>
        <w:t xml:space="preserve">fractionation </w:t>
      </w:r>
      <w:r>
        <w:rPr>
          <w:rFonts w:ascii="Times New Roman" w:hAnsi="Times New Roman" w:cs="Times New Roman"/>
        </w:rPr>
        <w:t>example involves</w:t>
      </w:r>
      <w:r w:rsidR="000E3D56" w:rsidRPr="00495CBB">
        <w:rPr>
          <w:rFonts w:ascii="Times New Roman" w:hAnsi="Times New Roman" w:cs="Times New Roman"/>
        </w:rPr>
        <w:t xml:space="preserve"> stable isotopic techniques to study animal diets and trophic levels</w:t>
      </w:r>
      <w:r w:rsidR="00334458">
        <w:rPr>
          <w:rFonts w:ascii="Times New Roman" w:hAnsi="Times New Roman" w:cs="Times New Roman"/>
        </w:rPr>
        <w:t>. To obtain meaningful results</w:t>
      </w:r>
      <w:r w:rsidR="000E3D56" w:rsidRPr="00495CBB">
        <w:rPr>
          <w:rFonts w:ascii="Times New Roman" w:hAnsi="Times New Roman" w:cs="Times New Roman"/>
        </w:rPr>
        <w:t xml:space="preserve"> often requires a priori estimates of the </w:t>
      </w:r>
      <w:r w:rsidR="000E3D56" w:rsidRPr="00495CBB">
        <w:rPr>
          <w:rFonts w:ascii="Times New Roman" w:hAnsi="Times New Roman" w:cs="Times New Roman"/>
        </w:rPr>
        <w:lastRenderedPageBreak/>
        <w:t>differences in isotopic composition between an animal and its diet (Caut et al. 2009). These differences are called discrimination or fractionation factors (Δ</w:t>
      </w:r>
      <w:r w:rsidR="000E3D56" w:rsidRPr="00495CBB">
        <w:rPr>
          <w:rFonts w:ascii="Times New Roman" w:hAnsi="Times New Roman" w:cs="Times New Roman"/>
          <w:vertAlign w:val="superscript"/>
        </w:rPr>
        <w:t>13</w:t>
      </w:r>
      <w:r w:rsidR="000E3D56" w:rsidRPr="00495CBB">
        <w:rPr>
          <w:rFonts w:ascii="Times New Roman" w:hAnsi="Times New Roman" w:cs="Times New Roman"/>
        </w:rPr>
        <w:t>C and Δ</w:t>
      </w:r>
      <w:r w:rsidR="000E3D56" w:rsidRPr="00495CBB">
        <w:rPr>
          <w:rFonts w:ascii="Times New Roman" w:hAnsi="Times New Roman" w:cs="Times New Roman"/>
          <w:vertAlign w:val="superscript"/>
        </w:rPr>
        <w:t>15</w:t>
      </w:r>
      <w:r w:rsidR="000E3D56" w:rsidRPr="00495CBB">
        <w:rPr>
          <w:rFonts w:ascii="Times New Roman" w:hAnsi="Times New Roman" w:cs="Times New Roman"/>
        </w:rPr>
        <w:t xml:space="preserve">N). </w:t>
      </w:r>
      <w:r w:rsidR="00334458" w:rsidRPr="00495CBB">
        <w:rPr>
          <w:rFonts w:ascii="Times New Roman" w:hAnsi="Times New Roman" w:cs="Times New Roman"/>
          <w:lang w:eastAsia="ja-JP"/>
        </w:rPr>
        <w:t>Whitledge and Rabeni (1997) present data where isotopic defined trophic levels do not agree with stomach contents in crayfish (</w:t>
      </w:r>
      <w:r w:rsidR="00334458" w:rsidRPr="00495CBB">
        <w:rPr>
          <w:rFonts w:ascii="Times New Roman" w:hAnsi="Times New Roman" w:cs="Times New Roman"/>
          <w:i/>
          <w:iCs/>
          <w:lang w:eastAsia="ja-JP"/>
        </w:rPr>
        <w:t>Orconectes</w:t>
      </w:r>
      <w:r w:rsidR="00334458" w:rsidRPr="00495CBB">
        <w:rPr>
          <w:rFonts w:ascii="Times New Roman" w:hAnsi="Times New Roman" w:cs="Times New Roman"/>
          <w:lang w:eastAsia="ja-JP"/>
        </w:rPr>
        <w:t xml:space="preserve"> species). </w:t>
      </w:r>
      <w:r w:rsidR="00334458" w:rsidRPr="00495CBB">
        <w:rPr>
          <w:rFonts w:ascii="Times New Roman" w:hAnsi="Times New Roman" w:cs="Times New Roman"/>
        </w:rPr>
        <w:t>The Whitledge and Rabeni (1997) example demonstrates the importance of understanding why an observed isotopic ratio for an organism and the ratio of consumed sources might differ. Fractionation factors can be influenced by non-diet phenomena such as taxon, environment and tissue that are difficult to interpret (Caut et al. 2009).</w:t>
      </w:r>
    </w:p>
    <w:p w14:paraId="0340A2AD" w14:textId="35B0D76D" w:rsidR="00334458" w:rsidRDefault="000E3D56" w:rsidP="0006282A">
      <w:pPr>
        <w:ind w:left="0" w:right="14" w:firstLine="720"/>
        <w:rPr>
          <w:rFonts w:ascii="Times New Roman" w:hAnsi="Times New Roman" w:cs="Times New Roman"/>
        </w:rPr>
      </w:pPr>
      <w:r w:rsidRPr="00495CBB">
        <w:rPr>
          <w:rFonts w:ascii="Times New Roman" w:hAnsi="Times New Roman" w:cs="Times New Roman"/>
        </w:rPr>
        <w:t>Similar phenomena can occur with other physical or biochemical processes (Mobius 2013; Lerch et al. 2010; Wang et al. 2015</w:t>
      </w:r>
      <w:r w:rsidR="00334458">
        <w:rPr>
          <w:rFonts w:ascii="Times New Roman" w:hAnsi="Times New Roman" w:cs="Times New Roman"/>
        </w:rPr>
        <w:t xml:space="preserve">). </w:t>
      </w:r>
      <w:r w:rsidRPr="00495CBB">
        <w:rPr>
          <w:rFonts w:ascii="Times New Roman" w:hAnsi="Times New Roman" w:cs="Times New Roman"/>
        </w:rPr>
        <w:t xml:space="preserve">For example, fractionation is the generally accepted explanation for why soil organic matter is more enriched in </w:t>
      </w:r>
      <w:r w:rsidRPr="00495CBB">
        <w:rPr>
          <w:rFonts w:ascii="Times New Roman" w:hAnsi="Times New Roman" w:cs="Times New Roman"/>
          <w:vertAlign w:val="superscript"/>
        </w:rPr>
        <w:t>15</w:t>
      </w:r>
      <w:r w:rsidRPr="00495CBB">
        <w:rPr>
          <w:rFonts w:ascii="Times New Roman" w:hAnsi="Times New Roman" w:cs="Times New Roman"/>
        </w:rPr>
        <w:t xml:space="preserve">N than its atmospheric source (Mobius 2013). Thousands of years of N-cycle transformations favor loss of the lighter common isotope </w:t>
      </w:r>
      <w:r w:rsidR="00A9074B" w:rsidRPr="00495CBB">
        <w:rPr>
          <w:rFonts w:ascii="Times New Roman" w:hAnsi="Times New Roman" w:cs="Times New Roman"/>
        </w:rPr>
        <w:t xml:space="preserve">and </w:t>
      </w:r>
      <w:r w:rsidRPr="00495CBB">
        <w:rPr>
          <w:rFonts w:ascii="Times New Roman" w:hAnsi="Times New Roman" w:cs="Times New Roman"/>
        </w:rPr>
        <w:t xml:space="preserve">leave the heavy isotope behind, eventually creating these pool differences. </w:t>
      </w:r>
    </w:p>
    <w:p w14:paraId="3F9FA87F" w14:textId="67702E36" w:rsidR="000E3D56" w:rsidRPr="00495CBB" w:rsidRDefault="000E3D56" w:rsidP="0006282A">
      <w:pPr>
        <w:pStyle w:val="Newparagraph"/>
        <w:spacing w:after="3" w:line="473" w:lineRule="auto"/>
        <w:ind w:right="14"/>
        <w:jc w:val="both"/>
        <w:rPr>
          <w:lang w:val="en-US"/>
        </w:rPr>
      </w:pPr>
      <w:r w:rsidRPr="00495CBB">
        <w:rPr>
          <w:lang w:val="en-US"/>
        </w:rPr>
        <w:t xml:space="preserve">In the isotopic literature, the relationship between substrate and product is defined by a constant fractionation factor. In theory, at infinite amounts of substrate the conversion of substrate to product does not noticeably change the isotopic ratio of the substrate. The isotopic ratio of both substrate and product will remain constant and differ by the fractionation factor. If finite amounts of substrate exist, the creation of product changes the isotopic ratio of the remaining substrate as it is consumed. Therefore, the value of both substrate and product will change over time, although they will always be related to one another by the fractionation factor. Fractionation factors that are constant as substrate levels change are a key component of current thinking on fractionation principles. Many factors can alter fractionation across soils, sediments or </w:t>
      </w:r>
      <w:r w:rsidR="003F2A0A">
        <w:rPr>
          <w:lang w:val="en-US"/>
        </w:rPr>
        <w:t>taxonomic</w:t>
      </w:r>
      <w:r w:rsidRPr="00495CBB">
        <w:rPr>
          <w:lang w:val="en-US"/>
        </w:rPr>
        <w:t xml:space="preserve"> groups in trophic level studies</w:t>
      </w:r>
      <w:r w:rsidR="003F2A0A">
        <w:rPr>
          <w:lang w:val="en-US"/>
        </w:rPr>
        <w:t>. However,</w:t>
      </w:r>
      <w:r w:rsidRPr="00495CBB">
        <w:rPr>
          <w:lang w:val="en-US"/>
        </w:rPr>
        <w:t xml:space="preserve"> within a given unit, fractionation is viewed as constant. </w:t>
      </w:r>
      <w:r w:rsidR="003F2A0A">
        <w:rPr>
          <w:lang w:val="en-US"/>
        </w:rPr>
        <w:t>A</w:t>
      </w:r>
      <w:r w:rsidRPr="00495CBB">
        <w:rPr>
          <w:lang w:val="en-US"/>
        </w:rPr>
        <w:t xml:space="preserve">s shown below, when source analyses are used to </w:t>
      </w:r>
      <w:r w:rsidR="00B52AB4">
        <w:rPr>
          <w:lang w:val="en-US"/>
        </w:rPr>
        <w:t xml:space="preserve">better understand </w:t>
      </w:r>
      <w:r w:rsidRPr="00495CBB">
        <w:rPr>
          <w:lang w:val="en-US"/>
        </w:rPr>
        <w:t>fractionation factors</w:t>
      </w:r>
      <w:r w:rsidR="00B52AB4">
        <w:rPr>
          <w:lang w:val="en-US"/>
        </w:rPr>
        <w:t>,</w:t>
      </w:r>
      <w:r w:rsidRPr="00495CBB">
        <w:rPr>
          <w:lang w:val="en-US"/>
        </w:rPr>
        <w:t xml:space="preserve"> </w:t>
      </w:r>
      <w:r w:rsidR="00B52AB4">
        <w:rPr>
          <w:lang w:val="en-US"/>
        </w:rPr>
        <w:t>relationships between substrate and product are more complex.</w:t>
      </w:r>
    </w:p>
    <w:p w14:paraId="6B0FF6C9" w14:textId="7ACD3C3A" w:rsidR="000E3D56" w:rsidRPr="00495CBB" w:rsidRDefault="000E3D56" w:rsidP="0006282A">
      <w:pPr>
        <w:pStyle w:val="Figurecaption"/>
        <w:spacing w:before="0" w:after="3" w:line="473" w:lineRule="auto"/>
        <w:ind w:right="14"/>
        <w:jc w:val="both"/>
        <w:rPr>
          <w:lang w:val="en-US"/>
        </w:rPr>
      </w:pPr>
      <w:r w:rsidRPr="00495CBB">
        <w:rPr>
          <w:lang w:val="en-US"/>
        </w:rPr>
        <w:lastRenderedPageBreak/>
        <w:tab/>
        <w:t xml:space="preserve">A common way of quantifying fractionation, especially in soil and sediment samples, is by calculating Rayleigh </w:t>
      </w:r>
      <w:r w:rsidR="00016BB2">
        <w:rPr>
          <w:lang w:val="en-US"/>
        </w:rPr>
        <w:t>f</w:t>
      </w:r>
      <w:r w:rsidRPr="00495CBB">
        <w:rPr>
          <w:lang w:val="en-US"/>
        </w:rPr>
        <w:t>ractionation factors. For example, the slope of ln total N vs. δ</w:t>
      </w:r>
      <w:r w:rsidRPr="00495CBB">
        <w:rPr>
          <w:vertAlign w:val="superscript"/>
          <w:lang w:val="en-US"/>
        </w:rPr>
        <w:t>15</w:t>
      </w:r>
      <w:r w:rsidRPr="00495CBB">
        <w:rPr>
          <w:lang w:val="en-US"/>
        </w:rPr>
        <w:t xml:space="preserve">N plots defines the Rayleigh fractionation factor in the isotopic literature and explains the increase in </w:t>
      </w:r>
      <w:r w:rsidRPr="00495CBB">
        <w:rPr>
          <w:vertAlign w:val="superscript"/>
          <w:lang w:val="en-US"/>
        </w:rPr>
        <w:t>15</w:t>
      </w:r>
      <w:r w:rsidRPr="00495CBB">
        <w:rPr>
          <w:lang w:val="en-US"/>
        </w:rPr>
        <w:t>N enrichment with declining organic matter and covarying decline in total N. Rayleigh fractionation factor</w:t>
      </w:r>
      <w:r w:rsidR="00841E03">
        <w:rPr>
          <w:lang w:val="en-US"/>
        </w:rPr>
        <w:t>s</w:t>
      </w:r>
      <w:r w:rsidRPr="00495CBB">
        <w:rPr>
          <w:lang w:val="en-US"/>
        </w:rPr>
        <w:t xml:space="preserve"> define difference between the isotopic ratio of the substrate and the material being lost in delta units. The original fractionation model derived by Lord Rayleigh (Rayleigh, 1902) was associated with phase changes (Kendall and Caldwell 1998). However, as N is lost in soils or sediments, fractionation can theoretically increase the δ</w:t>
      </w:r>
      <w:r w:rsidRPr="00495CBB">
        <w:rPr>
          <w:vertAlign w:val="superscript"/>
          <w:lang w:val="en-US"/>
        </w:rPr>
        <w:t>15</w:t>
      </w:r>
      <w:r w:rsidRPr="00495CBB">
        <w:rPr>
          <w:lang w:val="en-US"/>
        </w:rPr>
        <w:t xml:space="preserve">N of the remaining organic matter substrate. This fractionation can be explained with a ln function (Mariotti et al. 1981). </w:t>
      </w:r>
    </w:p>
    <w:p w14:paraId="419F8F8B" w14:textId="2C809C76" w:rsidR="000E3D56" w:rsidRPr="00495CBB" w:rsidRDefault="00F84106" w:rsidP="0006282A">
      <w:pPr>
        <w:ind w:left="0" w:right="14" w:firstLine="720"/>
        <w:rPr>
          <w:rFonts w:ascii="Times New Roman" w:hAnsi="Times New Roman" w:cs="Times New Roman"/>
        </w:rPr>
      </w:pPr>
      <w:r>
        <w:rPr>
          <w:rFonts w:ascii="Times New Roman" w:hAnsi="Times New Roman" w:cs="Times New Roman"/>
        </w:rPr>
        <w:t>Carbon f</w:t>
      </w:r>
      <w:r w:rsidR="00841E03">
        <w:rPr>
          <w:rFonts w:ascii="Times New Roman" w:hAnsi="Times New Roman" w:cs="Times New Roman"/>
        </w:rPr>
        <w:t xml:space="preserve">ractionation concepts in soil systems serve as an introduction to the phenomenon in sediments and other geological systems. </w:t>
      </w:r>
      <w:r w:rsidR="000E3D56" w:rsidRPr="00495CBB">
        <w:rPr>
          <w:rFonts w:ascii="Times New Roman" w:hAnsi="Times New Roman" w:cs="Times New Roman"/>
        </w:rPr>
        <w:t xml:space="preserve">Inputs into a soil system likely have a near-constant source </w:t>
      </w:r>
      <w:r w:rsidR="000E3D56" w:rsidRPr="00495CBB">
        <w:rPr>
          <w:rFonts w:ascii="Times New Roman" w:hAnsi="Times New Roman" w:cs="Times New Roman"/>
          <w:vertAlign w:val="superscript"/>
        </w:rPr>
        <w:t>13</w:t>
      </w:r>
      <w:r w:rsidR="000E3D56" w:rsidRPr="00495CBB">
        <w:rPr>
          <w:rFonts w:ascii="Times New Roman" w:hAnsi="Times New Roman" w:cs="Times New Roman"/>
        </w:rPr>
        <w:t>C:</w:t>
      </w:r>
      <w:r w:rsidR="000E3D56" w:rsidRPr="00495CBB">
        <w:rPr>
          <w:rFonts w:ascii="Times New Roman" w:hAnsi="Times New Roman" w:cs="Times New Roman"/>
          <w:vertAlign w:val="superscript"/>
        </w:rPr>
        <w:t>12</w:t>
      </w:r>
      <w:r w:rsidR="000E3D56" w:rsidRPr="00495CBB">
        <w:rPr>
          <w:rFonts w:ascii="Times New Roman" w:hAnsi="Times New Roman" w:cs="Times New Roman"/>
        </w:rPr>
        <w:t xml:space="preserve">C ratio. However, there are different observed </w:t>
      </w:r>
      <w:r w:rsidR="000E3D56" w:rsidRPr="00495CBB">
        <w:rPr>
          <w:rFonts w:ascii="Times New Roman" w:hAnsi="Times New Roman" w:cs="Times New Roman"/>
          <w:vertAlign w:val="superscript"/>
        </w:rPr>
        <w:t>13</w:t>
      </w:r>
      <w:r w:rsidR="000E3D56" w:rsidRPr="00495CBB">
        <w:rPr>
          <w:rFonts w:ascii="Times New Roman" w:hAnsi="Times New Roman" w:cs="Times New Roman"/>
        </w:rPr>
        <w:t>C:</w:t>
      </w:r>
      <w:r w:rsidR="000E3D56" w:rsidRPr="00495CBB">
        <w:rPr>
          <w:rFonts w:ascii="Times New Roman" w:hAnsi="Times New Roman" w:cs="Times New Roman"/>
          <w:vertAlign w:val="superscript"/>
        </w:rPr>
        <w:t>12</w:t>
      </w:r>
      <w:r w:rsidR="000E3D56" w:rsidRPr="00495CBB">
        <w:rPr>
          <w:rFonts w:ascii="Times New Roman" w:hAnsi="Times New Roman" w:cs="Times New Roman"/>
        </w:rPr>
        <w:t xml:space="preserve">C ratios for many different-aged soil organic matter types, decomposing at different rates (Weiglein et al. 2022). Soil physiochemical and ecosystem properties (e.g., vegetation, climate) are the dominant factors controlling </w:t>
      </w:r>
      <w:r w:rsidR="00DB64D5">
        <w:rPr>
          <w:rFonts w:ascii="Times New Roman" w:hAnsi="Times New Roman" w:cs="Times New Roman"/>
        </w:rPr>
        <w:t>soil organic matter</w:t>
      </w:r>
      <w:r w:rsidR="000E3D56" w:rsidRPr="00495CBB">
        <w:rPr>
          <w:rFonts w:ascii="Times New Roman" w:hAnsi="Times New Roman" w:cs="Times New Roman"/>
        </w:rPr>
        <w:t xml:space="preserve"> resistance to decay (Weiglein et al. 2022). In the short-term, organic matter in a soil is relatively constant as recent plant inputs are offset by the rapid loss of this easily decomposed organic material (even though input sources and </w:t>
      </w:r>
      <w:r w:rsidR="003D07A6" w:rsidRPr="00495CBB">
        <w:rPr>
          <w:rFonts w:ascii="Times New Roman" w:hAnsi="Times New Roman" w:cs="Times New Roman"/>
        </w:rPr>
        <w:t>losses</w:t>
      </w:r>
      <w:r w:rsidR="000E3D56" w:rsidRPr="00495CBB">
        <w:rPr>
          <w:rFonts w:ascii="Times New Roman" w:hAnsi="Times New Roman" w:cs="Times New Roman"/>
        </w:rPr>
        <w:t xml:space="preserve"> of this input may be slightly different). </w:t>
      </w:r>
      <w:r w:rsidR="003D07A6" w:rsidRPr="00495CBB">
        <w:rPr>
          <w:rFonts w:ascii="Times New Roman" w:hAnsi="Times New Roman" w:cs="Times New Roman"/>
        </w:rPr>
        <w:t>Recently deposited</w:t>
      </w:r>
      <w:r w:rsidR="000E3D56" w:rsidRPr="00495CBB">
        <w:rPr>
          <w:rFonts w:ascii="Times New Roman" w:hAnsi="Times New Roman" w:cs="Times New Roman"/>
        </w:rPr>
        <w:t xml:space="preserve"> plant material may decay within 1-2 years but older decay-resistant organic matter, at deeper depths, may be thousands of years old (Rumpel et al. 2002; Heckman et al. 2021). Explanatory variables associated with C concentrations differ from those associated with persistence (Heckman et al. 2021). The source of losses for the remaining more persistent organic matter, mostly at the deeper depths in soils, </w:t>
      </w:r>
      <w:r w:rsidR="00F636E3">
        <w:rPr>
          <w:rFonts w:ascii="Times New Roman" w:hAnsi="Times New Roman" w:cs="Times New Roman"/>
        </w:rPr>
        <w:t>is</w:t>
      </w:r>
      <w:r w:rsidR="000E3D56" w:rsidRPr="00495CBB">
        <w:rPr>
          <w:rFonts w:ascii="Times New Roman" w:hAnsi="Times New Roman" w:cs="Times New Roman"/>
        </w:rPr>
        <w:t xml:space="preserve"> of interest here.</w:t>
      </w:r>
      <w:r w:rsidR="00A850AA">
        <w:rPr>
          <w:rFonts w:ascii="Times New Roman" w:hAnsi="Times New Roman" w:cs="Times New Roman"/>
        </w:rPr>
        <w:t xml:space="preserve"> </w:t>
      </w:r>
      <w:r w:rsidR="003D07A6" w:rsidRPr="00495CBB">
        <w:rPr>
          <w:rFonts w:ascii="Times New Roman" w:hAnsi="Times New Roman" w:cs="Times New Roman"/>
        </w:rPr>
        <w:t>Even though</w:t>
      </w:r>
      <w:r w:rsidR="000E3D56" w:rsidRPr="00495CBB">
        <w:rPr>
          <w:rFonts w:ascii="Times New Roman" w:hAnsi="Times New Roman" w:cs="Times New Roman"/>
        </w:rPr>
        <w:t xml:space="preserve"> there are many different types of soil organic matter found in various proportions at different soil depth</w:t>
      </w:r>
      <w:r w:rsidR="00841E03">
        <w:rPr>
          <w:rFonts w:ascii="Times New Roman" w:hAnsi="Times New Roman" w:cs="Times New Roman"/>
        </w:rPr>
        <w:t>s</w:t>
      </w:r>
      <w:r w:rsidR="000E3D56" w:rsidRPr="00495CBB">
        <w:rPr>
          <w:rFonts w:ascii="Times New Roman" w:hAnsi="Times New Roman" w:cs="Times New Roman"/>
        </w:rPr>
        <w:t xml:space="preserve">, </w:t>
      </w:r>
      <w:r w:rsidR="007127D9">
        <w:rPr>
          <w:rFonts w:ascii="Times New Roman" w:hAnsi="Times New Roman" w:cs="Times New Roman"/>
        </w:rPr>
        <w:t xml:space="preserve">isotopic </w:t>
      </w:r>
      <w:r w:rsidR="007127D9">
        <w:rPr>
          <w:rFonts w:ascii="Times New Roman" w:hAnsi="Times New Roman" w:cs="Times New Roman"/>
        </w:rPr>
        <w:lastRenderedPageBreak/>
        <w:t>fractionation theory suggests discrimination</w:t>
      </w:r>
      <w:r w:rsidR="000E3D56" w:rsidRPr="00495CBB">
        <w:rPr>
          <w:rFonts w:ascii="Times New Roman" w:hAnsi="Times New Roman" w:cs="Times New Roman"/>
        </w:rPr>
        <w:t xml:space="preserve"> is constant within a single soil type</w:t>
      </w:r>
      <w:r w:rsidR="007127D9">
        <w:rPr>
          <w:rFonts w:ascii="Times New Roman" w:hAnsi="Times New Roman" w:cs="Times New Roman"/>
        </w:rPr>
        <w:t xml:space="preserve"> </w:t>
      </w:r>
      <w:r w:rsidR="007127D9" w:rsidRPr="00495CBB">
        <w:rPr>
          <w:rFonts w:ascii="Times New Roman" w:hAnsi="Times New Roman" w:cs="Times New Roman"/>
        </w:rPr>
        <w:t>(Lerch et al. 2010)</w:t>
      </w:r>
      <w:r w:rsidR="000E3D56" w:rsidRPr="00495CBB">
        <w:rPr>
          <w:rFonts w:ascii="Times New Roman" w:hAnsi="Times New Roman" w:cs="Times New Roman"/>
        </w:rPr>
        <w:t xml:space="preserve">. </w:t>
      </w:r>
    </w:p>
    <w:p w14:paraId="21529007" w14:textId="04AF3BB7" w:rsidR="000E3D56" w:rsidRPr="00495CBB" w:rsidRDefault="0027286E" w:rsidP="0006282A">
      <w:pPr>
        <w:ind w:left="0" w:right="14" w:firstLine="720"/>
        <w:rPr>
          <w:rFonts w:ascii="Times New Roman" w:hAnsi="Times New Roman" w:cs="Times New Roman"/>
        </w:rPr>
      </w:pPr>
      <w:r>
        <w:rPr>
          <w:rFonts w:ascii="Times New Roman" w:hAnsi="Times New Roman" w:cs="Times New Roman"/>
        </w:rPr>
        <w:t xml:space="preserve">Constant fractionation factors for an individual soil or sediment are common in the isotopic literature. </w:t>
      </w:r>
      <w:r w:rsidR="000E3D56" w:rsidRPr="00495CBB">
        <w:rPr>
          <w:rFonts w:ascii="Times New Roman" w:hAnsi="Times New Roman" w:cs="Times New Roman"/>
        </w:rPr>
        <w:t xml:space="preserve">By fitting the relationship between </w:t>
      </w:r>
      <w:r w:rsidR="00FA3AB9">
        <w:rPr>
          <w:rFonts w:ascii="Times New Roman" w:hAnsi="Times New Roman" w:cs="Times New Roman"/>
        </w:rPr>
        <w:t xml:space="preserve">ln </w:t>
      </w:r>
      <w:r w:rsidR="000E3D56" w:rsidRPr="00495CBB">
        <w:rPr>
          <w:rFonts w:ascii="Times New Roman" w:hAnsi="Times New Roman" w:cs="Times New Roman"/>
        </w:rPr>
        <w:t>C and ð</w:t>
      </w:r>
      <w:r w:rsidR="000E3D56" w:rsidRPr="00495CBB">
        <w:rPr>
          <w:rFonts w:ascii="Times New Roman" w:hAnsi="Times New Roman" w:cs="Times New Roman"/>
          <w:vertAlign w:val="superscript"/>
        </w:rPr>
        <w:t>13</w:t>
      </w:r>
      <w:r w:rsidR="000E3D56" w:rsidRPr="00495CBB">
        <w:rPr>
          <w:rFonts w:ascii="Times New Roman" w:hAnsi="Times New Roman" w:cs="Times New Roman"/>
        </w:rPr>
        <w:t xml:space="preserve">C a constant </w:t>
      </w:r>
      <w:r w:rsidR="00B10E0A">
        <w:rPr>
          <w:rFonts w:ascii="Times New Roman" w:hAnsi="Times New Roman" w:cs="Times New Roman"/>
        </w:rPr>
        <w:t xml:space="preserve">soil </w:t>
      </w:r>
      <w:r w:rsidR="000E3D56" w:rsidRPr="00495CBB">
        <w:rPr>
          <w:rFonts w:ascii="Times New Roman" w:hAnsi="Times New Roman" w:cs="Times New Roman"/>
        </w:rPr>
        <w:t xml:space="preserve">fractionation factor </w:t>
      </w:r>
      <w:r w:rsidR="004935E2">
        <w:rPr>
          <w:rFonts w:ascii="Times New Roman" w:hAnsi="Times New Roman" w:cs="Times New Roman"/>
        </w:rPr>
        <w:t xml:space="preserve">for an evaluated soil </w:t>
      </w:r>
      <w:r w:rsidR="000E3D56" w:rsidRPr="00495CBB">
        <w:rPr>
          <w:rFonts w:ascii="Times New Roman" w:hAnsi="Times New Roman" w:cs="Times New Roman"/>
        </w:rPr>
        <w:t xml:space="preserve">of -1.71 </w:t>
      </w:r>
      <w:r w:rsidR="00FA3AB9" w:rsidRPr="00495CBB">
        <w:rPr>
          <w:rFonts w:ascii="Times New Roman" w:hAnsi="Times New Roman" w:cs="Times New Roman"/>
        </w:rPr>
        <w:t>ð</w:t>
      </w:r>
      <w:r w:rsidR="00FA3AB9" w:rsidRPr="00495CBB">
        <w:rPr>
          <w:rFonts w:ascii="Times New Roman" w:hAnsi="Times New Roman" w:cs="Times New Roman"/>
          <w:vertAlign w:val="superscript"/>
        </w:rPr>
        <w:t>13</w:t>
      </w:r>
      <w:r w:rsidR="00FA3AB9" w:rsidRPr="00495CBB">
        <w:rPr>
          <w:rFonts w:ascii="Times New Roman" w:hAnsi="Times New Roman" w:cs="Times New Roman"/>
        </w:rPr>
        <w:t>C</w:t>
      </w:r>
      <w:r w:rsidR="000E3D56" w:rsidRPr="00495CBB">
        <w:rPr>
          <w:rFonts w:ascii="Times New Roman" w:hAnsi="Times New Roman" w:cs="Times New Roman"/>
        </w:rPr>
        <w:t xml:space="preserve"> units was found (Balesdent and Mariotti 1966). A </w:t>
      </w:r>
      <w:r w:rsidR="000E3D56" w:rsidRPr="00495CBB">
        <w:rPr>
          <w:rFonts w:ascii="Times New Roman" w:hAnsi="Times New Roman" w:cs="Times New Roman"/>
          <w:vertAlign w:val="superscript"/>
        </w:rPr>
        <w:t>13</w:t>
      </w:r>
      <w:r w:rsidR="000E3D56" w:rsidRPr="00495CBB">
        <w:rPr>
          <w:rFonts w:ascii="Times New Roman" w:hAnsi="Times New Roman" w:cs="Times New Roman"/>
        </w:rPr>
        <w:t xml:space="preserve">C discrimination factor of 1-2 </w:t>
      </w:r>
      <w:r w:rsidR="00FA3AB9" w:rsidRPr="00495CBB">
        <w:rPr>
          <w:rFonts w:ascii="Times New Roman" w:hAnsi="Times New Roman" w:cs="Times New Roman"/>
        </w:rPr>
        <w:t>ð</w:t>
      </w:r>
      <w:r w:rsidR="00FA3AB9" w:rsidRPr="00495CBB">
        <w:rPr>
          <w:rFonts w:ascii="Times New Roman" w:hAnsi="Times New Roman" w:cs="Times New Roman"/>
          <w:vertAlign w:val="superscript"/>
        </w:rPr>
        <w:t>13</w:t>
      </w:r>
      <w:r w:rsidR="00FA3AB9" w:rsidRPr="00495CBB">
        <w:rPr>
          <w:rFonts w:ascii="Times New Roman" w:hAnsi="Times New Roman" w:cs="Times New Roman"/>
        </w:rPr>
        <w:t>C</w:t>
      </w:r>
      <w:r w:rsidR="000E3D56" w:rsidRPr="00495CBB">
        <w:rPr>
          <w:rFonts w:ascii="Times New Roman" w:hAnsi="Times New Roman" w:cs="Times New Roman"/>
        </w:rPr>
        <w:t xml:space="preserve"> units was also estimated using the Rayleigh distillation model to fit the relationship between C content and ð</w:t>
      </w:r>
      <w:r w:rsidR="000E3D56" w:rsidRPr="00495CBB">
        <w:rPr>
          <w:rFonts w:ascii="Times New Roman" w:hAnsi="Times New Roman" w:cs="Times New Roman"/>
          <w:vertAlign w:val="superscript"/>
        </w:rPr>
        <w:t>13</w:t>
      </w:r>
      <w:r w:rsidR="000E3D56" w:rsidRPr="00495CBB">
        <w:rPr>
          <w:rFonts w:ascii="Times New Roman" w:hAnsi="Times New Roman" w:cs="Times New Roman"/>
        </w:rPr>
        <w:t xml:space="preserve">C values from different </w:t>
      </w:r>
      <w:r w:rsidR="00FA3AB9">
        <w:rPr>
          <w:rFonts w:ascii="Times New Roman" w:hAnsi="Times New Roman" w:cs="Times New Roman"/>
        </w:rPr>
        <w:t xml:space="preserve">soil </w:t>
      </w:r>
      <w:r w:rsidR="000E3D56" w:rsidRPr="00495CBB">
        <w:rPr>
          <w:rFonts w:ascii="Times New Roman" w:hAnsi="Times New Roman" w:cs="Times New Roman"/>
        </w:rPr>
        <w:t>depths (Wynn et al. 2005, 2006). Other studies have used data collected at different depths to assign fractionation factors for individual soil profiles and then co</w:t>
      </w:r>
      <w:r w:rsidR="00DA19E2">
        <w:rPr>
          <w:rFonts w:ascii="Times New Roman" w:hAnsi="Times New Roman" w:cs="Times New Roman"/>
        </w:rPr>
        <w:t>r</w:t>
      </w:r>
      <w:r w:rsidR="000E3D56" w:rsidRPr="00495CBB">
        <w:rPr>
          <w:rFonts w:ascii="Times New Roman" w:hAnsi="Times New Roman" w:cs="Times New Roman"/>
        </w:rPr>
        <w:t xml:space="preserve">related soil properties </w:t>
      </w:r>
      <w:r w:rsidR="00B811B5">
        <w:rPr>
          <w:rFonts w:ascii="Times New Roman" w:hAnsi="Times New Roman" w:cs="Times New Roman"/>
        </w:rPr>
        <w:t>and</w:t>
      </w:r>
      <w:r w:rsidR="000E3D56" w:rsidRPr="00495CBB">
        <w:rPr>
          <w:rFonts w:ascii="Times New Roman" w:hAnsi="Times New Roman" w:cs="Times New Roman"/>
        </w:rPr>
        <w:t xml:space="preserve"> environmental conditions at a given site </w:t>
      </w:r>
      <w:r w:rsidR="00DA19E2">
        <w:rPr>
          <w:rFonts w:ascii="Times New Roman" w:hAnsi="Times New Roman" w:cs="Times New Roman"/>
        </w:rPr>
        <w:t xml:space="preserve">with calculated fractionation factors </w:t>
      </w:r>
      <w:r w:rsidR="000E3D56" w:rsidRPr="00495CBB">
        <w:rPr>
          <w:rFonts w:ascii="Times New Roman" w:hAnsi="Times New Roman" w:cs="Times New Roman"/>
        </w:rPr>
        <w:t>(Wang et al. 2015). Once incubation samples (Lerch et al. 2010) reached a steady state equilibrium (after 1 month)</w:t>
      </w:r>
      <w:r w:rsidR="00DA19E2">
        <w:rPr>
          <w:rFonts w:ascii="Times New Roman" w:hAnsi="Times New Roman" w:cs="Times New Roman"/>
        </w:rPr>
        <w:t xml:space="preserve"> in laboratory incubation studies</w:t>
      </w:r>
      <w:r w:rsidR="000E3D56" w:rsidRPr="00495CBB">
        <w:rPr>
          <w:rFonts w:ascii="Times New Roman" w:hAnsi="Times New Roman" w:cs="Times New Roman"/>
        </w:rPr>
        <w:t xml:space="preserve">, </w:t>
      </w:r>
      <w:r w:rsidR="00DA19E2">
        <w:rPr>
          <w:rFonts w:ascii="Times New Roman" w:hAnsi="Times New Roman" w:cs="Times New Roman"/>
        </w:rPr>
        <w:t xml:space="preserve">C </w:t>
      </w:r>
      <w:r w:rsidR="000E3D56" w:rsidRPr="00495CBB">
        <w:rPr>
          <w:rFonts w:ascii="Times New Roman" w:hAnsi="Times New Roman" w:cs="Times New Roman"/>
        </w:rPr>
        <w:t xml:space="preserve">isotopic </w:t>
      </w:r>
      <w:r w:rsidR="00DA19E2">
        <w:rPr>
          <w:rFonts w:ascii="Times New Roman" w:hAnsi="Times New Roman" w:cs="Times New Roman"/>
        </w:rPr>
        <w:t xml:space="preserve">evaluations </w:t>
      </w:r>
      <w:r w:rsidR="000E3D56" w:rsidRPr="00495CBB">
        <w:rPr>
          <w:rFonts w:ascii="Times New Roman" w:hAnsi="Times New Roman" w:cs="Times New Roman"/>
        </w:rPr>
        <w:t>corroborate fractionation factors found in the field. Lerch et al. (2010) concluded that caution should be exercised in interpreting short</w:t>
      </w:r>
      <w:r w:rsidR="00DA19E2">
        <w:rPr>
          <w:rFonts w:ascii="Times New Roman" w:hAnsi="Times New Roman" w:cs="Times New Roman"/>
        </w:rPr>
        <w:t>-</w:t>
      </w:r>
      <w:r w:rsidR="000E3D56" w:rsidRPr="00495CBB">
        <w:rPr>
          <w:rFonts w:ascii="Times New Roman" w:hAnsi="Times New Roman" w:cs="Times New Roman"/>
        </w:rPr>
        <w:t xml:space="preserve">term incubation experiments. The variation observed at the beginning of the incubation </w:t>
      </w:r>
      <w:r w:rsidR="003D07A6" w:rsidRPr="00495CBB">
        <w:rPr>
          <w:rFonts w:ascii="Times New Roman" w:hAnsi="Times New Roman" w:cs="Times New Roman"/>
        </w:rPr>
        <w:t>is</w:t>
      </w:r>
      <w:r w:rsidR="000E3D56" w:rsidRPr="00495CBB">
        <w:rPr>
          <w:rFonts w:ascii="Times New Roman" w:hAnsi="Times New Roman" w:cs="Times New Roman"/>
        </w:rPr>
        <w:t xml:space="preserve"> likely </w:t>
      </w:r>
      <w:r w:rsidR="003D07A6" w:rsidRPr="00495CBB">
        <w:rPr>
          <w:rFonts w:ascii="Times New Roman" w:hAnsi="Times New Roman" w:cs="Times New Roman"/>
        </w:rPr>
        <w:t>due</w:t>
      </w:r>
      <w:r w:rsidR="000E3D56" w:rsidRPr="00495CBB">
        <w:rPr>
          <w:rFonts w:ascii="Times New Roman" w:hAnsi="Times New Roman" w:cs="Times New Roman"/>
        </w:rPr>
        <w:t xml:space="preserve"> to the perturbations associated with the setting up of the experiment. However, both long-term incubations and field studies suggest </w:t>
      </w:r>
      <w:r w:rsidR="00DA19E2">
        <w:rPr>
          <w:rFonts w:ascii="Times New Roman" w:hAnsi="Times New Roman" w:cs="Times New Roman"/>
        </w:rPr>
        <w:t xml:space="preserve">relatively </w:t>
      </w:r>
      <w:r w:rsidR="000E3D56" w:rsidRPr="00495CBB">
        <w:rPr>
          <w:rFonts w:ascii="Times New Roman" w:hAnsi="Times New Roman" w:cs="Times New Roman"/>
        </w:rPr>
        <w:t>constant fractionation factors for a given system over time.</w:t>
      </w:r>
    </w:p>
    <w:p w14:paraId="776C2FC9" w14:textId="60DCE2C6" w:rsidR="000E3D56" w:rsidRDefault="000E3D56" w:rsidP="0006282A">
      <w:pPr>
        <w:pStyle w:val="Newparagraph"/>
        <w:spacing w:after="3" w:line="473" w:lineRule="auto"/>
        <w:ind w:right="14"/>
        <w:jc w:val="both"/>
      </w:pPr>
      <w:r w:rsidRPr="00495CBB">
        <w:t>Blair et al. (1985) and Wick et al</w:t>
      </w:r>
      <w:r w:rsidR="00CF4E20">
        <w:t>.</w:t>
      </w:r>
      <w:r w:rsidRPr="00495CBB">
        <w:t xml:space="preserve"> (2003) present data that suggests fractionation may be microorganism or substrate dependent. </w:t>
      </w:r>
      <w:r w:rsidR="00CF60F0">
        <w:t>Wang et al. (201</w:t>
      </w:r>
      <w:r w:rsidR="00566E48">
        <w:t>5</w:t>
      </w:r>
      <w:r w:rsidR="00CF60F0">
        <w:t xml:space="preserve">) calculated constant fractionation factors for </w:t>
      </w:r>
      <w:r w:rsidR="004935E2">
        <w:t>different</w:t>
      </w:r>
      <w:r w:rsidR="00CF60F0">
        <w:t xml:space="preserve"> soils, </w:t>
      </w:r>
      <w:r w:rsidR="004935E2">
        <w:t xml:space="preserve">but </w:t>
      </w:r>
      <w:r w:rsidR="00CF60F0">
        <w:t xml:space="preserve">fractionation </w:t>
      </w:r>
      <w:r w:rsidR="004935E2">
        <w:t xml:space="preserve">factors </w:t>
      </w:r>
      <w:r w:rsidR="00CF60F0">
        <w:t>decrease</w:t>
      </w:r>
      <w:r w:rsidR="004935E2">
        <w:t>d</w:t>
      </w:r>
      <w:r w:rsidR="00CF60F0">
        <w:t xml:space="preserve"> </w:t>
      </w:r>
      <w:r w:rsidR="007A3ED4">
        <w:t xml:space="preserve">among soils </w:t>
      </w:r>
      <w:r w:rsidR="00CF60F0">
        <w:t xml:space="preserve">with </w:t>
      </w:r>
      <w:r w:rsidR="00DA19E2">
        <w:t xml:space="preserve">declining </w:t>
      </w:r>
      <w:r w:rsidR="00CF60F0">
        <w:t xml:space="preserve">litter quality (higher C:N ratios, higher lignin contents and lower cellulose) and declining soil water. </w:t>
      </w:r>
      <w:r w:rsidRPr="00495CBB">
        <w:t>We suspect that the Rayleigh fractionation evaluation process has mathematical flaws that produce a very different interpretation than an evaluation of isotopic source ratio (</w:t>
      </w:r>
      <w:r w:rsidR="00B10E0A">
        <w:t>ratio of material lost as substrate is consumed</w:t>
      </w:r>
      <w:r w:rsidRPr="00495CBB">
        <w:t>) and the isotopic ratio of the substrate</w:t>
      </w:r>
      <w:r w:rsidR="00CF60F0">
        <w:t xml:space="preserve"> (observed isotopic ratio)</w:t>
      </w:r>
      <w:r w:rsidRPr="00495CBB">
        <w:t>.</w:t>
      </w:r>
    </w:p>
    <w:p w14:paraId="1AD2E40A" w14:textId="77777777" w:rsidR="009B09F9" w:rsidRPr="00BB17F9" w:rsidRDefault="009B09F9" w:rsidP="0006282A">
      <w:pPr>
        <w:pStyle w:val="Heading1"/>
        <w:tabs>
          <w:tab w:val="center" w:pos="1644"/>
        </w:tabs>
        <w:ind w:left="-15" w:firstLine="0"/>
        <w:jc w:val="both"/>
        <w:rPr>
          <w:rFonts w:ascii="Times New Roman" w:hAnsi="Times New Roman" w:cs="Times New Roman"/>
          <w:sz w:val="24"/>
          <w:szCs w:val="24"/>
        </w:rPr>
      </w:pPr>
      <w:r w:rsidRPr="00BB17F9">
        <w:rPr>
          <w:rFonts w:ascii="Times New Roman" w:hAnsi="Times New Roman" w:cs="Times New Roman"/>
          <w:sz w:val="24"/>
          <w:szCs w:val="24"/>
        </w:rPr>
        <w:lastRenderedPageBreak/>
        <w:t>2</w:t>
      </w:r>
      <w:r w:rsidRPr="00BB17F9">
        <w:rPr>
          <w:rFonts w:ascii="Times New Roman" w:hAnsi="Times New Roman" w:cs="Times New Roman"/>
          <w:sz w:val="24"/>
          <w:szCs w:val="24"/>
        </w:rPr>
        <w:tab/>
        <w:t xml:space="preserve">      Background and Motivation</w:t>
      </w:r>
    </w:p>
    <w:p w14:paraId="693814FC" w14:textId="5C4821FF" w:rsidR="003D7EFF" w:rsidRPr="009B09F9" w:rsidRDefault="009B09F9" w:rsidP="0006282A">
      <w:pPr>
        <w:pStyle w:val="Newparagraph"/>
        <w:spacing w:after="3" w:line="473" w:lineRule="auto"/>
        <w:ind w:right="14" w:firstLine="0"/>
        <w:jc w:val="both"/>
      </w:pPr>
      <w:r w:rsidRPr="009B09F9">
        <w:rPr>
          <w:lang w:val="en-US"/>
        </w:rPr>
        <w:t xml:space="preserve">Fractionation does occur in natural settings. However, differences in </w:t>
      </w:r>
      <w:r w:rsidR="003D07A6" w:rsidRPr="009B09F9">
        <w:rPr>
          <w:lang w:val="en-US"/>
        </w:rPr>
        <w:t>observed isotopic ratios</w:t>
      </w:r>
      <w:r w:rsidRPr="009B09F9">
        <w:rPr>
          <w:lang w:val="en-US"/>
        </w:rPr>
        <w:t xml:space="preserve"> </w:t>
      </w:r>
      <w:r w:rsidR="00A850AA">
        <w:rPr>
          <w:lang w:val="en-US"/>
        </w:rPr>
        <w:t>associated with l</w:t>
      </w:r>
      <w:r w:rsidRPr="009B09F9">
        <w:rPr>
          <w:lang w:val="en-US"/>
        </w:rPr>
        <w:t>inear denominator vs. numerator</w:t>
      </w:r>
      <w:r w:rsidRPr="009B09F9">
        <w:rPr>
          <w:vertAlign w:val="superscript"/>
          <w:lang w:val="en-US"/>
        </w:rPr>
        <w:t xml:space="preserve"> </w:t>
      </w:r>
      <w:r w:rsidRPr="009B09F9">
        <w:rPr>
          <w:lang w:val="en-US"/>
        </w:rPr>
        <w:t xml:space="preserve">datasets with ubiquitous non-zero </w:t>
      </w:r>
      <w:r w:rsidRPr="006909DE">
        <w:rPr>
          <w:i/>
          <w:iCs/>
          <w:lang w:val="en-US"/>
        </w:rPr>
        <w:t>y</w:t>
      </w:r>
      <w:r w:rsidRPr="009B09F9">
        <w:rPr>
          <w:lang w:val="en-US"/>
        </w:rPr>
        <w:t>-intercepts are driven by a combination of</w:t>
      </w:r>
      <w:r>
        <w:rPr>
          <w:lang w:val="en-US"/>
        </w:rPr>
        <w:t xml:space="preserve"> </w:t>
      </w:r>
      <w:r w:rsidRPr="009B09F9">
        <w:rPr>
          <w:lang w:val="en-US"/>
        </w:rPr>
        <w:t>background, source and total element</w:t>
      </w:r>
      <w:r w:rsidR="007A3ED4">
        <w:rPr>
          <w:lang w:val="en-US"/>
        </w:rPr>
        <w:t xml:space="preserve"> (Moots et al. 2024a)</w:t>
      </w:r>
      <w:r w:rsidRPr="009B09F9">
        <w:rPr>
          <w:lang w:val="en-US"/>
        </w:rPr>
        <w:t>. For curvilinear denominator vs. numerator plots, ratio</w:t>
      </w:r>
      <w:r w:rsidRPr="009B09F9">
        <w:rPr>
          <w:b/>
          <w:bCs/>
          <w:lang w:val="en-US"/>
        </w:rPr>
        <w:t xml:space="preserve"> </w:t>
      </w:r>
      <w:r w:rsidRPr="009B09F9">
        <w:rPr>
          <w:lang w:val="en-US"/>
        </w:rPr>
        <w:t xml:space="preserve">differences can be caused by both function curvature and non-zero </w:t>
      </w:r>
      <w:r w:rsidRPr="009B09F9">
        <w:rPr>
          <w:i/>
          <w:iCs/>
          <w:lang w:val="en-US"/>
        </w:rPr>
        <w:t>y</w:t>
      </w:r>
      <w:r w:rsidRPr="009B09F9">
        <w:rPr>
          <w:lang w:val="en-US"/>
        </w:rPr>
        <w:t>-intercepts</w:t>
      </w:r>
      <w:r w:rsidR="007A3ED4">
        <w:rPr>
          <w:lang w:val="en-US"/>
        </w:rPr>
        <w:t xml:space="preserve"> (Moots et al. 2024a)</w:t>
      </w:r>
      <w:r w:rsidRPr="009B09F9">
        <w:rPr>
          <w:lang w:val="en-US"/>
        </w:rPr>
        <w:t>. Therefore, it is</w:t>
      </w:r>
      <w:bookmarkStart w:id="0" w:name="_Hlk142563136"/>
      <w:r>
        <w:rPr>
          <w:lang w:val="en-US"/>
        </w:rPr>
        <w:t xml:space="preserve"> </w:t>
      </w:r>
      <w:r w:rsidR="003D7EFF" w:rsidRPr="009B09F9">
        <w:rPr>
          <w:lang w:val="en-US"/>
        </w:rPr>
        <w:t xml:space="preserve">important to determine if scaling differences, fractionation or combination of the two mechanisms drive isotopic ratio differences between defined sources and observed ratios. </w:t>
      </w:r>
      <w:r w:rsidR="003D7EFF" w:rsidRPr="009B09F9">
        <w:t xml:space="preserve">We propose that the general assumption of constant fractionation factors </w:t>
      </w:r>
      <w:r w:rsidR="00126FA2">
        <w:t xml:space="preserve">(consistent differences between loss ratios and substrate) </w:t>
      </w:r>
      <w:r w:rsidR="003D7EFF" w:rsidRPr="009B09F9">
        <w:t xml:space="preserve">in soils or sediments for a given system when either total N or C change over time or depth </w:t>
      </w:r>
      <w:r w:rsidR="003D07A6" w:rsidRPr="009B09F9">
        <w:t>is not</w:t>
      </w:r>
      <w:r w:rsidR="003D7EFF" w:rsidRPr="009B09F9">
        <w:t xml:space="preserve"> true. The same argument can be applied to </w:t>
      </w:r>
      <w:r w:rsidR="004021E4">
        <w:t xml:space="preserve">fractionation in </w:t>
      </w:r>
      <w:r w:rsidR="003D7EFF" w:rsidRPr="009B09F9">
        <w:t xml:space="preserve">trophic level studies. </w:t>
      </w:r>
    </w:p>
    <w:bookmarkEnd w:id="0"/>
    <w:p w14:paraId="05E620C0" w14:textId="558A6E80" w:rsidR="00255BC1" w:rsidRPr="00BB17F9" w:rsidRDefault="00A84C57" w:rsidP="0006282A">
      <w:pPr>
        <w:pStyle w:val="Heading1"/>
        <w:tabs>
          <w:tab w:val="center" w:pos="1627"/>
        </w:tabs>
        <w:spacing w:line="264" w:lineRule="auto"/>
        <w:ind w:left="-14" w:firstLine="0"/>
        <w:jc w:val="both"/>
        <w:rPr>
          <w:rFonts w:ascii="Times New Roman" w:hAnsi="Times New Roman" w:cs="Times New Roman"/>
          <w:sz w:val="24"/>
          <w:szCs w:val="24"/>
        </w:rPr>
      </w:pPr>
      <w:r w:rsidRPr="00BB17F9">
        <w:rPr>
          <w:rFonts w:ascii="Times New Roman" w:hAnsi="Times New Roman" w:cs="Times New Roman"/>
          <w:sz w:val="24"/>
          <w:szCs w:val="24"/>
        </w:rPr>
        <w:t>3</w:t>
      </w:r>
      <w:r w:rsidR="00255BC1" w:rsidRPr="00BB17F9">
        <w:rPr>
          <w:rFonts w:ascii="Times New Roman" w:hAnsi="Times New Roman" w:cs="Times New Roman"/>
          <w:sz w:val="24"/>
          <w:szCs w:val="24"/>
        </w:rPr>
        <w:t xml:space="preserve">      Methods</w:t>
      </w:r>
    </w:p>
    <w:p w14:paraId="794B55F6" w14:textId="37FA9229" w:rsidR="005A7B14" w:rsidRPr="007A4D06" w:rsidRDefault="007A4D06" w:rsidP="0006282A">
      <w:pPr>
        <w:pStyle w:val="Newparagraph"/>
        <w:spacing w:after="3" w:line="473" w:lineRule="auto"/>
        <w:ind w:right="14" w:firstLine="0"/>
        <w:jc w:val="both"/>
        <w:rPr>
          <w:lang w:val="en-US"/>
        </w:rPr>
      </w:pPr>
      <w:r>
        <w:rPr>
          <w:bCs/>
          <w:lang w:val="en-US"/>
        </w:rPr>
        <w:t>Two</w:t>
      </w:r>
      <w:r w:rsidRPr="00DD2C1A">
        <w:rPr>
          <w:bCs/>
          <w:lang w:val="en-US"/>
        </w:rPr>
        <w:t xml:space="preserve"> data re</w:t>
      </w:r>
      <w:r>
        <w:rPr>
          <w:bCs/>
          <w:lang w:val="en-US"/>
        </w:rPr>
        <w:t>-</w:t>
      </w:r>
      <w:r w:rsidRPr="00DD2C1A">
        <w:rPr>
          <w:bCs/>
          <w:lang w:val="en-US"/>
        </w:rPr>
        <w:t xml:space="preserve">evaluations </w:t>
      </w:r>
      <w:r>
        <w:rPr>
          <w:bCs/>
          <w:lang w:val="en-US"/>
        </w:rPr>
        <w:t xml:space="preserve">involving N and C isotopes </w:t>
      </w:r>
      <w:r w:rsidRPr="00DD2C1A">
        <w:rPr>
          <w:bCs/>
          <w:lang w:val="en-US"/>
        </w:rPr>
        <w:t xml:space="preserve">from </w:t>
      </w:r>
      <w:r w:rsidRPr="00DD2C1A">
        <w:rPr>
          <w:lang w:val="en-US"/>
        </w:rPr>
        <w:t>Mobius (2013)</w:t>
      </w:r>
      <w:r>
        <w:rPr>
          <w:lang w:val="en-US"/>
        </w:rPr>
        <w:t xml:space="preserve"> and</w:t>
      </w:r>
      <w:r w:rsidRPr="00DD2C1A">
        <w:rPr>
          <w:lang w:val="en-US"/>
        </w:rPr>
        <w:t xml:space="preserve"> </w:t>
      </w:r>
      <w:r>
        <w:rPr>
          <w:lang w:val="en-US"/>
        </w:rPr>
        <w:t>Wang et al. (2015)</w:t>
      </w:r>
      <w:r w:rsidRPr="00DD2C1A">
        <w:rPr>
          <w:bCs/>
          <w:lang w:val="en-US"/>
        </w:rPr>
        <w:t xml:space="preserve"> are presented</w:t>
      </w:r>
      <w:r>
        <w:rPr>
          <w:bCs/>
          <w:lang w:val="en-US"/>
        </w:rPr>
        <w:t>. Mobius et al. (2013)</w:t>
      </w:r>
      <w:r w:rsidRPr="00DD2C1A">
        <w:rPr>
          <w:lang w:val="en-US"/>
        </w:rPr>
        <w:t xml:space="preserve"> deals with N isotope evaluations </w:t>
      </w:r>
      <w:r>
        <w:rPr>
          <w:lang w:val="en-US"/>
        </w:rPr>
        <w:t xml:space="preserve">in </w:t>
      </w:r>
      <w:r w:rsidR="009835B0">
        <w:rPr>
          <w:lang w:val="en-US"/>
        </w:rPr>
        <w:t xml:space="preserve">Aegean Sea </w:t>
      </w:r>
      <w:r>
        <w:rPr>
          <w:lang w:val="en-US"/>
        </w:rPr>
        <w:t>sediments. Wang et al. (2015)</w:t>
      </w:r>
      <w:r w:rsidRPr="00DD2C1A">
        <w:rPr>
          <w:lang w:val="en-US"/>
        </w:rPr>
        <w:t xml:space="preserve"> covers </w:t>
      </w:r>
      <w:r>
        <w:rPr>
          <w:lang w:val="en-US"/>
        </w:rPr>
        <w:t>a soil C</w:t>
      </w:r>
      <w:r w:rsidRPr="00DD2C1A">
        <w:rPr>
          <w:lang w:val="en-US"/>
        </w:rPr>
        <w:t xml:space="preserve"> </w:t>
      </w:r>
      <w:r>
        <w:rPr>
          <w:lang w:val="en-US"/>
        </w:rPr>
        <w:t xml:space="preserve">isotope study on the Tibetan plateau. </w:t>
      </w:r>
      <w:r w:rsidR="009835B0">
        <w:rPr>
          <w:lang w:val="en-US"/>
        </w:rPr>
        <w:t>R</w:t>
      </w:r>
      <w:r w:rsidRPr="00DD2C1A">
        <w:rPr>
          <w:lang w:val="en-US"/>
        </w:rPr>
        <w:t>eanalyz</w:t>
      </w:r>
      <w:r>
        <w:rPr>
          <w:lang w:val="en-US"/>
        </w:rPr>
        <w:t>e</w:t>
      </w:r>
      <w:r w:rsidRPr="00DD2C1A">
        <w:rPr>
          <w:lang w:val="en-US"/>
        </w:rPr>
        <w:t xml:space="preserve">s are as explained in the </w:t>
      </w:r>
      <w:r w:rsidR="007A3ED4">
        <w:rPr>
          <w:lang w:val="en-US"/>
        </w:rPr>
        <w:t>N</w:t>
      </w:r>
      <w:r w:rsidRPr="00DD2C1A">
        <w:rPr>
          <w:lang w:val="en-US"/>
        </w:rPr>
        <w:t xml:space="preserve"> isotope examples (</w:t>
      </w:r>
      <w:r w:rsidR="00BF0C07">
        <w:rPr>
          <w:lang w:val="en-US"/>
        </w:rPr>
        <w:t>M</w:t>
      </w:r>
      <w:r w:rsidR="005A41E3">
        <w:rPr>
          <w:lang w:val="en-US"/>
        </w:rPr>
        <w:t>oots</w:t>
      </w:r>
      <w:r w:rsidR="00BF0C07">
        <w:rPr>
          <w:lang w:val="en-US"/>
        </w:rPr>
        <w:t xml:space="preserve"> et al. </w:t>
      </w:r>
      <w:r w:rsidR="006909DE">
        <w:rPr>
          <w:lang w:val="en-US"/>
        </w:rPr>
        <w:t>202</w:t>
      </w:r>
      <w:r w:rsidR="005A41E3">
        <w:rPr>
          <w:lang w:val="en-US"/>
        </w:rPr>
        <w:t>4</w:t>
      </w:r>
      <w:r w:rsidR="005F25C6">
        <w:rPr>
          <w:lang w:val="en-US"/>
        </w:rPr>
        <w:t>b</w:t>
      </w:r>
      <w:r w:rsidR="00703FF9">
        <w:rPr>
          <w:lang w:val="en-US"/>
        </w:rPr>
        <w:t xml:space="preserve"> </w:t>
      </w:r>
      <w:r w:rsidR="00985235">
        <w:rPr>
          <w:lang w:val="en-US"/>
        </w:rPr>
        <w:t xml:space="preserve">Supplemental Material </w:t>
      </w:r>
      <w:r w:rsidR="007A3ED4">
        <w:rPr>
          <w:lang w:val="en-US"/>
        </w:rPr>
        <w:t>2</w:t>
      </w:r>
      <w:r w:rsidRPr="00DD2C1A">
        <w:rPr>
          <w:lang w:val="en-US"/>
        </w:rPr>
        <w:t xml:space="preserve">). </w:t>
      </w:r>
      <w:r w:rsidR="007A3ED4">
        <w:rPr>
          <w:lang w:val="en-US"/>
        </w:rPr>
        <w:t xml:space="preserve">Unlike Sr </w:t>
      </w:r>
      <w:r w:rsidR="00F81116">
        <w:rPr>
          <w:lang w:val="en-US"/>
        </w:rPr>
        <w:t>isotope</w:t>
      </w:r>
      <w:r w:rsidR="007A3ED4">
        <w:rPr>
          <w:lang w:val="en-US"/>
        </w:rPr>
        <w:t xml:space="preserve"> evaluations (Moots et al. 204b Supplemental Material 1) </w:t>
      </w:r>
      <w:r w:rsidRPr="00DD2C1A">
        <w:rPr>
          <w:lang w:val="en-US"/>
        </w:rPr>
        <w:t xml:space="preserve">no assumptions </w:t>
      </w:r>
      <w:r>
        <w:rPr>
          <w:lang w:val="en-US"/>
        </w:rPr>
        <w:t xml:space="preserve">(required when an element has more than two isotopic species) </w:t>
      </w:r>
      <w:r w:rsidRPr="00DD2C1A">
        <w:rPr>
          <w:lang w:val="en-US"/>
        </w:rPr>
        <w:t xml:space="preserve">were </w:t>
      </w:r>
      <w:r>
        <w:rPr>
          <w:lang w:val="en-US"/>
        </w:rPr>
        <w:t xml:space="preserve">used </w:t>
      </w:r>
      <w:r w:rsidRPr="00DD2C1A">
        <w:rPr>
          <w:lang w:val="en-US"/>
        </w:rPr>
        <w:t xml:space="preserve">when calculating denominator or numerator ratio values. </w:t>
      </w:r>
      <w:r>
        <w:rPr>
          <w:lang w:val="en-US"/>
        </w:rPr>
        <w:t>Nitrogen and C only have</w:t>
      </w:r>
      <w:r w:rsidRPr="00DD2C1A">
        <w:rPr>
          <w:lang w:val="en-US"/>
        </w:rPr>
        <w:t xml:space="preserve"> two major mass isotopes. </w:t>
      </w:r>
    </w:p>
    <w:p w14:paraId="40D88753" w14:textId="6207249A" w:rsidR="00255BC1" w:rsidRPr="00BB17F9" w:rsidRDefault="00A84C57" w:rsidP="0006282A">
      <w:pPr>
        <w:pStyle w:val="Heading1"/>
        <w:tabs>
          <w:tab w:val="center" w:pos="1627"/>
        </w:tabs>
        <w:spacing w:line="264" w:lineRule="auto"/>
        <w:ind w:left="-14" w:firstLine="0"/>
        <w:jc w:val="both"/>
        <w:rPr>
          <w:rFonts w:ascii="Times New Roman" w:hAnsi="Times New Roman" w:cs="Times New Roman"/>
          <w:sz w:val="24"/>
          <w:szCs w:val="24"/>
        </w:rPr>
      </w:pPr>
      <w:r w:rsidRPr="00BB17F9">
        <w:rPr>
          <w:rFonts w:ascii="Times New Roman" w:hAnsi="Times New Roman" w:cs="Times New Roman"/>
          <w:sz w:val="24"/>
          <w:szCs w:val="24"/>
        </w:rPr>
        <w:t>4</w:t>
      </w:r>
      <w:r w:rsidR="00255BC1" w:rsidRPr="00BB17F9">
        <w:rPr>
          <w:rFonts w:ascii="Times New Roman" w:hAnsi="Times New Roman" w:cs="Times New Roman"/>
          <w:sz w:val="24"/>
          <w:szCs w:val="24"/>
        </w:rPr>
        <w:t xml:space="preserve">      Data </w:t>
      </w:r>
      <w:r w:rsidRPr="00BB17F9">
        <w:rPr>
          <w:rFonts w:ascii="Times New Roman" w:hAnsi="Times New Roman" w:cs="Times New Roman"/>
          <w:sz w:val="24"/>
          <w:szCs w:val="24"/>
        </w:rPr>
        <w:t>Re-e</w:t>
      </w:r>
      <w:r w:rsidR="00255BC1" w:rsidRPr="00BB17F9">
        <w:rPr>
          <w:rFonts w:ascii="Times New Roman" w:hAnsi="Times New Roman" w:cs="Times New Roman"/>
          <w:sz w:val="24"/>
          <w:szCs w:val="24"/>
        </w:rPr>
        <w:t>valuations</w:t>
      </w:r>
    </w:p>
    <w:p w14:paraId="70C0C0B8" w14:textId="2DD2DF8A" w:rsidR="007A4D06" w:rsidRPr="007A4D06" w:rsidRDefault="007A4D06" w:rsidP="0006282A">
      <w:pPr>
        <w:pStyle w:val="Heading1"/>
        <w:spacing w:after="3" w:line="473" w:lineRule="auto"/>
        <w:ind w:left="0" w:right="14"/>
        <w:jc w:val="both"/>
        <w:rPr>
          <w:rFonts w:ascii="Times New Roman" w:hAnsi="Times New Roman" w:cs="Times New Roman"/>
          <w:sz w:val="24"/>
          <w:szCs w:val="24"/>
        </w:rPr>
      </w:pPr>
      <w:r w:rsidRPr="007A4D06">
        <w:rPr>
          <w:rFonts w:ascii="Times New Roman" w:hAnsi="Times New Roman" w:cs="Times New Roman"/>
          <w:sz w:val="24"/>
          <w:szCs w:val="24"/>
        </w:rPr>
        <w:t xml:space="preserve">4.1 Study 1) Different N levels Confound Isotopic Fractionation Studies in Ocean Sediments </w:t>
      </w:r>
    </w:p>
    <w:p w14:paraId="2DAE35E7" w14:textId="508DEA4C" w:rsidR="007A4D06" w:rsidRPr="00495CBB" w:rsidRDefault="007A4D06" w:rsidP="0006282A">
      <w:pPr>
        <w:pStyle w:val="Paragraph"/>
        <w:spacing w:before="0" w:after="3" w:line="473" w:lineRule="auto"/>
        <w:ind w:right="14"/>
        <w:jc w:val="both"/>
        <w:rPr>
          <w:color w:val="000000" w:themeColor="text1"/>
          <w:lang w:val="en-US"/>
        </w:rPr>
      </w:pPr>
      <w:r w:rsidRPr="00495CBB">
        <w:rPr>
          <w:lang w:val="en-US"/>
        </w:rPr>
        <w:t xml:space="preserve">Mobius (2013) evaluated sediment decomposition in the North Aegean Sea. Until this effort, a fractionation factor for sediment loss had not been determined </w:t>
      </w:r>
      <w:r w:rsidR="00621AE5">
        <w:rPr>
          <w:lang w:val="en-US"/>
        </w:rPr>
        <w:t xml:space="preserve">for the Aegean Sea sediments </w:t>
      </w:r>
      <w:r w:rsidRPr="00495CBB">
        <w:rPr>
          <w:lang w:val="en-US"/>
        </w:rPr>
        <w:t xml:space="preserve">even </w:t>
      </w:r>
      <w:r w:rsidRPr="00495CBB">
        <w:rPr>
          <w:lang w:val="en-US"/>
        </w:rPr>
        <w:lastRenderedPageBreak/>
        <w:t xml:space="preserve">though the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isotopic ratio of marine particulate organic matter was known to increase with declining organic matter, probably as a consequence of preferential </w:t>
      </w:r>
      <w:r w:rsidRPr="00495CBB">
        <w:rPr>
          <w:vertAlign w:val="superscript"/>
          <w:lang w:val="en-US"/>
        </w:rPr>
        <w:t>14</w:t>
      </w:r>
      <w:r w:rsidRPr="00495CBB">
        <w:rPr>
          <w:lang w:val="en-US"/>
        </w:rPr>
        <w:t xml:space="preserve">N losses during decay </w:t>
      </w:r>
      <w:r w:rsidRPr="00495CBB">
        <w:rPr>
          <w:color w:val="000000" w:themeColor="text1"/>
          <w:lang w:val="en-US"/>
        </w:rPr>
        <w:t xml:space="preserve">(Mobius, 2013). A re-evaluation of Mobius’ (2013) fractionation studies demonstrates how traditional calculations of fractionation factors are more complex than they appear. </w:t>
      </w:r>
    </w:p>
    <w:p w14:paraId="07FE7593" w14:textId="16A81C7B" w:rsidR="007A4D06" w:rsidRPr="0006282A" w:rsidRDefault="007A4D06" w:rsidP="0006282A">
      <w:pPr>
        <w:pStyle w:val="Paragraph"/>
        <w:spacing w:before="0" w:after="3" w:line="473" w:lineRule="auto"/>
        <w:ind w:right="14"/>
        <w:jc w:val="both"/>
        <w:rPr>
          <w:lang w:val="en-US"/>
        </w:rPr>
      </w:pPr>
      <w:r w:rsidRPr="00495CBB">
        <w:rPr>
          <w:color w:val="000000" w:themeColor="text1"/>
          <w:lang w:val="en-US"/>
        </w:rPr>
        <w:tab/>
        <w:t xml:space="preserve">Data from two different core samples (SL 152 and NS 14) </w:t>
      </w:r>
      <w:r w:rsidR="009C2015">
        <w:rPr>
          <w:color w:val="000000" w:themeColor="text1"/>
          <w:lang w:val="en-US"/>
        </w:rPr>
        <w:t xml:space="preserve">that </w:t>
      </w:r>
      <w:r w:rsidRPr="00495CBB">
        <w:rPr>
          <w:color w:val="000000" w:themeColor="text1"/>
          <w:lang w:val="en-US"/>
        </w:rPr>
        <w:t>were collected</w:t>
      </w:r>
      <w:r w:rsidR="009C2015">
        <w:rPr>
          <w:color w:val="000000" w:themeColor="text1"/>
          <w:lang w:val="en-US"/>
        </w:rPr>
        <w:t xml:space="preserve"> are evaluated here</w:t>
      </w:r>
      <w:r w:rsidRPr="00495CBB">
        <w:rPr>
          <w:color w:val="000000" w:themeColor="text1"/>
          <w:lang w:val="en-US"/>
        </w:rPr>
        <w:t>. In this study there is a decreasing relationship between organic carbon and δ</w:t>
      </w:r>
      <w:r w:rsidRPr="00495CBB">
        <w:rPr>
          <w:color w:val="000000" w:themeColor="text1"/>
          <w:vertAlign w:val="superscript"/>
          <w:lang w:val="en-US"/>
        </w:rPr>
        <w:t>15</w:t>
      </w:r>
      <w:r w:rsidRPr="00495CBB">
        <w:rPr>
          <w:color w:val="000000" w:themeColor="text1"/>
          <w:lang w:val="en-US"/>
        </w:rPr>
        <w:t xml:space="preserve">N values (Figure </w:t>
      </w:r>
      <w:r w:rsidR="007B17CC">
        <w:rPr>
          <w:color w:val="000000" w:themeColor="text1"/>
          <w:lang w:val="en-US"/>
        </w:rPr>
        <w:t>S1</w:t>
      </w:r>
      <w:r w:rsidRPr="00495CBB">
        <w:rPr>
          <w:color w:val="000000" w:themeColor="text1"/>
          <w:lang w:val="en-US"/>
        </w:rPr>
        <w:t xml:space="preserve">a for SL 152). The author suggests that the </w:t>
      </w:r>
      <w:r w:rsidRPr="00495CBB">
        <w:rPr>
          <w:color w:val="000000" w:themeColor="text1"/>
          <w:vertAlign w:val="superscript"/>
          <w:lang w:val="en-US"/>
        </w:rPr>
        <w:t>15</w:t>
      </w:r>
      <w:r w:rsidRPr="00495CBB">
        <w:rPr>
          <w:color w:val="000000" w:themeColor="text1"/>
          <w:lang w:val="en-US"/>
        </w:rPr>
        <w:t>N:</w:t>
      </w:r>
      <w:r w:rsidRPr="00495CBB">
        <w:rPr>
          <w:color w:val="000000" w:themeColor="text1"/>
          <w:vertAlign w:val="superscript"/>
          <w:lang w:val="en-US"/>
        </w:rPr>
        <w:t>14</w:t>
      </w:r>
      <w:r w:rsidRPr="00495CBB">
        <w:rPr>
          <w:color w:val="000000" w:themeColor="text1"/>
          <w:lang w:val="en-US"/>
        </w:rPr>
        <w:t>N ratio of marine particulate organic matter increases with a decline in organic matter because of preferential removal of the light (</w:t>
      </w:r>
      <w:r w:rsidRPr="00495CBB">
        <w:rPr>
          <w:color w:val="000000" w:themeColor="text1"/>
          <w:vertAlign w:val="superscript"/>
          <w:lang w:val="en-US"/>
        </w:rPr>
        <w:t>14</w:t>
      </w:r>
      <w:r w:rsidRPr="00495CBB">
        <w:rPr>
          <w:color w:val="000000" w:themeColor="text1"/>
          <w:lang w:val="en-US"/>
        </w:rPr>
        <w:t>N) isotope as NH</w:t>
      </w:r>
      <w:r w:rsidRPr="00495CBB">
        <w:rPr>
          <w:color w:val="000000" w:themeColor="text1"/>
          <w:vertAlign w:val="subscript"/>
          <w:lang w:val="en-US"/>
        </w:rPr>
        <w:t>4</w:t>
      </w:r>
      <w:r w:rsidRPr="00495CBB">
        <w:rPr>
          <w:color w:val="000000" w:themeColor="text1"/>
          <w:vertAlign w:val="superscript"/>
          <w:lang w:val="en-US"/>
        </w:rPr>
        <w:t>+</w:t>
      </w:r>
      <w:r w:rsidRPr="00495CBB">
        <w:rPr>
          <w:color w:val="000000" w:themeColor="text1"/>
          <w:lang w:val="en-US"/>
        </w:rPr>
        <w:t xml:space="preserve"> is released from organic matter during decay. </w:t>
      </w:r>
      <w:r w:rsidR="00621AE5">
        <w:rPr>
          <w:color w:val="000000" w:themeColor="text1"/>
          <w:lang w:val="en-US"/>
        </w:rPr>
        <w:t xml:space="preserve">As </w:t>
      </w:r>
      <w:r w:rsidR="00086803">
        <w:rPr>
          <w:color w:val="000000" w:themeColor="text1"/>
          <w:lang w:val="en-US"/>
        </w:rPr>
        <w:t>s</w:t>
      </w:r>
      <w:r w:rsidR="00621AE5">
        <w:rPr>
          <w:color w:val="000000" w:themeColor="text1"/>
          <w:lang w:val="en-US"/>
        </w:rPr>
        <w:t xml:space="preserve">tated above, </w:t>
      </w:r>
      <w:r w:rsidR="00621AE5">
        <w:rPr>
          <w:lang w:val="en-US"/>
        </w:rPr>
        <w:t>t</w:t>
      </w:r>
      <w:r w:rsidRPr="00495CBB">
        <w:rPr>
          <w:lang w:val="en-US"/>
        </w:rPr>
        <w:t>he slope of a ln total N vs. δ</w:t>
      </w:r>
      <w:r w:rsidRPr="00495CBB">
        <w:rPr>
          <w:vertAlign w:val="superscript"/>
          <w:lang w:val="en-US"/>
        </w:rPr>
        <w:t>15</w:t>
      </w:r>
      <w:r w:rsidRPr="00495CBB">
        <w:rPr>
          <w:lang w:val="en-US"/>
        </w:rPr>
        <w:t xml:space="preserve">N value (Figure </w:t>
      </w:r>
      <w:r w:rsidR="007B17CC">
        <w:rPr>
          <w:lang w:val="en-US"/>
        </w:rPr>
        <w:t>S1</w:t>
      </w:r>
      <w:r w:rsidRPr="00495CBB">
        <w:rPr>
          <w:lang w:val="en-US"/>
        </w:rPr>
        <w:t xml:space="preserve">b for SL 152) can be used to define fractionation relationships and is often referred to as the Rayleigh fractionation factor (Mobius 2013). A fractionation factor (slope in delta units) approximates the delta difference between substrate and product (Mobius 2013). In Figure </w:t>
      </w:r>
      <w:r w:rsidR="007B17CC">
        <w:rPr>
          <w:lang w:val="en-US"/>
        </w:rPr>
        <w:t>S1</w:t>
      </w:r>
      <w:r w:rsidRPr="00495CBB">
        <w:rPr>
          <w:lang w:val="en-US"/>
        </w:rPr>
        <w:t>c the relationship between depth</w:t>
      </w:r>
      <w:r w:rsidRPr="00495CBB">
        <w:rPr>
          <w:lang w:val="en-US" w:eastAsia="ja-JP"/>
        </w:rPr>
        <w:t xml:space="preserve"> and </w:t>
      </w:r>
      <w:r w:rsidRPr="00495CBB">
        <w:rPr>
          <w:lang w:val="en-US"/>
        </w:rPr>
        <w:t>total N</w:t>
      </w:r>
      <w:r w:rsidRPr="00495CBB">
        <w:rPr>
          <w:lang w:val="en-US" w:eastAsia="ja-JP"/>
        </w:rPr>
        <w:t xml:space="preserve"> </w:t>
      </w:r>
      <w:r w:rsidRPr="00495CBB">
        <w:rPr>
          <w:lang w:val="en-US"/>
        </w:rPr>
        <w:t>in the SL 152 North Aegean Sea sample is presented. Data shown is for the same points in Figure</w:t>
      </w:r>
      <w:r w:rsidR="0085128A">
        <w:rPr>
          <w:lang w:val="en-US"/>
        </w:rPr>
        <w:t>s</w:t>
      </w:r>
      <w:r w:rsidRPr="00495CBB">
        <w:rPr>
          <w:lang w:val="en-US"/>
        </w:rPr>
        <w:t xml:space="preserve"> </w:t>
      </w:r>
      <w:r w:rsidR="007B17CC">
        <w:rPr>
          <w:lang w:val="en-US"/>
        </w:rPr>
        <w:t>S1</w:t>
      </w:r>
      <w:r w:rsidRPr="00495CBB">
        <w:rPr>
          <w:lang w:val="en-US"/>
        </w:rPr>
        <w:t xml:space="preserve">a and b. </w:t>
      </w:r>
    </w:p>
    <w:p w14:paraId="78279882" w14:textId="4E28D3C7" w:rsidR="001F00A6" w:rsidRDefault="0006282A" w:rsidP="0006282A">
      <w:pPr>
        <w:pStyle w:val="Newparagraph"/>
        <w:spacing w:after="3" w:line="473" w:lineRule="auto"/>
        <w:ind w:right="14" w:firstLine="0"/>
        <w:jc w:val="both"/>
        <w:rPr>
          <w:lang w:val="en-US"/>
        </w:rPr>
      </w:pPr>
      <w:r>
        <w:tab/>
      </w:r>
      <w:r w:rsidR="00810231">
        <w:t>A</w:t>
      </w:r>
      <w:r w:rsidR="009835B0" w:rsidRPr="00495CBB">
        <w:rPr>
          <w:lang w:val="en-US"/>
        </w:rPr>
        <w:t xml:space="preserve"> mixing line identifies the </w:t>
      </w:r>
      <w:r w:rsidR="009835B0" w:rsidRPr="00495CBB">
        <w:rPr>
          <w:vertAlign w:val="superscript"/>
          <w:lang w:val="en-US"/>
        </w:rPr>
        <w:t>15</w:t>
      </w:r>
      <w:r w:rsidR="009835B0" w:rsidRPr="00495CBB">
        <w:rPr>
          <w:lang w:val="en-US"/>
        </w:rPr>
        <w:t>N:</w:t>
      </w:r>
      <w:r w:rsidR="009835B0" w:rsidRPr="00495CBB">
        <w:rPr>
          <w:vertAlign w:val="superscript"/>
          <w:lang w:val="en-US"/>
        </w:rPr>
        <w:t>14</w:t>
      </w:r>
      <w:r w:rsidR="009835B0" w:rsidRPr="00495CBB">
        <w:rPr>
          <w:lang w:val="en-US"/>
        </w:rPr>
        <w:t>N ratio of suspected endogenous NH</w:t>
      </w:r>
      <w:r w:rsidR="009835B0" w:rsidRPr="00495CBB">
        <w:rPr>
          <w:vertAlign w:val="subscript"/>
          <w:lang w:val="en-US"/>
        </w:rPr>
        <w:t>4</w:t>
      </w:r>
      <w:r w:rsidR="009835B0" w:rsidRPr="00495CBB">
        <w:rPr>
          <w:vertAlign w:val="superscript"/>
          <w:lang w:val="en-US"/>
        </w:rPr>
        <w:t>+</w:t>
      </w:r>
      <w:r w:rsidR="009835B0" w:rsidRPr="00495CBB">
        <w:rPr>
          <w:lang w:val="en-US"/>
        </w:rPr>
        <w:t xml:space="preserve"> losses for core SL 152 (Figure </w:t>
      </w:r>
      <w:r w:rsidR="007B17CC">
        <w:rPr>
          <w:lang w:val="en-US"/>
        </w:rPr>
        <w:t>S1</w:t>
      </w:r>
      <w:r w:rsidR="009835B0" w:rsidRPr="00495CBB">
        <w:rPr>
          <w:lang w:val="en-US"/>
        </w:rPr>
        <w:t xml:space="preserve">d). The linear SL 152 mixing line has a </w:t>
      </w:r>
      <w:r w:rsidR="009835B0" w:rsidRPr="00495CBB">
        <w:rPr>
          <w:i/>
          <w:iCs/>
          <w:lang w:val="en-US"/>
        </w:rPr>
        <w:t>y</w:t>
      </w:r>
      <w:r w:rsidR="009835B0" w:rsidRPr="00495CBB">
        <w:rPr>
          <w:lang w:val="en-US"/>
        </w:rPr>
        <w:t xml:space="preserve">-intercept (source) of 0.003731. Since there are only two isotopes for nitrogen and </w:t>
      </w:r>
      <w:r w:rsidR="009835B0" w:rsidRPr="00495CBB">
        <w:rPr>
          <w:vertAlign w:val="superscript"/>
          <w:lang w:val="en-US"/>
        </w:rPr>
        <w:t>15</w:t>
      </w:r>
      <w:r w:rsidR="009835B0" w:rsidRPr="00495CBB">
        <w:rPr>
          <w:lang w:val="en-US"/>
        </w:rPr>
        <w:t>N is very rare (unlike the situation for Sr), 1/total N and 1/common isotope mixing diagrams are similar. An evaluation of the linear (</w:t>
      </w:r>
      <w:r w:rsidR="009835B0" w:rsidRPr="00495CBB">
        <w:rPr>
          <w:vertAlign w:val="superscript"/>
          <w:lang w:val="en-US"/>
        </w:rPr>
        <w:t>15</w:t>
      </w:r>
      <w:r w:rsidR="009835B0" w:rsidRPr="00495CBB">
        <w:rPr>
          <w:lang w:val="en-US"/>
        </w:rPr>
        <w:t xml:space="preserve">N = 0.00373048 * </w:t>
      </w:r>
      <w:r w:rsidR="009835B0" w:rsidRPr="00495CBB">
        <w:rPr>
          <w:vertAlign w:val="superscript"/>
          <w:lang w:val="en-US"/>
        </w:rPr>
        <w:t>14</w:t>
      </w:r>
      <w:r w:rsidR="009835B0" w:rsidRPr="00495CBB">
        <w:rPr>
          <w:lang w:val="en-US"/>
        </w:rPr>
        <w:t xml:space="preserve">N + 0.00000073) relationship between </w:t>
      </w:r>
      <w:r w:rsidR="009835B0" w:rsidRPr="00495CBB">
        <w:rPr>
          <w:vertAlign w:val="superscript"/>
          <w:lang w:val="en-US"/>
        </w:rPr>
        <w:t>14</w:t>
      </w:r>
      <w:r w:rsidR="009835B0" w:rsidRPr="00495CBB">
        <w:rPr>
          <w:lang w:val="en-US"/>
        </w:rPr>
        <w:t xml:space="preserve">N and </w:t>
      </w:r>
      <w:r w:rsidR="009835B0" w:rsidRPr="00495CBB">
        <w:rPr>
          <w:vertAlign w:val="superscript"/>
          <w:lang w:val="en-US"/>
        </w:rPr>
        <w:t>15</w:t>
      </w:r>
      <w:r w:rsidR="009835B0" w:rsidRPr="00495CBB">
        <w:rPr>
          <w:lang w:val="en-US"/>
        </w:rPr>
        <w:t>N where the x</w:t>
      </w:r>
      <w:r w:rsidR="009835B0" w:rsidRPr="00495CBB">
        <w:rPr>
          <w:vertAlign w:val="superscript"/>
          <w:lang w:val="en-US"/>
        </w:rPr>
        <w:t>2</w:t>
      </w:r>
      <w:r w:rsidR="009835B0" w:rsidRPr="00495CBB">
        <w:rPr>
          <w:lang w:val="en-US"/>
        </w:rPr>
        <w:t xml:space="preserve"> term for a</w:t>
      </w:r>
      <w:r w:rsidR="00810231">
        <w:t xml:space="preserve"> </w:t>
      </w:r>
      <w:r w:rsidR="00810231" w:rsidRPr="00495CBB">
        <w:rPr>
          <w:lang w:val="en-US"/>
        </w:rPr>
        <w:t xml:space="preserve">polynomial fit is not significant also suggests that the slope-based </w:t>
      </w:r>
      <w:r w:rsidR="00810231" w:rsidRPr="00495CBB">
        <w:rPr>
          <w:vertAlign w:val="superscript"/>
          <w:lang w:val="en-US"/>
        </w:rPr>
        <w:t>15</w:t>
      </w:r>
      <w:r w:rsidR="00810231" w:rsidRPr="00495CBB">
        <w:rPr>
          <w:lang w:val="en-US"/>
        </w:rPr>
        <w:t>N:</w:t>
      </w:r>
      <w:r w:rsidR="00810231" w:rsidRPr="00495CBB">
        <w:rPr>
          <w:vertAlign w:val="superscript"/>
          <w:lang w:val="en-US"/>
        </w:rPr>
        <w:t>14</w:t>
      </w:r>
      <w:r w:rsidR="00810231" w:rsidRPr="00495CBB">
        <w:rPr>
          <w:lang w:val="en-US"/>
        </w:rPr>
        <w:t>N ratio of</w:t>
      </w:r>
      <w:r w:rsidR="00810231" w:rsidRPr="00810231">
        <w:rPr>
          <w:lang w:val="en-US"/>
        </w:rPr>
        <w:t xml:space="preserve"> </w:t>
      </w:r>
      <w:r w:rsidR="00810231" w:rsidRPr="00495CBB">
        <w:rPr>
          <w:lang w:val="en-US"/>
        </w:rPr>
        <w:t>released NH</w:t>
      </w:r>
      <w:r w:rsidR="00810231" w:rsidRPr="00495CBB">
        <w:rPr>
          <w:vertAlign w:val="subscript"/>
          <w:lang w:val="en-US"/>
        </w:rPr>
        <w:t>4</w:t>
      </w:r>
      <w:r w:rsidR="00810231" w:rsidRPr="00495CBB">
        <w:rPr>
          <w:vertAlign w:val="superscript"/>
          <w:lang w:val="en-US"/>
        </w:rPr>
        <w:t>+</w:t>
      </w:r>
      <w:r w:rsidR="00810231" w:rsidRPr="00495CBB">
        <w:rPr>
          <w:lang w:val="en-US"/>
        </w:rPr>
        <w:t xml:space="preserve"> is similar to </w:t>
      </w:r>
      <w:r w:rsidR="00FB5A45">
        <w:rPr>
          <w:lang w:val="en-US"/>
        </w:rPr>
        <w:t xml:space="preserve">modified </w:t>
      </w:r>
      <w:r w:rsidR="00FB5A45" w:rsidRPr="00FB5A45">
        <w:rPr>
          <w:i/>
          <w:iCs/>
          <w:lang w:val="en-US"/>
        </w:rPr>
        <w:t>y</w:t>
      </w:r>
      <w:r w:rsidR="00FB5A45">
        <w:rPr>
          <w:lang w:val="en-US"/>
        </w:rPr>
        <w:t xml:space="preserve">-intercept and mixing line </w:t>
      </w:r>
      <w:r w:rsidR="00810231" w:rsidRPr="00495CBB">
        <w:rPr>
          <w:lang w:val="en-US"/>
        </w:rPr>
        <w:t xml:space="preserve">source estimations. Although variable, </w:t>
      </w:r>
      <w:r w:rsidR="00B811B5">
        <w:rPr>
          <w:lang w:val="en-US"/>
        </w:rPr>
        <w:t xml:space="preserve">the </w:t>
      </w:r>
      <w:r w:rsidR="00810231" w:rsidRPr="00495CBB">
        <w:rPr>
          <w:lang w:val="en-US"/>
        </w:rPr>
        <w:t xml:space="preserve">average spline smoothed cubic </w:t>
      </w:r>
      <w:r w:rsidR="001F00A6" w:rsidRPr="00495CBB">
        <w:rPr>
          <w:lang w:val="en-US"/>
        </w:rPr>
        <w:t xml:space="preserve">derivatives (0.003727) approximate the same constant source. Therefore, the source does not change with depth for core SL 152 (Figure </w:t>
      </w:r>
      <w:r w:rsidR="007B17CC">
        <w:rPr>
          <w:lang w:val="en-US"/>
        </w:rPr>
        <w:t>S1</w:t>
      </w:r>
      <w:r w:rsidR="001F00A6" w:rsidRPr="00495CBB">
        <w:rPr>
          <w:lang w:val="en-US"/>
        </w:rPr>
        <w:t xml:space="preserve">e). </w:t>
      </w:r>
    </w:p>
    <w:p w14:paraId="29021D9B" w14:textId="308D1E90" w:rsidR="009835B0" w:rsidRPr="00495CBB" w:rsidRDefault="001F00A6" w:rsidP="0006282A">
      <w:pPr>
        <w:pStyle w:val="Newparagraph"/>
        <w:spacing w:after="3" w:line="473" w:lineRule="auto"/>
        <w:ind w:right="14" w:firstLine="0"/>
        <w:jc w:val="both"/>
        <w:rPr>
          <w:lang w:val="en-US"/>
        </w:rPr>
      </w:pPr>
      <w:r>
        <w:rPr>
          <w:lang w:val="en-US"/>
        </w:rPr>
        <w:lastRenderedPageBreak/>
        <w:tab/>
      </w:r>
      <w:r w:rsidRPr="00495CBB">
        <w:rPr>
          <w:lang w:val="en-US"/>
        </w:rPr>
        <w:t xml:space="preserve">The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regression slope or </w:t>
      </w:r>
      <w:r w:rsidRPr="00495CBB">
        <w:rPr>
          <w:i/>
          <w:iCs/>
          <w:lang w:val="en-US"/>
        </w:rPr>
        <w:t>y</w:t>
      </w:r>
      <w:r w:rsidRPr="00495CBB">
        <w:rPr>
          <w:lang w:val="en-US"/>
        </w:rPr>
        <w:t xml:space="preserve">-intercept </w:t>
      </w:r>
      <w:r w:rsidR="006128D2" w:rsidRPr="00495CBB">
        <w:rPr>
          <w:vertAlign w:val="superscript"/>
          <w:lang w:val="en-US"/>
        </w:rPr>
        <w:t>15</w:t>
      </w:r>
      <w:r w:rsidR="006128D2" w:rsidRPr="00495CBB">
        <w:rPr>
          <w:lang w:val="en-US"/>
        </w:rPr>
        <w:t>N:</w:t>
      </w:r>
      <w:r w:rsidR="006128D2" w:rsidRPr="00495CBB">
        <w:rPr>
          <w:vertAlign w:val="superscript"/>
          <w:lang w:val="en-US"/>
        </w:rPr>
        <w:t>14</w:t>
      </w:r>
      <w:r w:rsidR="006128D2" w:rsidRPr="00495CBB">
        <w:rPr>
          <w:lang w:val="en-US"/>
        </w:rPr>
        <w:t xml:space="preserve">N </w:t>
      </w:r>
      <w:r w:rsidRPr="00495CBB">
        <w:rPr>
          <w:lang w:val="en-US"/>
        </w:rPr>
        <w:t>corrected ratio</w:t>
      </w:r>
      <w:r w:rsidR="003D07A6">
        <w:rPr>
          <w:lang w:val="en-US"/>
        </w:rPr>
        <w:t>s</w:t>
      </w:r>
      <w:r w:rsidRPr="00495CBB">
        <w:rPr>
          <w:lang w:val="en-US"/>
        </w:rPr>
        <w:t xml:space="preserve"> </w:t>
      </w:r>
      <w:r w:rsidR="006128D2">
        <w:rPr>
          <w:lang w:val="en-US"/>
        </w:rPr>
        <w:t>plotted against</w:t>
      </w:r>
      <w:r w:rsidRPr="00495CBB">
        <w:rPr>
          <w:lang w:val="en-US"/>
        </w:rPr>
        <w:t xml:space="preserve"> depth (Figure </w:t>
      </w:r>
      <w:r w:rsidR="007B17CC">
        <w:rPr>
          <w:lang w:val="en-US"/>
        </w:rPr>
        <w:t>S1</w:t>
      </w:r>
      <w:r w:rsidRPr="00495CBB">
        <w:rPr>
          <w:lang w:val="en-US"/>
        </w:rPr>
        <w:t xml:space="preserve">e) reveal a constant source even though the </w:t>
      </w:r>
      <w:r w:rsidRPr="00495CBB">
        <w:rPr>
          <w:vertAlign w:val="superscript"/>
          <w:lang w:val="en-US"/>
        </w:rPr>
        <w:t>15</w:t>
      </w:r>
      <w:r w:rsidRPr="00495CBB">
        <w:rPr>
          <w:lang w:val="en-US"/>
        </w:rPr>
        <w:t>N:</w:t>
      </w:r>
      <w:r w:rsidRPr="00495CBB">
        <w:rPr>
          <w:vertAlign w:val="superscript"/>
          <w:lang w:val="en-US"/>
        </w:rPr>
        <w:t>14</w:t>
      </w:r>
      <w:r w:rsidRPr="00495CBB">
        <w:rPr>
          <w:lang w:val="en-US"/>
        </w:rPr>
        <w:t>N ratio of the substrate changes. Endogenous losses are always depleted when compared to substrate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in Figure </w:t>
      </w:r>
      <w:r w:rsidR="007B17CC">
        <w:rPr>
          <w:lang w:val="en-US"/>
        </w:rPr>
        <w:t>S1</w:t>
      </w:r>
      <w:r w:rsidRPr="00495CBB">
        <w:rPr>
          <w:lang w:val="en-US"/>
        </w:rPr>
        <w:t>e). Mobius (2013) is correct in that remineralization of NH</w:t>
      </w:r>
      <w:r w:rsidRPr="00495CBB">
        <w:rPr>
          <w:vertAlign w:val="subscript"/>
          <w:lang w:val="en-US"/>
        </w:rPr>
        <w:t>4</w:t>
      </w:r>
      <w:r w:rsidRPr="00495CBB">
        <w:rPr>
          <w:vertAlign w:val="superscript"/>
          <w:lang w:val="en-US"/>
        </w:rPr>
        <w:t>+</w:t>
      </w:r>
      <w:r w:rsidRPr="00495CBB">
        <w:rPr>
          <w:lang w:val="en-US"/>
        </w:rPr>
        <w:t xml:space="preserve"> releases depleted </w:t>
      </w:r>
      <w:r w:rsidRPr="00495CBB">
        <w:rPr>
          <w:vertAlign w:val="superscript"/>
          <w:lang w:val="en-US"/>
        </w:rPr>
        <w:t>15</w:t>
      </w:r>
      <w:r w:rsidRPr="00495CBB">
        <w:rPr>
          <w:lang w:val="en-US"/>
        </w:rPr>
        <w:t xml:space="preserve">N. Differences in </w:t>
      </w:r>
      <w:r w:rsidRPr="00495CBB">
        <w:rPr>
          <w:vertAlign w:val="superscript"/>
          <w:lang w:val="en-US"/>
        </w:rPr>
        <w:t>15</w:t>
      </w:r>
      <w:r w:rsidRPr="00495CBB">
        <w:rPr>
          <w:lang w:val="en-US"/>
        </w:rPr>
        <w:t>N:</w:t>
      </w:r>
      <w:r w:rsidRPr="00495CBB">
        <w:rPr>
          <w:vertAlign w:val="superscript"/>
          <w:lang w:val="en-US"/>
        </w:rPr>
        <w:t>14</w:t>
      </w:r>
      <w:r w:rsidRPr="00495CBB">
        <w:rPr>
          <w:lang w:val="en-US"/>
        </w:rPr>
        <w:t>N</w:t>
      </w:r>
      <w:r w:rsidRPr="001F00A6">
        <w:rPr>
          <w:lang w:val="en-US"/>
        </w:rPr>
        <w:t xml:space="preserve"> </w:t>
      </w:r>
      <w:r w:rsidRPr="00495CBB">
        <w:rPr>
          <w:lang w:val="en-US"/>
        </w:rPr>
        <w:t xml:space="preserve">ratio of the SL 152 substrate </w:t>
      </w:r>
      <w:r w:rsidR="006128D2">
        <w:rPr>
          <w:lang w:val="en-US"/>
        </w:rPr>
        <w:t xml:space="preserve">(observed ratios) </w:t>
      </w:r>
      <w:r w:rsidRPr="00495CBB">
        <w:rPr>
          <w:lang w:val="en-US"/>
        </w:rPr>
        <w:t>are driven by differences in total N. The</w:t>
      </w:r>
      <w:r w:rsidRPr="00495CBB">
        <w:rPr>
          <w:vertAlign w:val="superscript"/>
          <w:lang w:val="en-US"/>
        </w:rPr>
        <w:t>15</w:t>
      </w:r>
      <w:r w:rsidRPr="00495CBB">
        <w:rPr>
          <w:lang w:val="en-US"/>
        </w:rPr>
        <w:t>N:</w:t>
      </w:r>
      <w:r w:rsidRPr="00495CBB">
        <w:rPr>
          <w:vertAlign w:val="superscript"/>
          <w:lang w:val="en-US"/>
        </w:rPr>
        <w:t>14</w:t>
      </w:r>
      <w:r w:rsidRPr="00495CBB">
        <w:rPr>
          <w:lang w:val="en-US"/>
        </w:rPr>
        <w:t>N ratio of released</w:t>
      </w:r>
      <w:r w:rsidR="00334458">
        <w:rPr>
          <w:lang w:val="en-US"/>
        </w:rPr>
        <w:t xml:space="preserve"> </w:t>
      </w:r>
      <w:r w:rsidR="00334458" w:rsidRPr="00495CBB">
        <w:rPr>
          <w:lang w:val="en-US"/>
        </w:rPr>
        <w:t>NH</w:t>
      </w:r>
      <w:r w:rsidR="00334458" w:rsidRPr="00495CBB">
        <w:rPr>
          <w:vertAlign w:val="subscript"/>
          <w:lang w:val="en-US"/>
        </w:rPr>
        <w:t>4</w:t>
      </w:r>
      <w:r w:rsidR="00334458" w:rsidRPr="00495CBB">
        <w:rPr>
          <w:vertAlign w:val="superscript"/>
          <w:lang w:val="en-US"/>
        </w:rPr>
        <w:t>+</w:t>
      </w:r>
      <w:r w:rsidR="00334458" w:rsidRPr="00495CBB">
        <w:rPr>
          <w:lang w:val="en-US"/>
        </w:rPr>
        <w:t xml:space="preserve"> (endogenous losses) cannot be predicted with a constant fractionation factor applied to substrate </w:t>
      </w:r>
      <w:r w:rsidR="00334458" w:rsidRPr="00495CBB">
        <w:rPr>
          <w:vertAlign w:val="superscript"/>
          <w:lang w:val="en-US"/>
        </w:rPr>
        <w:t>15</w:t>
      </w:r>
      <w:r w:rsidR="00334458" w:rsidRPr="00495CBB">
        <w:rPr>
          <w:lang w:val="en-US"/>
        </w:rPr>
        <w:t>N:</w:t>
      </w:r>
      <w:r w:rsidR="00334458" w:rsidRPr="00495CBB">
        <w:rPr>
          <w:vertAlign w:val="superscript"/>
          <w:lang w:val="en-US"/>
        </w:rPr>
        <w:t>14</w:t>
      </w:r>
      <w:r w:rsidR="00334458" w:rsidRPr="00495CBB">
        <w:rPr>
          <w:lang w:val="en-US"/>
        </w:rPr>
        <w:t xml:space="preserve">N ratios that differ with depth (Figure </w:t>
      </w:r>
      <w:r w:rsidR="007B17CC">
        <w:rPr>
          <w:lang w:val="en-US"/>
        </w:rPr>
        <w:t>S1</w:t>
      </w:r>
      <w:r w:rsidR="00334458" w:rsidRPr="00495CBB">
        <w:rPr>
          <w:lang w:val="en-US"/>
        </w:rPr>
        <w:t xml:space="preserve">e). For example, the relationship between </w:t>
      </w:r>
      <w:r w:rsidR="00334458" w:rsidRPr="00495CBB">
        <w:rPr>
          <w:i/>
          <w:iCs/>
          <w:lang w:val="en-US"/>
        </w:rPr>
        <w:t>y</w:t>
      </w:r>
      <w:r w:rsidR="00334458" w:rsidRPr="00495CBB">
        <w:rPr>
          <w:lang w:val="en-US"/>
        </w:rPr>
        <w:t xml:space="preserve">-intercept corrected estimates of endogenous losses and substrate </w:t>
      </w:r>
      <w:r w:rsidR="00334458" w:rsidRPr="00495CBB">
        <w:rPr>
          <w:vertAlign w:val="superscript"/>
          <w:lang w:val="en-US"/>
        </w:rPr>
        <w:t>15</w:t>
      </w:r>
      <w:r w:rsidR="00334458" w:rsidRPr="00495CBB">
        <w:rPr>
          <w:lang w:val="en-US"/>
        </w:rPr>
        <w:t>N:</w:t>
      </w:r>
      <w:r w:rsidR="00334458" w:rsidRPr="00495CBB">
        <w:rPr>
          <w:vertAlign w:val="superscript"/>
          <w:lang w:val="en-US"/>
        </w:rPr>
        <w:t>14</w:t>
      </w:r>
      <w:r w:rsidR="00334458" w:rsidRPr="00495CBB">
        <w:rPr>
          <w:lang w:val="en-US"/>
        </w:rPr>
        <w:t>N ratio at different depths has an r</w:t>
      </w:r>
      <w:r w:rsidR="00334458" w:rsidRPr="00495CBB">
        <w:rPr>
          <w:vertAlign w:val="superscript"/>
          <w:lang w:val="en-US"/>
        </w:rPr>
        <w:t>2</w:t>
      </w:r>
      <w:r w:rsidR="00334458" w:rsidRPr="00495CBB">
        <w:rPr>
          <w:lang w:val="en-US"/>
        </w:rPr>
        <w:t xml:space="preserve"> value of 0.0431 with a </w:t>
      </w:r>
      <w:r w:rsidR="00334458" w:rsidRPr="00495CBB">
        <w:rPr>
          <w:i/>
          <w:iCs/>
          <w:lang w:val="en-US"/>
        </w:rPr>
        <w:t>p</w:t>
      </w:r>
      <w:r w:rsidR="00334458" w:rsidRPr="00495CBB">
        <w:rPr>
          <w:lang w:val="en-US"/>
        </w:rPr>
        <w:t xml:space="preserve"> value of 0.1984. </w:t>
      </w:r>
    </w:p>
    <w:p w14:paraId="47F12FBD"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lang w:eastAsia="en-IN" w:bidi="he-IL"/>
        </w:rPr>
        <w:drawing>
          <wp:inline distT="0" distB="0" distL="0" distR="0" wp14:anchorId="25343B9F" wp14:editId="5FE00239">
            <wp:extent cx="4600000" cy="2857143"/>
            <wp:effectExtent l="0" t="0" r="0" b="635"/>
            <wp:docPr id="4" name="Picture 4" descr="A graph of a graph with numbers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graph with numbers and a graph&#10;&#10;Description automatically generated"/>
                    <pic:cNvPicPr/>
                  </pic:nvPicPr>
                  <pic:blipFill>
                    <a:blip r:embed="rId7"/>
                    <a:stretch>
                      <a:fillRect/>
                    </a:stretch>
                  </pic:blipFill>
                  <pic:spPr>
                    <a:xfrm>
                      <a:off x="0" y="0"/>
                      <a:ext cx="4600000" cy="2857143"/>
                    </a:xfrm>
                    <a:prstGeom prst="rect">
                      <a:avLst/>
                    </a:prstGeom>
                  </pic:spPr>
                </pic:pic>
              </a:graphicData>
            </a:graphic>
          </wp:inline>
        </w:drawing>
      </w:r>
    </w:p>
    <w:p w14:paraId="34C1AB3F" w14:textId="655B1F4D" w:rsidR="007A4D06"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 xml:space="preserve">a. The relationship between total organic carbon and </w:t>
      </w:r>
      <w:r w:rsidRPr="00495CBB">
        <w:rPr>
          <w:color w:val="000000" w:themeColor="text1"/>
          <w:lang w:val="en-US"/>
        </w:rPr>
        <w:t>δ</w:t>
      </w:r>
      <w:r w:rsidRPr="00495CBB">
        <w:rPr>
          <w:vertAlign w:val="superscript"/>
          <w:lang w:val="en-US"/>
        </w:rPr>
        <w:t>15</w:t>
      </w:r>
      <w:r w:rsidRPr="00495CBB">
        <w:rPr>
          <w:lang w:val="en-US"/>
        </w:rPr>
        <w:t xml:space="preserve">N in a North Aegean Sea core sample (SL 152). The authors suggest that the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isotopic ratio of marine particulate organic matter increases with a decline in organic matter because of preferential </w:t>
      </w:r>
      <w:r w:rsidRPr="00495CBB">
        <w:rPr>
          <w:vertAlign w:val="superscript"/>
          <w:lang w:val="en-US"/>
        </w:rPr>
        <w:t>14</w:t>
      </w:r>
      <w:r w:rsidRPr="00495CBB">
        <w:rPr>
          <w:lang w:val="en-US"/>
        </w:rPr>
        <w:t>N remineralization (the release of NH</w:t>
      </w:r>
      <w:r w:rsidRPr="00495CBB">
        <w:rPr>
          <w:vertAlign w:val="subscript"/>
          <w:lang w:val="en-US"/>
        </w:rPr>
        <w:t>4</w:t>
      </w:r>
      <w:r w:rsidRPr="00495CBB">
        <w:rPr>
          <w:vertAlign w:val="superscript"/>
          <w:lang w:val="en-US"/>
        </w:rPr>
        <w:t>+</w:t>
      </w:r>
      <w:r w:rsidRPr="00495CBB">
        <w:rPr>
          <w:lang w:val="en-US"/>
        </w:rPr>
        <w:t xml:space="preserve"> with organic matter decomposition referred to as ammonification) during decay in the oxic water-column and at the oxic seafloor. Data after Mobius (2013).</w:t>
      </w:r>
    </w:p>
    <w:p w14:paraId="3E356E9D"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lastRenderedPageBreak/>
        <w:drawing>
          <wp:inline distT="0" distB="0" distL="0" distR="0" wp14:anchorId="2FC23F24" wp14:editId="49FD1A46">
            <wp:extent cx="4571429" cy="2790476"/>
            <wp:effectExtent l="0" t="0" r="635" b="0"/>
            <wp:docPr id="1789146758" name="Picture 1"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46758" name="Picture 1" descr="A picture containing text, screenshot, line, font&#10;&#10;Description automatically generated"/>
                    <pic:cNvPicPr/>
                  </pic:nvPicPr>
                  <pic:blipFill>
                    <a:blip r:embed="rId8"/>
                    <a:stretch>
                      <a:fillRect/>
                    </a:stretch>
                  </pic:blipFill>
                  <pic:spPr>
                    <a:xfrm>
                      <a:off x="0" y="0"/>
                      <a:ext cx="4571429" cy="2790476"/>
                    </a:xfrm>
                    <a:prstGeom prst="rect">
                      <a:avLst/>
                    </a:prstGeom>
                  </pic:spPr>
                </pic:pic>
              </a:graphicData>
            </a:graphic>
          </wp:inline>
        </w:drawing>
      </w:r>
    </w:p>
    <w:p w14:paraId="2BC91852" w14:textId="660F63AE" w:rsidR="007A4D06"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b. The relationship between ln total N and δ</w:t>
      </w:r>
      <w:r w:rsidRPr="00495CBB">
        <w:rPr>
          <w:vertAlign w:val="superscript"/>
          <w:lang w:val="en-US"/>
        </w:rPr>
        <w:t>15</w:t>
      </w:r>
      <w:r w:rsidRPr="00495CBB">
        <w:rPr>
          <w:lang w:val="en-US"/>
        </w:rPr>
        <w:t xml:space="preserve">N in a North Aegean Sea core sample (SL 152). Data shown is for the same points in Figure </w:t>
      </w:r>
      <w:r w:rsidR="007B17CC">
        <w:rPr>
          <w:lang w:val="en-US"/>
        </w:rPr>
        <w:t>S1</w:t>
      </w:r>
      <w:r w:rsidRPr="00495CBB">
        <w:rPr>
          <w:lang w:val="en-US"/>
        </w:rPr>
        <w:t>a. This figure matches the second panel in Figure 4 in Mobius (2013). The slope of ln total N vs. δ</w:t>
      </w:r>
      <w:r w:rsidRPr="00495CBB">
        <w:rPr>
          <w:vertAlign w:val="superscript"/>
          <w:lang w:val="en-US"/>
        </w:rPr>
        <w:t>15</w:t>
      </w:r>
      <w:r w:rsidRPr="00495CBB">
        <w:rPr>
          <w:lang w:val="en-US"/>
        </w:rPr>
        <w:t xml:space="preserve">N plots defines the Rayleigh fractionation factor in the isotopic literature and explains the increase in </w:t>
      </w:r>
      <w:r w:rsidRPr="00495CBB">
        <w:rPr>
          <w:vertAlign w:val="superscript"/>
          <w:lang w:val="en-US"/>
        </w:rPr>
        <w:t>15</w:t>
      </w:r>
      <w:r w:rsidRPr="00495CBB">
        <w:rPr>
          <w:lang w:val="en-US"/>
        </w:rPr>
        <w:t xml:space="preserve">N enrichment with declining organic matter and the covarying decline in total N. </w:t>
      </w:r>
    </w:p>
    <w:p w14:paraId="5CB6D9AE"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0DE5D33D" wp14:editId="44E57C8A">
            <wp:extent cx="4580952" cy="2780952"/>
            <wp:effectExtent l="0" t="0" r="0" b="635"/>
            <wp:docPr id="2086388154" name="Picture 1"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88154" name="Picture 1" descr="A graph with lines and dots&#10;&#10;Description automatically generated"/>
                    <pic:cNvPicPr/>
                  </pic:nvPicPr>
                  <pic:blipFill>
                    <a:blip r:embed="rId9"/>
                    <a:stretch>
                      <a:fillRect/>
                    </a:stretch>
                  </pic:blipFill>
                  <pic:spPr>
                    <a:xfrm>
                      <a:off x="0" y="0"/>
                      <a:ext cx="4580952" cy="2780952"/>
                    </a:xfrm>
                    <a:prstGeom prst="rect">
                      <a:avLst/>
                    </a:prstGeom>
                  </pic:spPr>
                </pic:pic>
              </a:graphicData>
            </a:graphic>
          </wp:inline>
        </w:drawing>
      </w:r>
    </w:p>
    <w:p w14:paraId="65BD6C21" w14:textId="60F23901" w:rsidR="005076C7"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 xml:space="preserve">c. The relationship between </w:t>
      </w:r>
      <w:r w:rsidRPr="00495CBB">
        <w:rPr>
          <w:lang w:val="en-US" w:eastAsia="ja-JP"/>
        </w:rPr>
        <w:t xml:space="preserve">depth and </w:t>
      </w:r>
      <w:r w:rsidRPr="00495CBB">
        <w:rPr>
          <w:lang w:val="en-US"/>
        </w:rPr>
        <w:t>total N</w:t>
      </w:r>
      <w:r w:rsidRPr="00495CBB">
        <w:rPr>
          <w:lang w:val="en-US" w:eastAsia="ja-JP"/>
        </w:rPr>
        <w:t xml:space="preserve"> </w:t>
      </w:r>
      <w:r w:rsidRPr="00495CBB">
        <w:rPr>
          <w:lang w:val="en-US"/>
        </w:rPr>
        <w:t>in a North Aegean Sea core sample (SL 152). Data shown is for the same points in Figure</w:t>
      </w:r>
      <w:r w:rsidR="007B17CC">
        <w:rPr>
          <w:lang w:val="en-US"/>
        </w:rPr>
        <w:t>s</w:t>
      </w:r>
      <w:r w:rsidRPr="00495CBB">
        <w:rPr>
          <w:lang w:val="en-US"/>
        </w:rPr>
        <w:t xml:space="preserve"> </w:t>
      </w:r>
      <w:r w:rsidR="007B17CC">
        <w:rPr>
          <w:lang w:val="en-US"/>
        </w:rPr>
        <w:t>S1</w:t>
      </w:r>
      <w:r w:rsidRPr="00495CBB">
        <w:rPr>
          <w:lang w:val="en-US"/>
        </w:rPr>
        <w:t xml:space="preserve">a and b. The point marked in yellow denotes </w:t>
      </w:r>
      <w:r w:rsidRPr="00495CBB">
        <w:rPr>
          <w:lang w:val="en-US"/>
        </w:rPr>
        <w:lastRenderedPageBreak/>
        <w:t>the start of a very quick transition with depth and appears as an outlier in several of the subsequent figures shown below. Data after Mobius (2013).</w:t>
      </w:r>
    </w:p>
    <w:p w14:paraId="38440340" w14:textId="77777777" w:rsidR="007A4D06" w:rsidRPr="00495CBB" w:rsidRDefault="007A4D06" w:rsidP="0006282A">
      <w:pPr>
        <w:pStyle w:val="Newparagraph"/>
        <w:spacing w:after="3" w:line="473" w:lineRule="auto"/>
        <w:ind w:right="14" w:firstLine="0"/>
        <w:jc w:val="both"/>
        <w:rPr>
          <w:lang w:val="en-US"/>
        </w:rPr>
      </w:pPr>
      <w:r w:rsidRPr="00495CBB">
        <w:rPr>
          <w:noProof/>
        </w:rPr>
        <w:drawing>
          <wp:inline distT="0" distB="0" distL="0" distR="0" wp14:anchorId="32E78882" wp14:editId="776CBCEA">
            <wp:extent cx="4552381" cy="3219048"/>
            <wp:effectExtent l="0" t="0" r="635" b="635"/>
            <wp:docPr id="173276676"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76676" name="Picture 1" descr="A screen shot of a graph&#10;&#10;Description automatically generated"/>
                    <pic:cNvPicPr/>
                  </pic:nvPicPr>
                  <pic:blipFill>
                    <a:blip r:embed="rId10"/>
                    <a:stretch>
                      <a:fillRect/>
                    </a:stretch>
                  </pic:blipFill>
                  <pic:spPr>
                    <a:xfrm>
                      <a:off x="0" y="0"/>
                      <a:ext cx="4552381" cy="3219048"/>
                    </a:xfrm>
                    <a:prstGeom prst="rect">
                      <a:avLst/>
                    </a:prstGeom>
                  </pic:spPr>
                </pic:pic>
              </a:graphicData>
            </a:graphic>
          </wp:inline>
        </w:drawing>
      </w:r>
    </w:p>
    <w:p w14:paraId="03B8096C" w14:textId="34F0434F" w:rsidR="00A9074B"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d. A mixing diagram where 1/total N or 1/</w:t>
      </w:r>
      <w:r w:rsidRPr="00495CBB">
        <w:rPr>
          <w:vertAlign w:val="superscript"/>
          <w:lang w:val="en-US"/>
        </w:rPr>
        <w:t>14</w:t>
      </w:r>
      <w:r w:rsidRPr="00495CBB">
        <w:rPr>
          <w:lang w:val="en-US"/>
        </w:rPr>
        <w:t xml:space="preserve">N are plotted against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in a North Aegean Sea core sample (SL 152). </w:t>
      </w:r>
      <w:r w:rsidR="008B6C2C">
        <w:rPr>
          <w:lang w:val="en-US"/>
        </w:rPr>
        <w:t>The 1/total N and 1/</w:t>
      </w:r>
      <w:r w:rsidR="008B6C2C" w:rsidRPr="008B6C2C">
        <w:rPr>
          <w:vertAlign w:val="superscript"/>
          <w:lang w:val="en-US"/>
        </w:rPr>
        <w:t>14</w:t>
      </w:r>
      <w:r w:rsidR="008B6C2C">
        <w:rPr>
          <w:lang w:val="en-US"/>
        </w:rPr>
        <w:t xml:space="preserve">N values only </w:t>
      </w:r>
      <w:r w:rsidR="004F40AA">
        <w:rPr>
          <w:lang w:val="en-US"/>
        </w:rPr>
        <w:t>differ slightly</w:t>
      </w:r>
      <w:r w:rsidR="008B6C2C">
        <w:rPr>
          <w:lang w:val="en-US"/>
        </w:rPr>
        <w:t xml:space="preserve">. </w:t>
      </w:r>
      <w:r w:rsidRPr="00495CBB">
        <w:rPr>
          <w:lang w:val="en-US"/>
        </w:rPr>
        <w:t xml:space="preserve">The </w:t>
      </w:r>
      <w:r w:rsidRPr="00495CBB">
        <w:rPr>
          <w:i/>
          <w:iCs/>
          <w:lang w:val="en-US"/>
        </w:rPr>
        <w:t>y</w:t>
      </w:r>
      <w:r w:rsidRPr="00495CBB">
        <w:rPr>
          <w:lang w:val="en-US"/>
        </w:rPr>
        <w:t xml:space="preserve">-intercept </w:t>
      </w:r>
      <w:r w:rsidR="008B6C2C">
        <w:rPr>
          <w:lang w:val="en-US"/>
        </w:rPr>
        <w:t>for either expression (1/</w:t>
      </w:r>
      <w:r w:rsidR="008B6C2C" w:rsidRPr="008B6C2C">
        <w:rPr>
          <w:vertAlign w:val="superscript"/>
          <w:lang w:val="en-US"/>
        </w:rPr>
        <w:t>14</w:t>
      </w:r>
      <w:r w:rsidR="008B6C2C">
        <w:rPr>
          <w:lang w:val="en-US"/>
        </w:rPr>
        <w:t xml:space="preserve">N </w:t>
      </w:r>
      <w:r w:rsidR="004F40AA">
        <w:rPr>
          <w:lang w:val="en-US"/>
        </w:rPr>
        <w:t>equation</w:t>
      </w:r>
      <w:r w:rsidR="008B6C2C">
        <w:rPr>
          <w:lang w:val="en-US"/>
        </w:rPr>
        <w:t xml:space="preserve"> shown) </w:t>
      </w:r>
      <w:r w:rsidRPr="00495CBB">
        <w:rPr>
          <w:lang w:val="en-US"/>
        </w:rPr>
        <w:t xml:space="preserve">identifies the likely source for the system and matches the slope for a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plot. The outlier is the same point marked in Figure </w:t>
      </w:r>
      <w:r w:rsidR="007B17CC">
        <w:rPr>
          <w:lang w:val="en-US"/>
        </w:rPr>
        <w:t>S1</w:t>
      </w:r>
      <w:r w:rsidRPr="00495CBB">
        <w:rPr>
          <w:lang w:val="en-US"/>
        </w:rPr>
        <w:t>c. Data after Mobius (2013).</w:t>
      </w:r>
    </w:p>
    <w:p w14:paraId="0AF27CDE" w14:textId="77777777" w:rsidR="00A9074B" w:rsidRPr="00495CBB" w:rsidRDefault="00A9074B" w:rsidP="0006282A">
      <w:pPr>
        <w:pStyle w:val="Figurecaption"/>
        <w:spacing w:before="0" w:after="3" w:line="473" w:lineRule="auto"/>
        <w:ind w:right="14"/>
        <w:jc w:val="both"/>
        <w:rPr>
          <w:lang w:val="en-US"/>
        </w:rPr>
      </w:pPr>
      <w:r w:rsidRPr="00495CBB">
        <w:rPr>
          <w:lang w:val="en-US"/>
        </w:rPr>
        <w:t>-</w:t>
      </w:r>
    </w:p>
    <w:p w14:paraId="56420BCC" w14:textId="28FB3FF1" w:rsidR="001F00A6" w:rsidRPr="00495CBB" w:rsidRDefault="001F00A6" w:rsidP="0006282A">
      <w:pPr>
        <w:pStyle w:val="Newparagraph"/>
        <w:spacing w:after="3" w:line="473" w:lineRule="auto"/>
        <w:ind w:right="14"/>
        <w:jc w:val="both"/>
        <w:rPr>
          <w:lang w:val="en-US"/>
        </w:rPr>
      </w:pPr>
      <w:r w:rsidRPr="00495CBB">
        <w:rPr>
          <w:lang w:val="en-US"/>
        </w:rPr>
        <w:t xml:space="preserve">In Figure </w:t>
      </w:r>
      <w:r w:rsidR="007B17CC">
        <w:rPr>
          <w:lang w:val="en-US"/>
        </w:rPr>
        <w:t>S1</w:t>
      </w:r>
      <w:r w:rsidRPr="00495CBB">
        <w:rPr>
          <w:lang w:val="en-US"/>
        </w:rPr>
        <w:t>f, the relationship between total N and either δ</w:t>
      </w:r>
      <w:r w:rsidRPr="00495CBB">
        <w:rPr>
          <w:vertAlign w:val="superscript"/>
          <w:lang w:val="en-US"/>
        </w:rPr>
        <w:t>15</w:t>
      </w:r>
      <w:r w:rsidRPr="00495CBB">
        <w:rPr>
          <w:lang w:val="en-US"/>
        </w:rPr>
        <w:t>N</w:t>
      </w:r>
      <w:r w:rsidRPr="00495CBB">
        <w:rPr>
          <w:vertAlign w:val="superscript"/>
          <w:lang w:val="en-US"/>
        </w:rPr>
        <w:t xml:space="preserve"> </w:t>
      </w:r>
      <w:r w:rsidRPr="00495CBB">
        <w:rPr>
          <w:lang w:val="en-US"/>
        </w:rPr>
        <w:t xml:space="preserve">(left </w:t>
      </w:r>
      <w:r w:rsidRPr="00495CBB">
        <w:rPr>
          <w:i/>
          <w:iCs/>
          <w:lang w:val="en-US"/>
        </w:rPr>
        <w:t>y</w:t>
      </w:r>
      <w:r w:rsidRPr="00495CBB">
        <w:rPr>
          <w:lang w:val="en-US"/>
        </w:rPr>
        <w:t>-axis)</w:t>
      </w:r>
      <w:r w:rsidRPr="00495CBB">
        <w:rPr>
          <w:vertAlign w:val="superscript"/>
          <w:lang w:val="en-US"/>
        </w:rPr>
        <w:t xml:space="preserve"> </w:t>
      </w:r>
      <w:r w:rsidRPr="00495CBB">
        <w:rPr>
          <w:lang w:val="en-US"/>
        </w:rPr>
        <w:t xml:space="preserve">or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(right </w:t>
      </w:r>
      <w:r w:rsidRPr="00495CBB">
        <w:rPr>
          <w:i/>
          <w:iCs/>
          <w:lang w:val="en-US"/>
        </w:rPr>
        <w:t>y</w:t>
      </w:r>
      <w:r w:rsidRPr="00495CBB">
        <w:rPr>
          <w:lang w:val="en-US"/>
        </w:rPr>
        <w:t xml:space="preserve">-axis) for core sample (SL 152) are shown for the region where data exists. It is possible that fractionation plays a major role. Similar patterns and equations, however, explain the relationship between total Sr and </w:t>
      </w:r>
      <w:r w:rsidRPr="00495CBB">
        <w:rPr>
          <w:vertAlign w:val="superscript"/>
          <w:lang w:val="en-US"/>
        </w:rPr>
        <w:t>87</w:t>
      </w:r>
      <w:r w:rsidRPr="00495CBB">
        <w:rPr>
          <w:lang w:val="en-US"/>
        </w:rPr>
        <w:t>Sr:</w:t>
      </w:r>
      <w:r w:rsidRPr="00495CBB">
        <w:rPr>
          <w:vertAlign w:val="superscript"/>
          <w:lang w:val="en-US"/>
        </w:rPr>
        <w:t>86</w:t>
      </w:r>
      <w:r w:rsidRPr="00495CBB">
        <w:rPr>
          <w:lang w:val="en-US"/>
        </w:rPr>
        <w:t>Sr ratios for artificial (</w:t>
      </w:r>
      <w:r w:rsidR="00BF0C07">
        <w:rPr>
          <w:lang w:val="en-US"/>
        </w:rPr>
        <w:t>M</w:t>
      </w:r>
      <w:r w:rsidR="005A41E3">
        <w:rPr>
          <w:lang w:val="en-US"/>
        </w:rPr>
        <w:t>oots</w:t>
      </w:r>
      <w:r w:rsidR="00BF0C07">
        <w:rPr>
          <w:lang w:val="en-US"/>
        </w:rPr>
        <w:t xml:space="preserve"> et al. </w:t>
      </w:r>
      <w:r w:rsidRPr="00495CBB">
        <w:rPr>
          <w:lang w:val="en-US"/>
        </w:rPr>
        <w:t>202</w:t>
      </w:r>
      <w:r w:rsidR="005A41E3">
        <w:rPr>
          <w:lang w:val="en-US"/>
        </w:rPr>
        <w:t>4</w:t>
      </w:r>
      <w:r w:rsidR="00F14030">
        <w:rPr>
          <w:lang w:val="en-US"/>
        </w:rPr>
        <w:t>a</w:t>
      </w:r>
      <w:r w:rsidRPr="00495CBB">
        <w:rPr>
          <w:lang w:val="en-US"/>
        </w:rPr>
        <w:t>) and real data (</w:t>
      </w:r>
      <w:r w:rsidR="00EC2502">
        <w:rPr>
          <w:lang w:val="en-US"/>
        </w:rPr>
        <w:t xml:space="preserve">Moots et al. 2024b </w:t>
      </w:r>
      <w:r w:rsidR="00684DCD">
        <w:rPr>
          <w:lang w:val="en-US"/>
        </w:rPr>
        <w:t>Supplemental Material 1</w:t>
      </w:r>
      <w:r w:rsidRPr="00495CBB">
        <w:rPr>
          <w:lang w:val="en-US"/>
        </w:rPr>
        <w:t>). This happens even though no fractionation occurs in artificial data and fractionation in Sr isotope studies is rare (Banner et al. 1996).</w:t>
      </w:r>
    </w:p>
    <w:p w14:paraId="26A268FE" w14:textId="77777777" w:rsidR="007A4D06" w:rsidRPr="00495CBB" w:rsidRDefault="007A4D06" w:rsidP="0006282A">
      <w:pPr>
        <w:ind w:left="0" w:right="14"/>
        <w:rPr>
          <w:rFonts w:ascii="Times New Roman" w:hAnsi="Times New Roman" w:cs="Times New Roman"/>
          <w:b/>
          <w:bCs/>
          <w:szCs w:val="24"/>
        </w:rPr>
      </w:pPr>
      <w:r w:rsidRPr="00495CBB">
        <w:rPr>
          <w:rFonts w:ascii="Times New Roman" w:hAnsi="Times New Roman" w:cs="Times New Roman"/>
          <w:noProof/>
          <w:szCs w:val="24"/>
        </w:rPr>
        <w:lastRenderedPageBreak/>
        <w:drawing>
          <wp:inline distT="0" distB="0" distL="0" distR="0" wp14:anchorId="2198471C" wp14:editId="69ECB870">
            <wp:extent cx="4580952" cy="2790476"/>
            <wp:effectExtent l="0" t="0" r="0" b="0"/>
            <wp:docPr id="183327609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76097" name="Picture 1" descr="A screenshot of a graph&#10;&#10;Description automatically generated"/>
                    <pic:cNvPicPr/>
                  </pic:nvPicPr>
                  <pic:blipFill>
                    <a:blip r:embed="rId11"/>
                    <a:stretch>
                      <a:fillRect/>
                    </a:stretch>
                  </pic:blipFill>
                  <pic:spPr>
                    <a:xfrm>
                      <a:off x="0" y="0"/>
                      <a:ext cx="4580952" cy="2790476"/>
                    </a:xfrm>
                    <a:prstGeom prst="rect">
                      <a:avLst/>
                    </a:prstGeom>
                  </pic:spPr>
                </pic:pic>
              </a:graphicData>
            </a:graphic>
          </wp:inline>
        </w:drawing>
      </w:r>
    </w:p>
    <w:p w14:paraId="5B594517" w14:textId="310EA4CB" w:rsidR="007A4D06"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 xml:space="preserve">e. The relationship between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ratios and core depth in a North Aegean Sea core sample (SL 152). Also shown are two different estimates for sources, the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slope (red) and </w:t>
      </w:r>
      <w:r w:rsidRPr="00495CBB">
        <w:rPr>
          <w:i/>
          <w:iCs/>
          <w:lang w:val="en-US"/>
        </w:rPr>
        <w:t>y</w:t>
      </w:r>
      <w:r w:rsidRPr="00495CBB">
        <w:rPr>
          <w:lang w:val="en-US"/>
        </w:rPr>
        <w:t xml:space="preserve">-intercept corrected ratios (grey). The outlier point corresponds to the same point marked in Figure </w:t>
      </w:r>
      <w:r w:rsidR="007B17CC">
        <w:rPr>
          <w:lang w:val="en-US"/>
        </w:rPr>
        <w:t>S1</w:t>
      </w:r>
      <w:r w:rsidRPr="00495CBB">
        <w:rPr>
          <w:lang w:val="en-US"/>
        </w:rPr>
        <w:t xml:space="preserve">c. The data suggests a constant source with depth. Therefore, differences in </w:t>
      </w:r>
      <w:r w:rsidRPr="00495CBB">
        <w:rPr>
          <w:vertAlign w:val="superscript"/>
          <w:lang w:val="en-US"/>
        </w:rPr>
        <w:t>15</w:t>
      </w:r>
      <w:r w:rsidRPr="00495CBB">
        <w:rPr>
          <w:lang w:val="en-US"/>
        </w:rPr>
        <w:t>N:</w:t>
      </w:r>
      <w:r w:rsidRPr="00495CBB">
        <w:rPr>
          <w:vertAlign w:val="superscript"/>
          <w:lang w:val="en-US"/>
        </w:rPr>
        <w:t>14</w:t>
      </w:r>
      <w:r w:rsidRPr="00495CBB">
        <w:rPr>
          <w:lang w:val="en-US"/>
        </w:rPr>
        <w:t>N ratio are driven by changes in total N. Data after Mobius (2013).</w:t>
      </w:r>
    </w:p>
    <w:p w14:paraId="477F5B4B"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396C9487" wp14:editId="158AD1D7">
            <wp:extent cx="4609524" cy="3047619"/>
            <wp:effectExtent l="0" t="0" r="635" b="635"/>
            <wp:docPr id="1859001119"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01119" name="Picture 1" descr="A picture containing text, screenshot, diagram, line&#10;&#10;Description automatically generated"/>
                    <pic:cNvPicPr/>
                  </pic:nvPicPr>
                  <pic:blipFill>
                    <a:blip r:embed="rId12"/>
                    <a:stretch>
                      <a:fillRect/>
                    </a:stretch>
                  </pic:blipFill>
                  <pic:spPr>
                    <a:xfrm>
                      <a:off x="0" y="0"/>
                      <a:ext cx="4609524" cy="3047619"/>
                    </a:xfrm>
                    <a:prstGeom prst="rect">
                      <a:avLst/>
                    </a:prstGeom>
                  </pic:spPr>
                </pic:pic>
              </a:graphicData>
            </a:graphic>
          </wp:inline>
        </w:drawing>
      </w:r>
    </w:p>
    <w:p w14:paraId="7BDE228F" w14:textId="75A86E6E" w:rsidR="007A4D06" w:rsidRPr="00495CBB" w:rsidRDefault="007A4D06" w:rsidP="0006282A">
      <w:pPr>
        <w:pStyle w:val="Figurecaption"/>
        <w:spacing w:before="0" w:after="3" w:line="473" w:lineRule="auto"/>
        <w:ind w:right="14"/>
        <w:jc w:val="both"/>
        <w:rPr>
          <w:lang w:val="en-US"/>
        </w:rPr>
      </w:pPr>
      <w:r w:rsidRPr="00495CBB">
        <w:rPr>
          <w:lang w:val="en-US"/>
        </w:rPr>
        <w:lastRenderedPageBreak/>
        <w:t xml:space="preserve">Figure </w:t>
      </w:r>
      <w:r w:rsidR="007B17CC">
        <w:rPr>
          <w:lang w:val="en-US"/>
        </w:rPr>
        <w:t>S1</w:t>
      </w:r>
      <w:r w:rsidRPr="00495CBB">
        <w:rPr>
          <w:lang w:val="en-US"/>
        </w:rPr>
        <w:t>f. The relationship between total N and either δ</w:t>
      </w:r>
      <w:r w:rsidRPr="00495CBB">
        <w:rPr>
          <w:vertAlign w:val="superscript"/>
          <w:lang w:val="en-US"/>
        </w:rPr>
        <w:t>15</w:t>
      </w:r>
      <w:r w:rsidRPr="00495CBB">
        <w:rPr>
          <w:lang w:val="en-US"/>
        </w:rPr>
        <w:t xml:space="preserve">N or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(the two values are perfectly correlated) in a North Aegean Sea core sample (SL 152). The Rayleigh fractionation predicted relationship; values predicted from the original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plot; and a best-fit </w:t>
      </w:r>
      <w:r w:rsidRPr="00495CBB">
        <w:rPr>
          <w:i/>
          <w:iCs/>
          <w:lang w:val="en-US"/>
        </w:rPr>
        <w:t xml:space="preserve">y </w:t>
      </w:r>
      <w:r w:rsidRPr="00495CBB">
        <w:rPr>
          <w:lang w:val="en-US"/>
        </w:rPr>
        <w:t>= (1/</w:t>
      </w:r>
      <w:r w:rsidRPr="00495CBB">
        <w:rPr>
          <w:i/>
          <w:iCs/>
          <w:lang w:val="en-US"/>
        </w:rPr>
        <w:t>x</w:t>
      </w:r>
      <w:r w:rsidRPr="00495CBB">
        <w:rPr>
          <w:lang w:val="en-US"/>
        </w:rPr>
        <w:t>) m + b equation all reasonably predict changing isotopic composition. Data after Mobius (2013).</w:t>
      </w:r>
    </w:p>
    <w:p w14:paraId="13E0D1BF" w14:textId="77777777" w:rsidR="007A4D06" w:rsidRPr="00495CBB" w:rsidRDefault="007A4D06" w:rsidP="0006282A">
      <w:pPr>
        <w:pStyle w:val="Newparagraph"/>
        <w:spacing w:after="3" w:line="473" w:lineRule="auto"/>
        <w:ind w:right="14" w:firstLine="0"/>
        <w:jc w:val="both"/>
        <w:rPr>
          <w:lang w:val="en-US"/>
        </w:rPr>
      </w:pPr>
      <w:r w:rsidRPr="00495CBB">
        <w:rPr>
          <w:lang w:val="en-US"/>
        </w:rPr>
        <w:t>-</w:t>
      </w:r>
    </w:p>
    <w:p w14:paraId="32DB415D" w14:textId="5F2C994F" w:rsidR="007A4D06" w:rsidRPr="00495CBB" w:rsidRDefault="007A4D06" w:rsidP="0006282A">
      <w:pPr>
        <w:pStyle w:val="Newparagraph"/>
        <w:spacing w:after="3" w:line="473" w:lineRule="auto"/>
        <w:ind w:right="14"/>
        <w:jc w:val="both"/>
        <w:rPr>
          <w:lang w:val="en-US"/>
        </w:rPr>
      </w:pPr>
      <w:r w:rsidRPr="00495CBB">
        <w:rPr>
          <w:lang w:val="en-US"/>
        </w:rPr>
        <w:t>For the constant source model</w:t>
      </w:r>
      <w:r w:rsidR="00FB5A45">
        <w:rPr>
          <w:lang w:val="en-US"/>
        </w:rPr>
        <w:t xml:space="preserve"> (blue line in Figure S1g)</w:t>
      </w:r>
      <w:r w:rsidRPr="00495CBB">
        <w:rPr>
          <w:lang w:val="en-US"/>
        </w:rPr>
        <w:t xml:space="preserve">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ratios must approach a constant (the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relationship slope). However, the two models diverge for high total N values beyond the existing data range (Figure </w:t>
      </w:r>
      <w:r w:rsidR="007B17CC">
        <w:rPr>
          <w:lang w:val="en-US"/>
        </w:rPr>
        <w:t>S1</w:t>
      </w:r>
      <w:r w:rsidRPr="00495CBB">
        <w:rPr>
          <w:lang w:val="en-US"/>
        </w:rPr>
        <w:t xml:space="preserve">g). Datasets with linear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relationships that also have a wide data range are problematic. With increasing total N, Raleigh models produce a continuing decline in </w:t>
      </w:r>
      <w:r w:rsidRPr="00495CBB">
        <w:rPr>
          <w:vertAlign w:val="superscript"/>
          <w:lang w:val="en-US"/>
        </w:rPr>
        <w:t>15</w:t>
      </w:r>
      <w:r w:rsidRPr="00495CBB">
        <w:rPr>
          <w:lang w:val="en-US"/>
        </w:rPr>
        <w:t>N:</w:t>
      </w:r>
      <w:r w:rsidRPr="00495CBB">
        <w:rPr>
          <w:vertAlign w:val="superscript"/>
          <w:lang w:val="en-US"/>
        </w:rPr>
        <w:t>14</w:t>
      </w:r>
      <w:r w:rsidRPr="00495CBB">
        <w:rPr>
          <w:lang w:val="en-US"/>
        </w:rPr>
        <w:t>N isotopic ratio that is mathematically impossible.</w:t>
      </w:r>
    </w:p>
    <w:p w14:paraId="36832035"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09A0F3EF" wp14:editId="7EBACE98">
            <wp:extent cx="4542857" cy="2933333"/>
            <wp:effectExtent l="0" t="0" r="0" b="635"/>
            <wp:docPr id="1885097611" name="Picture 1"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97611" name="Picture 1" descr="A picture containing text, screenshot, plot, line&#10;&#10;Description automatically generated"/>
                    <pic:cNvPicPr/>
                  </pic:nvPicPr>
                  <pic:blipFill>
                    <a:blip r:embed="rId13"/>
                    <a:stretch>
                      <a:fillRect/>
                    </a:stretch>
                  </pic:blipFill>
                  <pic:spPr>
                    <a:xfrm>
                      <a:off x="0" y="0"/>
                      <a:ext cx="4542857" cy="2933333"/>
                    </a:xfrm>
                    <a:prstGeom prst="rect">
                      <a:avLst/>
                    </a:prstGeom>
                  </pic:spPr>
                </pic:pic>
              </a:graphicData>
            </a:graphic>
          </wp:inline>
        </w:drawing>
      </w:r>
    </w:p>
    <w:p w14:paraId="02B63082" w14:textId="68D91927" w:rsidR="007A4D06"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g. The relationship between total N and either δ</w:t>
      </w:r>
      <w:r w:rsidRPr="00495CBB">
        <w:rPr>
          <w:vertAlign w:val="superscript"/>
          <w:lang w:val="en-US"/>
        </w:rPr>
        <w:t>15</w:t>
      </w:r>
      <w:r w:rsidRPr="00495CBB">
        <w:rPr>
          <w:lang w:val="en-US"/>
        </w:rPr>
        <w:t xml:space="preserve">N or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(the two values are perfectly correlated) in a North Aegean Sea core sample (SL 152). Both Rayleigh fraction models and predicted values from the original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N equation are shown for regions where data exists and levels of total N beyond the range for which there are data points. Data after Mobius (2013).</w:t>
      </w:r>
    </w:p>
    <w:p w14:paraId="226F9ABC" w14:textId="6C9B15C1" w:rsidR="007A4D06" w:rsidRPr="00495CBB" w:rsidRDefault="007A4D06" w:rsidP="0006282A">
      <w:pPr>
        <w:pStyle w:val="Newparagraph"/>
        <w:spacing w:after="3" w:line="473" w:lineRule="auto"/>
        <w:ind w:right="14"/>
        <w:jc w:val="both"/>
        <w:rPr>
          <w:lang w:val="en-US"/>
        </w:rPr>
      </w:pPr>
      <w:r w:rsidRPr="00495CBB">
        <w:rPr>
          <w:lang w:val="en-US"/>
        </w:rPr>
        <w:lastRenderedPageBreak/>
        <w:t>The slope of ln total N vs. δ</w:t>
      </w:r>
      <w:r w:rsidRPr="00495CBB">
        <w:rPr>
          <w:vertAlign w:val="superscript"/>
          <w:lang w:val="en-US"/>
        </w:rPr>
        <w:t>15</w:t>
      </w:r>
      <w:r w:rsidRPr="00495CBB">
        <w:rPr>
          <w:lang w:val="en-US"/>
        </w:rPr>
        <w:t xml:space="preserve">N (Figure </w:t>
      </w:r>
      <w:r w:rsidR="007B17CC">
        <w:rPr>
          <w:lang w:val="en-US"/>
        </w:rPr>
        <w:t>S1</w:t>
      </w:r>
      <w:r w:rsidRPr="00495CBB">
        <w:rPr>
          <w:lang w:val="en-US"/>
        </w:rPr>
        <w:t xml:space="preserve">h) defines the Rayleigh fractionation factor for core NS 14. This figure is a copy of the fifth panel in Figure 4 from Mobius (2013). In Figure </w:t>
      </w:r>
      <w:r w:rsidR="007B17CC">
        <w:rPr>
          <w:lang w:val="en-US"/>
        </w:rPr>
        <w:t>S1</w:t>
      </w:r>
      <w:r w:rsidRPr="00495CBB">
        <w:rPr>
          <w:lang w:val="en-US"/>
        </w:rPr>
        <w:t xml:space="preserve">i there is a concave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relationship with a statistically significant positive </w:t>
      </w:r>
      <w:r w:rsidRPr="00495CBB">
        <w:rPr>
          <w:i/>
          <w:iCs/>
          <w:lang w:val="en-US"/>
        </w:rPr>
        <w:t>y</w:t>
      </w:r>
      <w:r w:rsidRPr="00495CBB">
        <w:rPr>
          <w:lang w:val="en-US"/>
        </w:rPr>
        <w:t>-intercept for core NS 14. The x</w:t>
      </w:r>
      <w:r w:rsidRPr="00495CBB">
        <w:rPr>
          <w:vertAlign w:val="superscript"/>
          <w:lang w:val="en-US"/>
        </w:rPr>
        <w:t>2</w:t>
      </w:r>
      <w:r w:rsidRPr="00495CBB">
        <w:rPr>
          <w:lang w:val="en-US"/>
        </w:rPr>
        <w:t xml:space="preserve"> term for a polynomial best-fit equation is statistically significant, and spline smoothed cubic derivatives decrease with increasing </w:t>
      </w:r>
      <w:r w:rsidRPr="00495CBB">
        <w:rPr>
          <w:vertAlign w:val="superscript"/>
          <w:lang w:val="en-US"/>
        </w:rPr>
        <w:t>14</w:t>
      </w:r>
      <w:r w:rsidRPr="00495CBB">
        <w:rPr>
          <w:lang w:val="en-US"/>
        </w:rPr>
        <w:t xml:space="preserve">N. Therefore, differences in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are driven by differences in both total N and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N function curvature. Both the Rayleigh and changing source models fit total N vs.</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for the region where data exists (Figure </w:t>
      </w:r>
      <w:r w:rsidR="007B17CC">
        <w:rPr>
          <w:lang w:val="en-US"/>
        </w:rPr>
        <w:t>S1</w:t>
      </w:r>
      <w:r w:rsidRPr="00495CBB">
        <w:rPr>
          <w:lang w:val="en-US"/>
        </w:rPr>
        <w:t xml:space="preserve">j). </w:t>
      </w:r>
    </w:p>
    <w:p w14:paraId="5F5B3700"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5F9494F4" wp14:editId="622338AB">
            <wp:extent cx="4580952" cy="2866667"/>
            <wp:effectExtent l="0" t="0" r="0" b="0"/>
            <wp:docPr id="1710641800"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41800" name="Picture 1" descr="A diagram of a graph&#10;&#10;Description automatically generated"/>
                    <pic:cNvPicPr/>
                  </pic:nvPicPr>
                  <pic:blipFill>
                    <a:blip r:embed="rId14"/>
                    <a:stretch>
                      <a:fillRect/>
                    </a:stretch>
                  </pic:blipFill>
                  <pic:spPr>
                    <a:xfrm>
                      <a:off x="0" y="0"/>
                      <a:ext cx="4580952" cy="2866667"/>
                    </a:xfrm>
                    <a:prstGeom prst="rect">
                      <a:avLst/>
                    </a:prstGeom>
                  </pic:spPr>
                </pic:pic>
              </a:graphicData>
            </a:graphic>
          </wp:inline>
        </w:drawing>
      </w:r>
    </w:p>
    <w:p w14:paraId="4959D2AA" w14:textId="7F77B2E3" w:rsidR="007A4D06"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h. The relationship between ln total N and δ</w:t>
      </w:r>
      <w:r w:rsidRPr="00495CBB">
        <w:rPr>
          <w:vertAlign w:val="superscript"/>
          <w:lang w:val="en-US"/>
        </w:rPr>
        <w:t>15</w:t>
      </w:r>
      <w:r w:rsidRPr="00495CBB">
        <w:rPr>
          <w:lang w:val="en-US"/>
        </w:rPr>
        <w:t>N in a North Aegean Sea core sample (NS 14). This figure matches the fifth panel in Figure 4 in Mobius (2013). The marked data (blue points) were considered outliers by the original author and are excluded from linear regression. Scattering of these outlier points from the oldest core section are attributed to enhanced lithogenic sediment supply (and hence dilution) in the nearshore environment. Data after Mobius (2013).</w:t>
      </w:r>
    </w:p>
    <w:p w14:paraId="40EE65DA" w14:textId="29BDBC9A" w:rsidR="007A4D06" w:rsidRPr="00495CBB" w:rsidRDefault="00CF3995" w:rsidP="0006282A">
      <w:pPr>
        <w:ind w:left="0" w:right="14"/>
        <w:rPr>
          <w:rFonts w:ascii="Times New Roman" w:hAnsi="Times New Roman" w:cs="Times New Roman"/>
          <w:szCs w:val="24"/>
        </w:rPr>
      </w:pPr>
      <w:r w:rsidRPr="00CF3995">
        <w:rPr>
          <w:noProof/>
        </w:rPr>
        <w:lastRenderedPageBreak/>
        <w:drawing>
          <wp:inline distT="0" distB="0" distL="0" distR="0" wp14:anchorId="6EF92746" wp14:editId="6764A5A2">
            <wp:extent cx="4571429" cy="2752381"/>
            <wp:effectExtent l="0" t="0" r="635" b="0"/>
            <wp:docPr id="108439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91748" name=""/>
                    <pic:cNvPicPr/>
                  </pic:nvPicPr>
                  <pic:blipFill>
                    <a:blip r:embed="rId15"/>
                    <a:stretch>
                      <a:fillRect/>
                    </a:stretch>
                  </pic:blipFill>
                  <pic:spPr>
                    <a:xfrm>
                      <a:off x="0" y="0"/>
                      <a:ext cx="4571429" cy="2752381"/>
                    </a:xfrm>
                    <a:prstGeom prst="rect">
                      <a:avLst/>
                    </a:prstGeom>
                  </pic:spPr>
                </pic:pic>
              </a:graphicData>
            </a:graphic>
          </wp:inline>
        </w:drawing>
      </w:r>
    </w:p>
    <w:p w14:paraId="14C645EC" w14:textId="1173AE2C" w:rsidR="007A4D06"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 xml:space="preserve">i. The relationship between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in a North Aegean Sea core sample (NS 14) for the non-outlier data points (orange) in Figure </w:t>
      </w:r>
      <w:r w:rsidR="007B17CC">
        <w:rPr>
          <w:lang w:val="en-US"/>
        </w:rPr>
        <w:t>S1</w:t>
      </w:r>
      <w:r w:rsidRPr="00495CBB">
        <w:rPr>
          <w:lang w:val="en-US"/>
        </w:rPr>
        <w:t xml:space="preserve">h. Unlike data from core SL 152 in Figure </w:t>
      </w:r>
      <w:r w:rsidR="007B17CC">
        <w:rPr>
          <w:lang w:val="en-US"/>
        </w:rPr>
        <w:t>S1</w:t>
      </w:r>
      <w:r w:rsidRPr="00495CBB">
        <w:rPr>
          <w:lang w:val="en-US"/>
        </w:rPr>
        <w:t xml:space="preserve">b (which is described by a linear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function), the relationship for core NS 14 is defined by a concave polynomial with statistically significant </w:t>
      </w:r>
      <w:r w:rsidRPr="00495CBB">
        <w:rPr>
          <w:i/>
          <w:iCs/>
          <w:lang w:val="en-US"/>
        </w:rPr>
        <w:t>x</w:t>
      </w:r>
      <w:r w:rsidRPr="00495CBB">
        <w:rPr>
          <w:vertAlign w:val="superscript"/>
          <w:lang w:val="en-US"/>
        </w:rPr>
        <w:t>2</w:t>
      </w:r>
      <w:r w:rsidRPr="00495CBB">
        <w:rPr>
          <w:lang w:val="en-US"/>
        </w:rPr>
        <w:t xml:space="preserve"> terms (</w:t>
      </w:r>
      <w:r w:rsidRPr="00495CBB">
        <w:rPr>
          <w:i/>
          <w:iCs/>
          <w:lang w:val="en-US"/>
        </w:rPr>
        <w:t>p</w:t>
      </w:r>
      <w:r w:rsidRPr="00495CBB">
        <w:rPr>
          <w:lang w:val="en-US"/>
        </w:rPr>
        <w:t xml:space="preserve"> = 0.0111) and a positive </w:t>
      </w:r>
      <w:r w:rsidRPr="00495CBB">
        <w:rPr>
          <w:i/>
          <w:iCs/>
          <w:lang w:val="en-US"/>
        </w:rPr>
        <w:t>y</w:t>
      </w:r>
      <w:r w:rsidRPr="00495CBB">
        <w:rPr>
          <w:lang w:val="en-US"/>
        </w:rPr>
        <w:t>-intercept (</w:t>
      </w:r>
      <w:r w:rsidRPr="00495CBB">
        <w:rPr>
          <w:i/>
          <w:iCs/>
          <w:lang w:val="en-US"/>
        </w:rPr>
        <w:t>p</w:t>
      </w:r>
      <w:r w:rsidRPr="00495CBB">
        <w:rPr>
          <w:lang w:val="en-US"/>
        </w:rPr>
        <w:t xml:space="preserve"> = 0.0512). The spline smoothed cubic derivative (data not shown) for the same data generally declines with increasing </w:t>
      </w:r>
      <w:r w:rsidRPr="00495CBB">
        <w:rPr>
          <w:vertAlign w:val="superscript"/>
          <w:lang w:val="en-US"/>
        </w:rPr>
        <w:t>14</w:t>
      </w:r>
      <w:r w:rsidRPr="00495CBB">
        <w:rPr>
          <w:lang w:val="en-US"/>
        </w:rPr>
        <w:t xml:space="preserve">N, thus supporting the concave curvature. To assist in later discussions the regression line has been extended beyond the data points. Data after Mobius (2013). </w:t>
      </w:r>
    </w:p>
    <w:p w14:paraId="61617F14" w14:textId="74550DB6" w:rsidR="00DE7291" w:rsidRDefault="00DE7291" w:rsidP="0006282A">
      <w:pPr>
        <w:rPr>
          <w:lang w:eastAsia="en-GB"/>
        </w:rPr>
      </w:pPr>
      <w:r>
        <w:rPr>
          <w:lang w:eastAsia="en-GB"/>
        </w:rPr>
        <w:t>-</w:t>
      </w:r>
    </w:p>
    <w:p w14:paraId="4476A174" w14:textId="1244289D" w:rsidR="00DE7291" w:rsidRPr="00DE7291" w:rsidRDefault="00DE7291" w:rsidP="0006282A">
      <w:pPr>
        <w:pStyle w:val="Newparagraph"/>
        <w:spacing w:after="3" w:line="473" w:lineRule="auto"/>
        <w:ind w:right="14"/>
        <w:jc w:val="both"/>
        <w:rPr>
          <w:lang w:val="en-US"/>
        </w:rPr>
      </w:pPr>
      <w:r w:rsidRPr="00495CBB">
        <w:rPr>
          <w:lang w:val="en-US"/>
        </w:rPr>
        <w:t xml:space="preserve">Levels for total N beyond the range of the data points for core NS 14 are included in Figure </w:t>
      </w:r>
      <w:r w:rsidR="007B17CC">
        <w:rPr>
          <w:lang w:val="en-US"/>
        </w:rPr>
        <w:t>S1</w:t>
      </w:r>
      <w:r w:rsidRPr="00495CBB">
        <w:rPr>
          <w:lang w:val="en-US"/>
        </w:rPr>
        <w:t xml:space="preserve">k. For a changing source model </w:t>
      </w:r>
      <w:r w:rsidR="000568EB">
        <w:rPr>
          <w:lang w:val="en-US"/>
        </w:rPr>
        <w:t>(blue line in Figure S1k)</w:t>
      </w:r>
      <w:r w:rsidR="000568EB" w:rsidRPr="00495CBB">
        <w:rPr>
          <w:lang w:val="en-US"/>
        </w:rPr>
        <w:t xml:space="preserve"> </w:t>
      </w:r>
      <w:r w:rsidRPr="00495CBB">
        <w:rPr>
          <w:lang w:val="en-US"/>
        </w:rPr>
        <w:t xml:space="preserve">defined by a concave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equation with a positive </w:t>
      </w:r>
      <w:r w:rsidRPr="00495CBB">
        <w:rPr>
          <w:i/>
          <w:iCs/>
          <w:lang w:val="en-US"/>
        </w:rPr>
        <w:t>y</w:t>
      </w:r>
      <w:r w:rsidRPr="00495CBB">
        <w:rPr>
          <w:lang w:val="en-US"/>
        </w:rPr>
        <w:t xml:space="preserve">-intercept, </w:t>
      </w:r>
      <w:r w:rsidRPr="00495CBB">
        <w:rPr>
          <w:vertAlign w:val="superscript"/>
          <w:lang w:val="en-US"/>
        </w:rPr>
        <w:t>15</w:t>
      </w:r>
      <w:r w:rsidRPr="00495CBB">
        <w:rPr>
          <w:lang w:val="en-US"/>
        </w:rPr>
        <w:t xml:space="preserve">N isotopic expressions continue to decline at a rate faster than the Rayleigh fractionation model. In datasets where concave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relationships exist with positive </w:t>
      </w:r>
      <w:r w:rsidRPr="00495CBB">
        <w:rPr>
          <w:i/>
          <w:iCs/>
          <w:lang w:val="en-US"/>
        </w:rPr>
        <w:t>y</w:t>
      </w:r>
      <w:r w:rsidRPr="00495CBB">
        <w:rPr>
          <w:lang w:val="en-US"/>
        </w:rPr>
        <w:t xml:space="preserve">-intercepts that include points over a wide total element range, declining isotopic expressions that match the less steep Rayleigh model are mathematically impossible. </w:t>
      </w:r>
    </w:p>
    <w:p w14:paraId="15752D87" w14:textId="77777777" w:rsidR="007A4D06" w:rsidRPr="00495CBB" w:rsidRDefault="007A4D06" w:rsidP="0006282A">
      <w:pPr>
        <w:pStyle w:val="Figurecaption"/>
        <w:spacing w:before="0" w:after="3" w:line="473" w:lineRule="auto"/>
        <w:ind w:right="14"/>
        <w:jc w:val="both"/>
        <w:rPr>
          <w:lang w:val="en-US"/>
        </w:rPr>
      </w:pPr>
      <w:r w:rsidRPr="00495CBB">
        <w:rPr>
          <w:noProof/>
        </w:rPr>
        <w:lastRenderedPageBreak/>
        <w:drawing>
          <wp:inline distT="0" distB="0" distL="0" distR="0" wp14:anchorId="1118D7A8" wp14:editId="0116082D">
            <wp:extent cx="4571429" cy="2752381"/>
            <wp:effectExtent l="0" t="0" r="635" b="0"/>
            <wp:docPr id="1481726125" name="Picture 1" descr="A graph with number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26125" name="Picture 1" descr="A graph with numbers and dots&#10;&#10;Description automatically generated"/>
                    <pic:cNvPicPr/>
                  </pic:nvPicPr>
                  <pic:blipFill>
                    <a:blip r:embed="rId16"/>
                    <a:stretch>
                      <a:fillRect/>
                    </a:stretch>
                  </pic:blipFill>
                  <pic:spPr>
                    <a:xfrm>
                      <a:off x="0" y="0"/>
                      <a:ext cx="4571429" cy="2752381"/>
                    </a:xfrm>
                    <a:prstGeom prst="rect">
                      <a:avLst/>
                    </a:prstGeom>
                  </pic:spPr>
                </pic:pic>
              </a:graphicData>
            </a:graphic>
          </wp:inline>
        </w:drawing>
      </w:r>
    </w:p>
    <w:p w14:paraId="48E0BCC3" w14:textId="6C970DEA" w:rsidR="007A4D06"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 xml:space="preserve">j. The relationship between total N and either </w:t>
      </w:r>
      <w:r w:rsidRPr="00495CBB">
        <w:rPr>
          <w:color w:val="000000" w:themeColor="text1"/>
          <w:lang w:val="en-US"/>
        </w:rPr>
        <w:t>δ</w:t>
      </w:r>
      <w:r w:rsidRPr="00495CBB">
        <w:rPr>
          <w:vertAlign w:val="superscript"/>
          <w:lang w:val="en-US"/>
        </w:rPr>
        <w:t>15</w:t>
      </w:r>
      <w:r w:rsidRPr="00495CBB">
        <w:rPr>
          <w:lang w:val="en-US"/>
        </w:rPr>
        <w:t xml:space="preserve">N or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(the two values are perfectly correlated) in a North Aegean Sea core sample (NS 14). The Rayleigh fractionation predicted relationship, and values predicted from the original polynomial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N plot both reasonably predict changing isotopic composition. Data after Mobius (2013).-</w:t>
      </w:r>
    </w:p>
    <w:p w14:paraId="6AF1C004"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4544460B" wp14:editId="673FE777">
            <wp:extent cx="4580952" cy="2752381"/>
            <wp:effectExtent l="0" t="0" r="0" b="0"/>
            <wp:docPr id="1391744844" name="Picture 1" descr="A graph with lin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44844" name="Picture 1" descr="A graph with lines and symbols&#10;&#10;Description automatically generated"/>
                    <pic:cNvPicPr/>
                  </pic:nvPicPr>
                  <pic:blipFill>
                    <a:blip r:embed="rId17"/>
                    <a:stretch>
                      <a:fillRect/>
                    </a:stretch>
                  </pic:blipFill>
                  <pic:spPr>
                    <a:xfrm>
                      <a:off x="0" y="0"/>
                      <a:ext cx="4580952" cy="2752381"/>
                    </a:xfrm>
                    <a:prstGeom prst="rect">
                      <a:avLst/>
                    </a:prstGeom>
                  </pic:spPr>
                </pic:pic>
              </a:graphicData>
            </a:graphic>
          </wp:inline>
        </w:drawing>
      </w:r>
    </w:p>
    <w:p w14:paraId="57605695" w14:textId="00F71D45" w:rsidR="007A4D06" w:rsidRPr="00495CBB" w:rsidRDefault="007A4D06" w:rsidP="0006282A">
      <w:pPr>
        <w:pStyle w:val="Figurecaption"/>
        <w:spacing w:before="0" w:after="3" w:line="473" w:lineRule="auto"/>
        <w:ind w:right="14"/>
        <w:jc w:val="both"/>
        <w:rPr>
          <w:lang w:val="en-US"/>
        </w:rPr>
      </w:pPr>
      <w:r w:rsidRPr="00495CBB">
        <w:rPr>
          <w:lang w:val="en-US"/>
        </w:rPr>
        <w:t xml:space="preserve">Figure </w:t>
      </w:r>
      <w:r w:rsidR="007B17CC">
        <w:rPr>
          <w:lang w:val="en-US"/>
        </w:rPr>
        <w:t>S1</w:t>
      </w:r>
      <w:r w:rsidRPr="00495CBB">
        <w:rPr>
          <w:lang w:val="en-US"/>
        </w:rPr>
        <w:t xml:space="preserve">k. The relationship between total N and either </w:t>
      </w:r>
      <w:r w:rsidRPr="00495CBB">
        <w:rPr>
          <w:color w:val="000000" w:themeColor="text1"/>
          <w:lang w:val="en-US"/>
        </w:rPr>
        <w:t>δ</w:t>
      </w:r>
      <w:r w:rsidRPr="00495CBB">
        <w:rPr>
          <w:vertAlign w:val="superscript"/>
          <w:lang w:val="en-US"/>
        </w:rPr>
        <w:t>15</w:t>
      </w:r>
      <w:r w:rsidRPr="00495CBB">
        <w:rPr>
          <w:lang w:val="en-US"/>
        </w:rPr>
        <w:t xml:space="preserve">N or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(the two values are perfectly correlated) in a North Aegean Sea core sample (NS 14). Both Rayleigh fraction models and predicted values from the original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equation are shown for regions where data exists </w:t>
      </w:r>
      <w:r w:rsidRPr="00495CBB">
        <w:rPr>
          <w:lang w:val="en-US"/>
        </w:rPr>
        <w:lastRenderedPageBreak/>
        <w:t xml:space="preserve">and levels of total N beyond the range for which there are data points. For a changing source model defined by a concave </w:t>
      </w:r>
      <w:r w:rsidRPr="00495CBB">
        <w:rPr>
          <w:vertAlign w:val="superscript"/>
          <w:lang w:val="en-US"/>
        </w:rPr>
        <w:t>14</w:t>
      </w:r>
      <w:r w:rsidRPr="00495CBB">
        <w:rPr>
          <w:lang w:val="en-US"/>
        </w:rPr>
        <w:t xml:space="preserve">N vs. </w:t>
      </w:r>
      <w:r w:rsidRPr="00495CBB">
        <w:rPr>
          <w:vertAlign w:val="superscript"/>
          <w:lang w:val="en-US"/>
        </w:rPr>
        <w:t>15</w:t>
      </w:r>
      <w:r w:rsidRPr="00495CBB">
        <w:rPr>
          <w:lang w:val="en-US"/>
        </w:rPr>
        <w:t xml:space="preserve">N equation, with a positive </w:t>
      </w:r>
      <w:r w:rsidRPr="00495CBB">
        <w:rPr>
          <w:i/>
          <w:iCs/>
          <w:lang w:val="en-US"/>
        </w:rPr>
        <w:t>y</w:t>
      </w:r>
      <w:r w:rsidRPr="00495CBB">
        <w:rPr>
          <w:lang w:val="en-US"/>
        </w:rPr>
        <w:t xml:space="preserve">-intercept, </w:t>
      </w:r>
      <w:r w:rsidRPr="00495CBB">
        <w:rPr>
          <w:vertAlign w:val="superscript"/>
          <w:lang w:val="en-US"/>
        </w:rPr>
        <w:t>15</w:t>
      </w:r>
      <w:r w:rsidRPr="00495CBB">
        <w:rPr>
          <w:lang w:val="en-US"/>
        </w:rPr>
        <w:t>N isotopic expressions continue to decline at a rate greater than the Rayleigh fractionation model. Data after Mobius (2013).</w:t>
      </w:r>
    </w:p>
    <w:p w14:paraId="25E67928" w14:textId="77777777" w:rsidR="007A4D06" w:rsidRPr="00495CBB" w:rsidRDefault="007A4D06" w:rsidP="0006282A">
      <w:pPr>
        <w:pStyle w:val="Newparagraph"/>
        <w:spacing w:after="3" w:line="473" w:lineRule="auto"/>
        <w:ind w:right="14" w:firstLine="0"/>
        <w:jc w:val="both"/>
        <w:rPr>
          <w:lang w:val="en-US"/>
        </w:rPr>
      </w:pPr>
      <w:r w:rsidRPr="00495CBB">
        <w:rPr>
          <w:lang w:val="en-US"/>
        </w:rPr>
        <w:t>-</w:t>
      </w:r>
    </w:p>
    <w:p w14:paraId="15C2C402" w14:textId="0EB1B1C1" w:rsidR="007A4D06" w:rsidRDefault="007A4D06" w:rsidP="0006282A">
      <w:pPr>
        <w:pStyle w:val="Newparagraph"/>
        <w:spacing w:after="3" w:line="473" w:lineRule="auto"/>
        <w:ind w:right="14"/>
        <w:jc w:val="both"/>
        <w:rPr>
          <w:lang w:val="en-US"/>
        </w:rPr>
      </w:pPr>
      <w:r w:rsidRPr="00495CBB">
        <w:rPr>
          <w:lang w:val="en-US"/>
        </w:rPr>
        <w:t xml:space="preserve">For the fractionation model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ratios are underestimated at high N concentrations when compared to the constant source model (Figure </w:t>
      </w:r>
      <w:r w:rsidR="007B17CC">
        <w:rPr>
          <w:lang w:val="en-US"/>
        </w:rPr>
        <w:t>S1</w:t>
      </w:r>
      <w:r w:rsidRPr="00495CBB">
        <w:rPr>
          <w:lang w:val="en-US"/>
        </w:rPr>
        <w:t xml:space="preserve">g). The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 predictions for the fractionation model are overestimated at high N concentration when compared to the increasing depletion source model (Figure </w:t>
      </w:r>
      <w:r w:rsidR="00A26B24">
        <w:rPr>
          <w:lang w:val="en-US"/>
        </w:rPr>
        <w:t>S1</w:t>
      </w:r>
      <w:r w:rsidRPr="00495CBB">
        <w:rPr>
          <w:lang w:val="en-US"/>
        </w:rPr>
        <w:t xml:space="preserve">k). If fractionation, rather than changing sources, created the polynomial denominator vs. numerator function (Figure </w:t>
      </w:r>
      <w:r w:rsidR="00A26B24">
        <w:rPr>
          <w:lang w:val="en-US"/>
        </w:rPr>
        <w:t>S1</w:t>
      </w:r>
      <w:r w:rsidRPr="00495CBB">
        <w:rPr>
          <w:lang w:val="en-US"/>
        </w:rPr>
        <w:t>i) and ln total concentration vs. isotopic ratios indeed quantify fractionation, one would expect the two models to predict similar isotopic ratios.</w:t>
      </w:r>
    </w:p>
    <w:p w14:paraId="79E63B21" w14:textId="22710314" w:rsidR="007A4D06" w:rsidRDefault="007A4D06" w:rsidP="0006282A">
      <w:pPr>
        <w:pStyle w:val="Newparagraph"/>
        <w:spacing w:after="3" w:line="473" w:lineRule="auto"/>
        <w:ind w:right="14"/>
        <w:jc w:val="both"/>
        <w:rPr>
          <w:lang w:val="en-US"/>
        </w:rPr>
      </w:pPr>
      <w:r w:rsidRPr="00495CBB">
        <w:rPr>
          <w:lang w:val="en-US"/>
        </w:rPr>
        <w:t>The type of relationship between denominator and numerator isotope will predict whether isotopic sources (or endogenous losses) are related to observed ratios</w:t>
      </w:r>
      <w:r w:rsidR="00C56862">
        <w:rPr>
          <w:lang w:val="en-US"/>
        </w:rPr>
        <w:t xml:space="preserve"> (M</w:t>
      </w:r>
      <w:r w:rsidR="005A41E3">
        <w:rPr>
          <w:lang w:val="en-US"/>
        </w:rPr>
        <w:t>oots</w:t>
      </w:r>
      <w:r w:rsidR="00C56862">
        <w:rPr>
          <w:lang w:val="en-US"/>
        </w:rPr>
        <w:t xml:space="preserve"> et al. 202</w:t>
      </w:r>
      <w:r w:rsidR="005A41E3">
        <w:rPr>
          <w:lang w:val="en-US"/>
        </w:rPr>
        <w:t>4</w:t>
      </w:r>
      <w:r w:rsidR="00C56862">
        <w:rPr>
          <w:lang w:val="en-US"/>
        </w:rPr>
        <w:t>a, Table S1)</w:t>
      </w:r>
      <w:r w:rsidRPr="00495CBB">
        <w:rPr>
          <w:lang w:val="en-US"/>
        </w:rPr>
        <w:t xml:space="preserve">. </w:t>
      </w:r>
      <w:r w:rsidR="00DB1590">
        <w:rPr>
          <w:lang w:val="en-US"/>
        </w:rPr>
        <w:t>Function type</w:t>
      </w:r>
      <w:r w:rsidRPr="00495CBB">
        <w:rPr>
          <w:lang w:val="en-US"/>
        </w:rPr>
        <w:t xml:space="preserve"> also determines if linear ln total isotope vs. isotopic ratio relationships can occur. In convex denominator vs. numerator relationships with negative </w:t>
      </w:r>
      <w:r w:rsidRPr="00495CBB">
        <w:rPr>
          <w:i/>
          <w:iCs/>
          <w:lang w:val="en-US"/>
        </w:rPr>
        <w:t>y</w:t>
      </w:r>
      <w:r w:rsidRPr="00495CBB">
        <w:rPr>
          <w:lang w:val="en-US"/>
        </w:rPr>
        <w:t xml:space="preserve">-intercepts and concave relationships with positive </w:t>
      </w:r>
      <w:r w:rsidRPr="00495CBB">
        <w:rPr>
          <w:i/>
          <w:iCs/>
          <w:lang w:val="en-US"/>
        </w:rPr>
        <w:t>y</w:t>
      </w:r>
      <w:r w:rsidRPr="00495CBB">
        <w:rPr>
          <w:lang w:val="en-US"/>
        </w:rPr>
        <w:t xml:space="preserve">-intercepts, sources are respectively positively and negatively related to observed ratios. For constant source systems, sources and observed ratios are always unrelated. Convex denominator vs. numerator relationships with positive </w:t>
      </w:r>
      <w:r w:rsidRPr="00495CBB">
        <w:rPr>
          <w:i/>
          <w:iCs/>
          <w:lang w:val="en-US"/>
        </w:rPr>
        <w:t>y</w:t>
      </w:r>
      <w:r w:rsidRPr="00495CBB">
        <w:rPr>
          <w:lang w:val="en-US"/>
        </w:rPr>
        <w:t xml:space="preserve">-intercepts and concave denominator vs. numerator relationships with negative </w:t>
      </w:r>
      <w:r w:rsidRPr="00495CBB">
        <w:rPr>
          <w:i/>
          <w:iCs/>
          <w:lang w:val="en-US"/>
        </w:rPr>
        <w:t>y</w:t>
      </w:r>
      <w:r w:rsidRPr="00495CBB">
        <w:rPr>
          <w:lang w:val="en-US"/>
        </w:rPr>
        <w:t>-intercepts also produce sources and observed ratios that are usually unrelated to each other. This occurs for the latter two function types because relationships between total isotope and an isotopic ratio produce complex U-shaped or inverted U-shaped patterns (</w:t>
      </w:r>
      <w:r w:rsidR="00BF0C07">
        <w:rPr>
          <w:lang w:val="en-US"/>
        </w:rPr>
        <w:t>M</w:t>
      </w:r>
      <w:r w:rsidR="005A41E3">
        <w:rPr>
          <w:lang w:val="en-US"/>
        </w:rPr>
        <w:t>oots</w:t>
      </w:r>
      <w:r w:rsidR="00BF0C07">
        <w:rPr>
          <w:lang w:val="en-US"/>
        </w:rPr>
        <w:t xml:space="preserve"> et al. </w:t>
      </w:r>
      <w:r w:rsidRPr="00495CBB">
        <w:rPr>
          <w:lang w:val="en-US"/>
        </w:rPr>
        <w:t>202</w:t>
      </w:r>
      <w:r w:rsidR="005A41E3">
        <w:rPr>
          <w:lang w:val="en-US"/>
        </w:rPr>
        <w:t>4</w:t>
      </w:r>
      <w:r w:rsidR="00F14030">
        <w:rPr>
          <w:lang w:val="en-US"/>
        </w:rPr>
        <w:t>a</w:t>
      </w:r>
      <w:r w:rsidR="00025F74">
        <w:rPr>
          <w:lang w:val="en-US"/>
        </w:rPr>
        <w:t>,</w:t>
      </w:r>
      <w:r w:rsidRPr="00495CBB">
        <w:rPr>
          <w:lang w:val="en-US"/>
        </w:rPr>
        <w:t xml:space="preserve"> Table </w:t>
      </w:r>
      <w:r w:rsidR="00F277C5">
        <w:rPr>
          <w:lang w:val="en-US"/>
        </w:rPr>
        <w:t>S</w:t>
      </w:r>
      <w:r w:rsidR="003B4474">
        <w:rPr>
          <w:lang w:val="en-US"/>
        </w:rPr>
        <w:t>1</w:t>
      </w:r>
      <w:r w:rsidRPr="00495CBB">
        <w:rPr>
          <w:lang w:val="en-US"/>
        </w:rPr>
        <w:t xml:space="preserve">). Stated another way, in systems with an increasingly enriched source as total element increases (convex denominator vs. numerator </w:t>
      </w:r>
      <w:r w:rsidRPr="00495CBB">
        <w:rPr>
          <w:lang w:val="en-US"/>
        </w:rPr>
        <w:lastRenderedPageBreak/>
        <w:t>function), a linear Rayleigh fractionation function will be produced if it has a background lower than the initial source (negative y-intercept), but not if the background is higher (positive y-intercept). Similarly, a system with a source that is becoming more depleted as total element increases (concave denominator vs. numerator function) will produce a linear Rayleigh fractionation function if it has a background higher than the initial source (positive y-intercept), but not if the background is lower (negative y-intercept). The fact that backgrounds rather than whether isotopic discrimination occurs determines if a linear Rayleigh function exists is troubling.</w:t>
      </w:r>
    </w:p>
    <w:p w14:paraId="10774D1D" w14:textId="6A591295" w:rsidR="007A4D06" w:rsidRPr="00495CBB" w:rsidRDefault="006128D2" w:rsidP="0006282A">
      <w:pPr>
        <w:pStyle w:val="Newparagraph"/>
        <w:spacing w:after="3" w:line="473" w:lineRule="auto"/>
        <w:ind w:right="14"/>
        <w:jc w:val="both"/>
        <w:rPr>
          <w:lang w:val="en-US"/>
        </w:rPr>
      </w:pPr>
      <w:r w:rsidRPr="00495CBB">
        <w:rPr>
          <w:lang w:val="en-US"/>
        </w:rPr>
        <w:t xml:space="preserve">Rayleigh function relationships can also occur with constant sources that do not suggest fractionation. Fractionation can also produce denominator vs. numerator curvature without producing Rayleigh function relationships. </w:t>
      </w:r>
      <w:r w:rsidR="007A4D06" w:rsidRPr="00495CBB">
        <w:rPr>
          <w:lang w:val="en-US"/>
        </w:rPr>
        <w:t>The first six simulation points in (</w:t>
      </w:r>
      <w:r w:rsidR="00BF0C07">
        <w:rPr>
          <w:lang w:val="en-US"/>
        </w:rPr>
        <w:t>M</w:t>
      </w:r>
      <w:r w:rsidR="005A41E3">
        <w:rPr>
          <w:lang w:val="en-US"/>
        </w:rPr>
        <w:t>oots</w:t>
      </w:r>
      <w:r w:rsidR="00BF0C07">
        <w:rPr>
          <w:lang w:val="en-US"/>
        </w:rPr>
        <w:t xml:space="preserve"> et al. </w:t>
      </w:r>
      <w:r w:rsidR="007A4D06" w:rsidRPr="00495CBB">
        <w:rPr>
          <w:lang w:val="en-US"/>
        </w:rPr>
        <w:t>202</w:t>
      </w:r>
      <w:r w:rsidR="005A41E3">
        <w:rPr>
          <w:lang w:val="en-US"/>
        </w:rPr>
        <w:t>4</w:t>
      </w:r>
      <w:r w:rsidR="00F14030">
        <w:rPr>
          <w:lang w:val="en-US"/>
        </w:rPr>
        <w:t>a</w:t>
      </w:r>
      <w:r w:rsidR="007A4D06" w:rsidRPr="00495CBB">
        <w:rPr>
          <w:lang w:val="en-US"/>
        </w:rPr>
        <w:t xml:space="preserve"> Figure S</w:t>
      </w:r>
      <w:r w:rsidR="00647AE5">
        <w:rPr>
          <w:lang w:val="en-US"/>
        </w:rPr>
        <w:t>5</w:t>
      </w:r>
      <w:r w:rsidR="007A4D06" w:rsidRPr="00495CBB">
        <w:rPr>
          <w:lang w:val="en-US"/>
        </w:rPr>
        <w:t xml:space="preserve">a) where </w:t>
      </w:r>
      <w:r w:rsidR="007A4D06" w:rsidRPr="00495CBB">
        <w:rPr>
          <w:vertAlign w:val="superscript"/>
          <w:lang w:val="en-US"/>
        </w:rPr>
        <w:t>87</w:t>
      </w:r>
      <w:r w:rsidR="007A4D06" w:rsidRPr="00495CBB">
        <w:rPr>
          <w:lang w:val="en-US"/>
        </w:rPr>
        <w:t>Sr:</w:t>
      </w:r>
      <w:r w:rsidR="007A4D06" w:rsidRPr="00495CBB">
        <w:rPr>
          <w:vertAlign w:val="superscript"/>
          <w:lang w:val="en-US"/>
        </w:rPr>
        <w:t>86</w:t>
      </w:r>
      <w:r w:rsidR="007A4D06" w:rsidRPr="00495CBB">
        <w:rPr>
          <w:lang w:val="en-US"/>
        </w:rPr>
        <w:t xml:space="preserve">Sr ratios rapidly decline even though the simulation source is increasing suggest fractionation when it does not occur. The ln total Sr vs </w:t>
      </w:r>
      <w:r w:rsidR="007A4D06" w:rsidRPr="00495CBB">
        <w:rPr>
          <w:vertAlign w:val="superscript"/>
          <w:lang w:val="en-US"/>
        </w:rPr>
        <w:t>87</w:t>
      </w:r>
      <w:r w:rsidR="007A4D06" w:rsidRPr="00495CBB">
        <w:rPr>
          <w:lang w:val="en-US"/>
        </w:rPr>
        <w:t>Sr:</w:t>
      </w:r>
      <w:r w:rsidR="007A4D06" w:rsidRPr="00495CBB">
        <w:rPr>
          <w:vertAlign w:val="superscript"/>
          <w:lang w:val="en-US"/>
        </w:rPr>
        <w:t>86</w:t>
      </w:r>
      <w:r w:rsidR="007A4D06" w:rsidRPr="00495CBB">
        <w:rPr>
          <w:lang w:val="en-US"/>
        </w:rPr>
        <w:t>Sr ratio for the modified constant-source, sea-spray dataset also with a constant source (</w:t>
      </w:r>
      <w:r>
        <w:rPr>
          <w:lang w:val="en-US"/>
        </w:rPr>
        <w:t>main text</w:t>
      </w:r>
      <w:r w:rsidR="007A4D06" w:rsidRPr="00495CBB">
        <w:rPr>
          <w:lang w:val="en-US"/>
        </w:rPr>
        <w:t>; Figure 1a), produces a Rayleigh fractionation relationship, that although not perfectly linear, is exceptionally strong (r</w:t>
      </w:r>
      <w:r w:rsidR="007A4D06" w:rsidRPr="00495CBB">
        <w:rPr>
          <w:vertAlign w:val="superscript"/>
          <w:lang w:val="en-US"/>
        </w:rPr>
        <w:t xml:space="preserve">2 </w:t>
      </w:r>
      <w:r w:rsidR="007A4D06" w:rsidRPr="00495CBB">
        <w:rPr>
          <w:lang w:val="en-US"/>
        </w:rPr>
        <w:t xml:space="preserve">= 0.9865), even though source and observed </w:t>
      </w:r>
      <w:r w:rsidR="007A4D06" w:rsidRPr="00495CBB">
        <w:rPr>
          <w:vertAlign w:val="superscript"/>
          <w:lang w:val="en-US"/>
        </w:rPr>
        <w:t>87</w:t>
      </w:r>
      <w:r w:rsidR="007A4D06" w:rsidRPr="00495CBB">
        <w:rPr>
          <w:lang w:val="en-US"/>
        </w:rPr>
        <w:t>Sr:</w:t>
      </w:r>
      <w:r w:rsidR="007A4D06" w:rsidRPr="00495CBB">
        <w:rPr>
          <w:vertAlign w:val="superscript"/>
          <w:lang w:val="en-US"/>
        </w:rPr>
        <w:t>86</w:t>
      </w:r>
      <w:r w:rsidR="007A4D06" w:rsidRPr="00495CBB">
        <w:rPr>
          <w:lang w:val="en-US"/>
        </w:rPr>
        <w:t>Sr ratio are unrelated (</w:t>
      </w:r>
      <w:r w:rsidR="007A4D06" w:rsidRPr="00495CBB">
        <w:rPr>
          <w:i/>
          <w:iCs/>
          <w:lang w:val="en-US"/>
        </w:rPr>
        <w:t>p</w:t>
      </w:r>
      <w:r w:rsidR="007A4D06" w:rsidRPr="00495CBB">
        <w:rPr>
          <w:lang w:val="en-US"/>
        </w:rPr>
        <w:t xml:space="preserve"> = 0.528). </w:t>
      </w:r>
    </w:p>
    <w:p w14:paraId="695D4245" w14:textId="697CB0D4" w:rsidR="00EC2502" w:rsidRDefault="00094B54" w:rsidP="00EC2502">
      <w:pPr>
        <w:ind w:left="0" w:right="14" w:firstLine="720"/>
      </w:pPr>
      <w:r>
        <w:t>I</w:t>
      </w:r>
      <w:r w:rsidR="007A4D06" w:rsidRPr="00495CBB">
        <w:t xml:space="preserve">n Figure </w:t>
      </w:r>
      <w:r w:rsidR="00A26B24">
        <w:t>S1</w:t>
      </w:r>
      <w:r w:rsidR="007A4D06" w:rsidRPr="00495CBB">
        <w:t>l, the relationship</w:t>
      </w:r>
      <w:r w:rsidR="00ED6B29">
        <w:t>s</w:t>
      </w:r>
      <w:r w:rsidR="007A4D06" w:rsidRPr="00495CBB">
        <w:t xml:space="preserve"> between ln total N and both observed ratios and </w:t>
      </w:r>
      <w:r w:rsidR="007A4D06" w:rsidRPr="00495CBB">
        <w:rPr>
          <w:i/>
          <w:iCs/>
        </w:rPr>
        <w:t>y</w:t>
      </w:r>
      <w:r w:rsidR="007A4D06" w:rsidRPr="00495CBB">
        <w:t xml:space="preserve">-intercept corrected </w:t>
      </w:r>
      <w:r w:rsidR="007A4D06" w:rsidRPr="00495CBB">
        <w:rPr>
          <w:vertAlign w:val="superscript"/>
        </w:rPr>
        <w:t>15</w:t>
      </w:r>
      <w:r w:rsidR="007A4D06" w:rsidRPr="00495CBB">
        <w:t>N:</w:t>
      </w:r>
      <w:r w:rsidR="007A4D06" w:rsidRPr="00495CBB">
        <w:rPr>
          <w:vertAlign w:val="superscript"/>
        </w:rPr>
        <w:t>14</w:t>
      </w:r>
      <w:r w:rsidR="007A4D06" w:rsidRPr="00495CBB">
        <w:t xml:space="preserve">N ratios in a North Aegean Sea core sample (SL 152) are shown. </w:t>
      </w:r>
      <w:r w:rsidR="00ED6B29" w:rsidRPr="00495CBB">
        <w:t xml:space="preserve">The </w:t>
      </w:r>
      <w:r w:rsidR="00ED6B29" w:rsidRPr="00495CBB">
        <w:rPr>
          <w:i/>
          <w:iCs/>
        </w:rPr>
        <w:t>y</w:t>
      </w:r>
      <w:r w:rsidR="00ED6B29" w:rsidRPr="00495CBB">
        <w:t>-intercept corrected values remove total N confounding effects</w:t>
      </w:r>
      <w:r w:rsidR="00ED6B29">
        <w:t xml:space="preserve"> and again demonstrate that the source is constant as total N changes</w:t>
      </w:r>
      <w:r w:rsidR="00ED6B29" w:rsidRPr="00495CBB">
        <w:t xml:space="preserve">. </w:t>
      </w:r>
      <w:r w:rsidR="007A4D06" w:rsidRPr="00495CBB">
        <w:t xml:space="preserve">The results in Figure </w:t>
      </w:r>
      <w:r w:rsidR="00A26B24">
        <w:t>S1</w:t>
      </w:r>
      <w:r w:rsidR="007A4D06" w:rsidRPr="00495CBB">
        <w:t xml:space="preserve">l for the observed ratios are similar to the results in Figure </w:t>
      </w:r>
      <w:r w:rsidR="00A26B24">
        <w:t>S</w:t>
      </w:r>
      <w:r w:rsidR="006128D2">
        <w:t>1</w:t>
      </w:r>
      <w:r w:rsidR="007A4D06" w:rsidRPr="00495CBB">
        <w:t xml:space="preserve">b. However, since </w:t>
      </w:r>
      <w:r w:rsidR="007A4D06" w:rsidRPr="00495CBB">
        <w:rPr>
          <w:vertAlign w:val="superscript"/>
        </w:rPr>
        <w:t>15</w:t>
      </w:r>
      <w:r w:rsidR="007A4D06" w:rsidRPr="00495CBB">
        <w:t>N:</w:t>
      </w:r>
      <w:r w:rsidR="007A4D06" w:rsidRPr="00495CBB">
        <w:rPr>
          <w:vertAlign w:val="superscript"/>
        </w:rPr>
        <w:t>14</w:t>
      </w:r>
      <w:r w:rsidR="007A4D06" w:rsidRPr="00495CBB">
        <w:t xml:space="preserve">N ratios rather than ð values are presented on the </w:t>
      </w:r>
      <w:r w:rsidR="007A4D06" w:rsidRPr="00495CBB">
        <w:rPr>
          <w:i/>
          <w:iCs/>
        </w:rPr>
        <w:t>y</w:t>
      </w:r>
      <w:r w:rsidR="007A4D06" w:rsidRPr="00495CBB">
        <w:t>-axis fractionation</w:t>
      </w:r>
      <w:r w:rsidR="00DB1590">
        <w:t>,</w:t>
      </w:r>
      <w:r w:rsidR="007A4D06" w:rsidRPr="00495CBB">
        <w:t xml:space="preserve"> the slope (-0.00000870)</w:t>
      </w:r>
      <w:r w:rsidR="00DB1590">
        <w:t>,</w:t>
      </w:r>
      <w:r w:rsidR="007A4D06" w:rsidRPr="00495CBB">
        <w:t xml:space="preserve"> is defined in </w:t>
      </w:r>
      <w:r w:rsidR="00ED6B29" w:rsidRPr="00ED6B29">
        <w:rPr>
          <w:vertAlign w:val="superscript"/>
        </w:rPr>
        <w:t>15</w:t>
      </w:r>
      <w:r w:rsidR="00ED6B29">
        <w:t>N:</w:t>
      </w:r>
      <w:r w:rsidR="00ED6B29" w:rsidRPr="00ED6B29">
        <w:rPr>
          <w:vertAlign w:val="superscript"/>
        </w:rPr>
        <w:t>14</w:t>
      </w:r>
      <w:r w:rsidR="00ED6B29">
        <w:t xml:space="preserve">N </w:t>
      </w:r>
      <w:r w:rsidR="007A4D06" w:rsidRPr="00495CBB">
        <w:t xml:space="preserve">ratio units. </w:t>
      </w:r>
      <w:r w:rsidR="00EC2502">
        <w:t xml:space="preserve">There is no relationship between ln total N and </w:t>
      </w:r>
      <w:r w:rsidR="00EC2502" w:rsidRPr="00EC2502">
        <w:rPr>
          <w:i/>
          <w:iCs/>
        </w:rPr>
        <w:t>y</w:t>
      </w:r>
      <w:r w:rsidR="00EC2502">
        <w:t>-intercept corrected ratio values.</w:t>
      </w:r>
    </w:p>
    <w:p w14:paraId="0EA03125" w14:textId="7935D57C" w:rsidR="00451424" w:rsidRPr="00451424" w:rsidRDefault="00ED6B29" w:rsidP="00EC2502">
      <w:pPr>
        <w:ind w:left="0" w:right="14" w:firstLine="720"/>
        <w:rPr>
          <w:rFonts w:ascii="Times New Roman" w:hAnsi="Times New Roman" w:cs="Times New Roman"/>
          <w:szCs w:val="24"/>
        </w:rPr>
      </w:pPr>
      <w:r>
        <w:t xml:space="preserve">The ratio units </w:t>
      </w:r>
      <w:r w:rsidR="00EC2502">
        <w:t xml:space="preserve">in Figure S1l </w:t>
      </w:r>
      <w:r>
        <w:t xml:space="preserve">allow a comparison of the Rayleigh fractionation factor with an alternate </w:t>
      </w:r>
      <w:r w:rsidR="00DC4C35">
        <w:t>approach</w:t>
      </w:r>
      <w:r>
        <w:t xml:space="preserve"> to assessing fractionation. </w:t>
      </w:r>
      <w:r w:rsidR="00463234">
        <w:t xml:space="preserve">Figure S1m presents the results of </w:t>
      </w:r>
      <w:r w:rsidR="00463234">
        <w:lastRenderedPageBreak/>
        <w:t xml:space="preserve">directly calculating fractionation factors as the difference </w:t>
      </w:r>
      <w:r w:rsidR="00DC4C35">
        <w:t>between</w:t>
      </w:r>
      <w:r w:rsidR="00463234">
        <w:t xml:space="preserve"> the source </w:t>
      </w:r>
      <w:r w:rsidR="00EC2502">
        <w:t xml:space="preserve">(or in this case loss ratio </w:t>
      </w:r>
      <w:r w:rsidR="00463234">
        <w:t xml:space="preserve">and observed ratios in Figure </w:t>
      </w:r>
      <w:r w:rsidR="00E11AD8">
        <w:t xml:space="preserve">S1e. </w:t>
      </w:r>
      <w:r w:rsidR="00765C79">
        <w:t>These directly calculated fractionation values although variable (</w:t>
      </w:r>
      <w:r w:rsidR="00FA4F23">
        <w:t>increasing</w:t>
      </w:r>
      <w:r w:rsidR="00765C79">
        <w:t xml:space="preserve"> with total or </w:t>
      </w:r>
      <w:r w:rsidR="00765C79" w:rsidRPr="003902DF">
        <w:rPr>
          <w:vertAlign w:val="superscript"/>
        </w:rPr>
        <w:t>14</w:t>
      </w:r>
      <w:r w:rsidR="00765C79">
        <w:t xml:space="preserve">N) have a mean that </w:t>
      </w:r>
      <w:r w:rsidR="00B33E29">
        <w:t>approximates</w:t>
      </w:r>
      <w:r w:rsidR="00765C79">
        <w:t xml:space="preserve"> Rayleigh fractionation slopes</w:t>
      </w:r>
      <w:r w:rsidR="0094462B">
        <w:t xml:space="preserve"> calculated in Figure S1l</w:t>
      </w:r>
      <w:r w:rsidR="00765C79">
        <w:t xml:space="preserve">. </w:t>
      </w:r>
      <w:r w:rsidR="00451424">
        <w:rPr>
          <w:rFonts w:ascii="Times New Roman" w:hAnsi="Times New Roman" w:cs="Times New Roman"/>
          <w:szCs w:val="24"/>
        </w:rPr>
        <w:t xml:space="preserve">The constant Rayleigh fractionation factor, calculated as the slope of the ln total N vs. observed ratio, must mathematically differ from the </w:t>
      </w:r>
      <w:r w:rsidR="00451424" w:rsidRPr="00D0028A">
        <w:rPr>
          <w:rFonts w:ascii="Times New Roman" w:hAnsi="Times New Roman" w:cs="Times New Roman"/>
          <w:szCs w:val="24"/>
          <w:vertAlign w:val="superscript"/>
        </w:rPr>
        <w:t>14</w:t>
      </w:r>
      <w:r w:rsidR="00451424">
        <w:rPr>
          <w:rFonts w:ascii="Times New Roman" w:hAnsi="Times New Roman" w:cs="Times New Roman"/>
          <w:szCs w:val="24"/>
        </w:rPr>
        <w:t xml:space="preserve">N dependent source minus observed ratio calculated discrimination factor (both shown in Figure S1m). The relationship between total N and the </w:t>
      </w:r>
      <w:r w:rsidR="00451424" w:rsidRPr="00D0028A">
        <w:rPr>
          <w:rFonts w:ascii="Times New Roman" w:hAnsi="Times New Roman" w:cs="Times New Roman"/>
          <w:szCs w:val="24"/>
          <w:vertAlign w:val="superscript"/>
        </w:rPr>
        <w:t>15</w:t>
      </w:r>
      <w:r w:rsidR="00451424">
        <w:rPr>
          <w:rFonts w:ascii="Times New Roman" w:hAnsi="Times New Roman" w:cs="Times New Roman"/>
          <w:szCs w:val="24"/>
        </w:rPr>
        <w:t>N:</w:t>
      </w:r>
      <w:r w:rsidR="00451424" w:rsidRPr="00D0028A">
        <w:rPr>
          <w:rFonts w:ascii="Times New Roman" w:hAnsi="Times New Roman" w:cs="Times New Roman"/>
          <w:szCs w:val="24"/>
          <w:vertAlign w:val="superscript"/>
        </w:rPr>
        <w:t>14</w:t>
      </w:r>
      <w:r w:rsidR="00451424">
        <w:rPr>
          <w:rFonts w:ascii="Times New Roman" w:hAnsi="Times New Roman" w:cs="Times New Roman"/>
          <w:szCs w:val="24"/>
        </w:rPr>
        <w:t xml:space="preserve">N observed ratio is not linear (Figure S1n). A Rayleigh plot (Figure S1l) linearizes the total N vs. observed ratio relationship </w:t>
      </w:r>
      <w:r w:rsidR="008F1AAC">
        <w:rPr>
          <w:rFonts w:ascii="Times New Roman" w:hAnsi="Times New Roman" w:cs="Times New Roman"/>
          <w:szCs w:val="24"/>
        </w:rPr>
        <w:t xml:space="preserve">(shown in Figure S1n; orange points) </w:t>
      </w:r>
      <w:r w:rsidR="00451424">
        <w:rPr>
          <w:rFonts w:ascii="Times New Roman" w:hAnsi="Times New Roman" w:cs="Times New Roman"/>
          <w:szCs w:val="24"/>
        </w:rPr>
        <w:t>with a slightly higher r</w:t>
      </w:r>
      <w:r w:rsidR="00451424" w:rsidRPr="00D0028A">
        <w:rPr>
          <w:rFonts w:ascii="Times New Roman" w:hAnsi="Times New Roman" w:cs="Times New Roman"/>
          <w:szCs w:val="24"/>
          <w:vertAlign w:val="superscript"/>
        </w:rPr>
        <w:t>2</w:t>
      </w:r>
      <w:r w:rsidR="00451424">
        <w:rPr>
          <w:rFonts w:ascii="Times New Roman" w:hAnsi="Times New Roman" w:cs="Times New Roman"/>
          <w:szCs w:val="24"/>
        </w:rPr>
        <w:t xml:space="preserve"> value than the original linear fit (r</w:t>
      </w:r>
      <w:r w:rsidR="00451424" w:rsidRPr="00762E07">
        <w:rPr>
          <w:rFonts w:ascii="Times New Roman" w:hAnsi="Times New Roman" w:cs="Times New Roman"/>
          <w:szCs w:val="24"/>
          <w:vertAlign w:val="superscript"/>
        </w:rPr>
        <w:t>2</w:t>
      </w:r>
      <w:r w:rsidR="00451424">
        <w:rPr>
          <w:rFonts w:ascii="Times New Roman" w:hAnsi="Times New Roman" w:cs="Times New Roman"/>
          <w:szCs w:val="24"/>
        </w:rPr>
        <w:t xml:space="preserve"> = 0.921 vs. 0.893) shown in Figure S1n, but the true relationship is defined by the 1/x function (r</w:t>
      </w:r>
      <w:r w:rsidR="00451424" w:rsidRPr="00762E07">
        <w:rPr>
          <w:rFonts w:ascii="Times New Roman" w:hAnsi="Times New Roman" w:cs="Times New Roman"/>
          <w:szCs w:val="24"/>
          <w:vertAlign w:val="superscript"/>
        </w:rPr>
        <w:t>2</w:t>
      </w:r>
      <w:r w:rsidR="00451424">
        <w:rPr>
          <w:rFonts w:ascii="Times New Roman" w:hAnsi="Times New Roman" w:cs="Times New Roman"/>
          <w:szCs w:val="24"/>
        </w:rPr>
        <w:t xml:space="preserve"> = 0.972, also shown in Figure S1n). This 1/x function matches the traditional Keeling plot equation. The Rayleigh plot does not accurately describe the true relationship between total N and observed ratios.</w:t>
      </w:r>
    </w:p>
    <w:p w14:paraId="54137471" w14:textId="52FE9C83" w:rsidR="00451424" w:rsidRDefault="00054D8B" w:rsidP="008F1AAC">
      <w:pPr>
        <w:ind w:left="0" w:right="14"/>
      </w:pPr>
      <w:r>
        <w:rPr>
          <w:rFonts w:ascii="Times New Roman" w:hAnsi="Times New Roman" w:cs="Times New Roman"/>
          <w:szCs w:val="24"/>
        </w:rPr>
        <w:tab/>
      </w:r>
      <w:r>
        <w:rPr>
          <w:rFonts w:ascii="Times New Roman" w:hAnsi="Times New Roman" w:cs="Times New Roman"/>
          <w:szCs w:val="24"/>
        </w:rPr>
        <w:tab/>
      </w:r>
      <w:r w:rsidR="002057AC">
        <w:rPr>
          <w:rFonts w:ascii="Times New Roman" w:hAnsi="Times New Roman" w:cs="Times New Roman"/>
          <w:szCs w:val="24"/>
        </w:rPr>
        <w:t xml:space="preserve">The same </w:t>
      </w:r>
      <w:r w:rsidR="00560D6F">
        <w:rPr>
          <w:rFonts w:ascii="Times New Roman" w:hAnsi="Times New Roman" w:cs="Times New Roman"/>
          <w:szCs w:val="24"/>
        </w:rPr>
        <w:t xml:space="preserve">changing fractionation factor </w:t>
      </w:r>
      <w:r w:rsidR="002057AC">
        <w:rPr>
          <w:rFonts w:ascii="Times New Roman" w:hAnsi="Times New Roman" w:cs="Times New Roman"/>
          <w:szCs w:val="24"/>
        </w:rPr>
        <w:t>result can be simulated</w:t>
      </w:r>
      <w:r w:rsidR="008F1AAC">
        <w:rPr>
          <w:rFonts w:ascii="Times New Roman" w:hAnsi="Times New Roman" w:cs="Times New Roman"/>
          <w:szCs w:val="24"/>
        </w:rPr>
        <w:t xml:space="preserve"> (shown in Figure S1n)</w:t>
      </w:r>
      <w:r w:rsidR="002057AC">
        <w:rPr>
          <w:rFonts w:ascii="Times New Roman" w:hAnsi="Times New Roman" w:cs="Times New Roman"/>
          <w:szCs w:val="24"/>
        </w:rPr>
        <w:t xml:space="preserve"> by using the equation listed in Figure S1d to create a “perfect” </w:t>
      </w:r>
      <w:r w:rsidR="002057AC" w:rsidRPr="002057AC">
        <w:rPr>
          <w:rFonts w:ascii="Times New Roman" w:hAnsi="Times New Roman" w:cs="Times New Roman"/>
          <w:szCs w:val="24"/>
          <w:vertAlign w:val="superscript"/>
        </w:rPr>
        <w:t>14</w:t>
      </w:r>
      <w:r w:rsidR="002057AC">
        <w:rPr>
          <w:rFonts w:ascii="Times New Roman" w:hAnsi="Times New Roman" w:cs="Times New Roman"/>
          <w:szCs w:val="24"/>
        </w:rPr>
        <w:t xml:space="preserve">N vs. </w:t>
      </w:r>
      <w:r w:rsidR="002057AC" w:rsidRPr="002057AC">
        <w:rPr>
          <w:rFonts w:ascii="Times New Roman" w:hAnsi="Times New Roman" w:cs="Times New Roman"/>
          <w:szCs w:val="24"/>
          <w:vertAlign w:val="superscript"/>
        </w:rPr>
        <w:t>15</w:t>
      </w:r>
      <w:r w:rsidR="002057AC">
        <w:rPr>
          <w:rFonts w:ascii="Times New Roman" w:hAnsi="Times New Roman" w:cs="Times New Roman"/>
          <w:szCs w:val="24"/>
        </w:rPr>
        <w:t xml:space="preserve">N dataset where the </w:t>
      </w:r>
      <w:r w:rsidR="002057AC" w:rsidRPr="007B494F">
        <w:rPr>
          <w:rFonts w:ascii="Times New Roman" w:hAnsi="Times New Roman" w:cs="Times New Roman"/>
          <w:szCs w:val="24"/>
          <w:vertAlign w:val="superscript"/>
        </w:rPr>
        <w:t>14</w:t>
      </w:r>
      <w:r w:rsidR="002057AC">
        <w:rPr>
          <w:rFonts w:ascii="Times New Roman" w:hAnsi="Times New Roman" w:cs="Times New Roman"/>
          <w:szCs w:val="24"/>
        </w:rPr>
        <w:t xml:space="preserve">N vs. </w:t>
      </w:r>
      <w:r w:rsidR="002057AC" w:rsidRPr="007B494F">
        <w:rPr>
          <w:rFonts w:ascii="Times New Roman" w:hAnsi="Times New Roman" w:cs="Times New Roman"/>
          <w:szCs w:val="24"/>
          <w:vertAlign w:val="superscript"/>
        </w:rPr>
        <w:t>15</w:t>
      </w:r>
      <w:r w:rsidR="002057AC">
        <w:rPr>
          <w:rFonts w:ascii="Times New Roman" w:hAnsi="Times New Roman" w:cs="Times New Roman"/>
          <w:szCs w:val="24"/>
        </w:rPr>
        <w:t>N relationship has an r</w:t>
      </w:r>
      <w:r w:rsidR="002057AC" w:rsidRPr="002057AC">
        <w:rPr>
          <w:rFonts w:ascii="Times New Roman" w:hAnsi="Times New Roman" w:cs="Times New Roman"/>
          <w:szCs w:val="24"/>
          <w:vertAlign w:val="superscript"/>
        </w:rPr>
        <w:t>2</w:t>
      </w:r>
      <w:r w:rsidR="002057AC">
        <w:rPr>
          <w:rFonts w:ascii="Times New Roman" w:hAnsi="Times New Roman" w:cs="Times New Roman"/>
          <w:szCs w:val="24"/>
        </w:rPr>
        <w:t xml:space="preserve"> of 1.0 and </w:t>
      </w:r>
      <w:r w:rsidR="00EF5D72" w:rsidRPr="00EF5D72">
        <w:rPr>
          <w:rFonts w:ascii="Times New Roman" w:hAnsi="Times New Roman" w:cs="Times New Roman"/>
          <w:szCs w:val="24"/>
          <w:vertAlign w:val="superscript"/>
        </w:rPr>
        <w:t>14</w:t>
      </w:r>
      <w:r w:rsidR="002057AC">
        <w:rPr>
          <w:rFonts w:ascii="Times New Roman" w:hAnsi="Times New Roman" w:cs="Times New Roman"/>
          <w:szCs w:val="24"/>
        </w:rPr>
        <w:t xml:space="preserve">N values </w:t>
      </w:r>
      <w:r w:rsidR="00EF5D72">
        <w:rPr>
          <w:rFonts w:ascii="Times New Roman" w:hAnsi="Times New Roman" w:cs="Times New Roman"/>
          <w:szCs w:val="24"/>
        </w:rPr>
        <w:t>in the</w:t>
      </w:r>
      <w:r w:rsidR="002057AC">
        <w:rPr>
          <w:rFonts w:ascii="Times New Roman" w:hAnsi="Times New Roman" w:cs="Times New Roman"/>
          <w:szCs w:val="24"/>
        </w:rPr>
        <w:t xml:space="preserve"> real dataset </w:t>
      </w:r>
      <w:r w:rsidR="00EF5D72">
        <w:rPr>
          <w:rFonts w:ascii="Times New Roman" w:hAnsi="Times New Roman" w:cs="Times New Roman"/>
          <w:szCs w:val="24"/>
        </w:rPr>
        <w:t xml:space="preserve">are sorted to </w:t>
      </w:r>
      <w:r w:rsidR="002057AC">
        <w:rPr>
          <w:rFonts w:ascii="Times New Roman" w:hAnsi="Times New Roman" w:cs="Times New Roman"/>
          <w:szCs w:val="24"/>
        </w:rPr>
        <w:t xml:space="preserve">gradually decrease with depth. When apparent fractionation factors are calculated for the artificial simulated data, the </w:t>
      </w:r>
      <w:r w:rsidR="009B2B83" w:rsidRPr="009B2B83">
        <w:rPr>
          <w:rFonts w:ascii="Times New Roman" w:hAnsi="Times New Roman" w:cs="Times New Roman"/>
          <w:szCs w:val="24"/>
          <w:vertAlign w:val="superscript"/>
        </w:rPr>
        <w:t>14</w:t>
      </w:r>
      <w:r w:rsidR="002057AC">
        <w:rPr>
          <w:rFonts w:ascii="Times New Roman" w:hAnsi="Times New Roman" w:cs="Times New Roman"/>
          <w:szCs w:val="24"/>
        </w:rPr>
        <w:t>N vs. fractionation factor curve is an exact match to the real data (Figure S1m)</w:t>
      </w:r>
      <w:r w:rsidR="007C073B">
        <w:rPr>
          <w:rFonts w:ascii="Times New Roman" w:hAnsi="Times New Roman" w:cs="Times New Roman"/>
          <w:szCs w:val="24"/>
        </w:rPr>
        <w:t>, even though</w:t>
      </w:r>
      <w:r w:rsidR="002057AC">
        <w:rPr>
          <w:rFonts w:ascii="Times New Roman" w:hAnsi="Times New Roman" w:cs="Times New Roman"/>
          <w:szCs w:val="24"/>
        </w:rPr>
        <w:t xml:space="preserve"> </w:t>
      </w:r>
      <w:r w:rsidR="007C073B">
        <w:rPr>
          <w:rFonts w:ascii="Times New Roman" w:hAnsi="Times New Roman" w:cs="Times New Roman"/>
          <w:szCs w:val="24"/>
        </w:rPr>
        <w:t>t</w:t>
      </w:r>
      <w:r w:rsidR="002057AC">
        <w:rPr>
          <w:rFonts w:ascii="Times New Roman" w:hAnsi="Times New Roman" w:cs="Times New Roman"/>
          <w:szCs w:val="24"/>
        </w:rPr>
        <w:t xml:space="preserve">here is no fractionation in the artificial </w:t>
      </w:r>
      <w:r w:rsidR="00D0028A">
        <w:rPr>
          <w:rFonts w:ascii="Times New Roman" w:hAnsi="Times New Roman" w:cs="Times New Roman"/>
          <w:szCs w:val="24"/>
        </w:rPr>
        <w:t xml:space="preserve">simulated </w:t>
      </w:r>
      <w:r w:rsidR="002057AC">
        <w:rPr>
          <w:rFonts w:ascii="Times New Roman" w:hAnsi="Times New Roman" w:cs="Times New Roman"/>
          <w:szCs w:val="24"/>
        </w:rPr>
        <w:t xml:space="preserve">dataset. The </w:t>
      </w:r>
      <w:r w:rsidR="002057AC" w:rsidRPr="007B494F">
        <w:rPr>
          <w:rFonts w:ascii="Times New Roman" w:hAnsi="Times New Roman" w:cs="Times New Roman"/>
          <w:szCs w:val="24"/>
          <w:vertAlign w:val="superscript"/>
        </w:rPr>
        <w:t>14</w:t>
      </w:r>
      <w:r w:rsidR="002057AC">
        <w:rPr>
          <w:rFonts w:ascii="Times New Roman" w:hAnsi="Times New Roman" w:cs="Times New Roman"/>
          <w:szCs w:val="24"/>
        </w:rPr>
        <w:t xml:space="preserve">N vs. </w:t>
      </w:r>
      <w:r w:rsidR="002057AC" w:rsidRPr="007B494F">
        <w:rPr>
          <w:rFonts w:ascii="Times New Roman" w:hAnsi="Times New Roman" w:cs="Times New Roman"/>
          <w:szCs w:val="24"/>
          <w:vertAlign w:val="superscript"/>
        </w:rPr>
        <w:t>15</w:t>
      </w:r>
      <w:r w:rsidR="002057AC">
        <w:rPr>
          <w:rFonts w:ascii="Times New Roman" w:hAnsi="Times New Roman" w:cs="Times New Roman"/>
          <w:szCs w:val="24"/>
        </w:rPr>
        <w:t xml:space="preserve">N relationship is perfectly linear </w:t>
      </w:r>
      <w:r w:rsidR="007B494F">
        <w:rPr>
          <w:rFonts w:ascii="Times New Roman" w:hAnsi="Times New Roman" w:cs="Times New Roman"/>
          <w:szCs w:val="24"/>
        </w:rPr>
        <w:t>implying</w:t>
      </w:r>
      <w:r w:rsidR="002057AC">
        <w:rPr>
          <w:rFonts w:ascii="Times New Roman" w:hAnsi="Times New Roman" w:cs="Times New Roman"/>
          <w:szCs w:val="24"/>
        </w:rPr>
        <w:t xml:space="preserve"> a constant source. </w:t>
      </w:r>
      <w:r w:rsidR="00E87515">
        <w:rPr>
          <w:rFonts w:ascii="Times New Roman" w:hAnsi="Times New Roman" w:cs="Times New Roman"/>
          <w:szCs w:val="24"/>
        </w:rPr>
        <w:t xml:space="preserve">Since observed </w:t>
      </w:r>
      <w:r w:rsidR="00E87515" w:rsidRPr="00E87515">
        <w:rPr>
          <w:rFonts w:ascii="Times New Roman" w:hAnsi="Times New Roman" w:cs="Times New Roman"/>
          <w:szCs w:val="24"/>
          <w:vertAlign w:val="superscript"/>
        </w:rPr>
        <w:t>15</w:t>
      </w:r>
      <w:r w:rsidR="00E87515">
        <w:rPr>
          <w:rFonts w:ascii="Times New Roman" w:hAnsi="Times New Roman" w:cs="Times New Roman"/>
          <w:szCs w:val="24"/>
        </w:rPr>
        <w:t>N:</w:t>
      </w:r>
      <w:r w:rsidR="00E87515" w:rsidRPr="00E87515">
        <w:rPr>
          <w:rFonts w:ascii="Times New Roman" w:hAnsi="Times New Roman" w:cs="Times New Roman"/>
          <w:szCs w:val="24"/>
          <w:vertAlign w:val="superscript"/>
        </w:rPr>
        <w:t>14</w:t>
      </w:r>
      <w:r w:rsidR="00E87515">
        <w:rPr>
          <w:rFonts w:ascii="Times New Roman" w:hAnsi="Times New Roman" w:cs="Times New Roman"/>
          <w:szCs w:val="24"/>
        </w:rPr>
        <w:t xml:space="preserve">N ratios (substrate) must be related to the denominator of the ratio (y/x = (1/x) b +m), and discrimination factors are defined as the constant source minus observed ratios, directly calculated discrimination factors must be perfectly related to the </w:t>
      </w:r>
      <w:r w:rsidR="007C4DEA">
        <w:rPr>
          <w:rFonts w:ascii="Times New Roman" w:hAnsi="Times New Roman" w:cs="Times New Roman"/>
          <w:szCs w:val="24"/>
        </w:rPr>
        <w:t>denominator.</w:t>
      </w:r>
      <w:r w:rsidR="008F1AAC">
        <w:t xml:space="preserve"> </w:t>
      </w:r>
      <w:r w:rsidR="00451424">
        <w:t xml:space="preserve">Fractionation factors are perfectly correlated to </w:t>
      </w:r>
      <w:r w:rsidR="00451424" w:rsidRPr="009B2B83">
        <w:rPr>
          <w:vertAlign w:val="superscript"/>
        </w:rPr>
        <w:t>1</w:t>
      </w:r>
      <w:r w:rsidR="008F1AAC">
        <w:rPr>
          <w:vertAlign w:val="superscript"/>
        </w:rPr>
        <w:t>4</w:t>
      </w:r>
      <w:r w:rsidR="00451424">
        <w:t>N (r</w:t>
      </w:r>
      <w:r w:rsidR="00451424" w:rsidRPr="002057AC">
        <w:rPr>
          <w:vertAlign w:val="superscript"/>
        </w:rPr>
        <w:t>2</w:t>
      </w:r>
      <w:r w:rsidR="00451424">
        <w:t xml:space="preserve"> = 1.0) suggesting that apparent differing microbial preferences with depth (Figure S1o) that sometimes exhibit large differences over very short distances are entirely driven by total N differences. </w:t>
      </w:r>
    </w:p>
    <w:p w14:paraId="02D4D3B1" w14:textId="09670000" w:rsidR="00D0028A" w:rsidRDefault="00D0028A" w:rsidP="0006282A">
      <w:pPr>
        <w:ind w:left="0" w:right="14"/>
        <w:rPr>
          <w:rFonts w:ascii="Times New Roman" w:hAnsi="Times New Roman" w:cs="Times New Roman"/>
          <w:szCs w:val="24"/>
        </w:rPr>
      </w:pPr>
    </w:p>
    <w:p w14:paraId="6D2C0E84"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199FB2E0" wp14:editId="1E9DEB68">
            <wp:extent cx="4580952" cy="2752381"/>
            <wp:effectExtent l="0" t="0" r="0" b="0"/>
            <wp:docPr id="894805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05305" name=""/>
                    <pic:cNvPicPr/>
                  </pic:nvPicPr>
                  <pic:blipFill>
                    <a:blip r:embed="rId18"/>
                    <a:stretch>
                      <a:fillRect/>
                    </a:stretch>
                  </pic:blipFill>
                  <pic:spPr>
                    <a:xfrm>
                      <a:off x="0" y="0"/>
                      <a:ext cx="4580952" cy="2752381"/>
                    </a:xfrm>
                    <a:prstGeom prst="rect">
                      <a:avLst/>
                    </a:prstGeom>
                  </pic:spPr>
                </pic:pic>
              </a:graphicData>
            </a:graphic>
          </wp:inline>
        </w:drawing>
      </w:r>
    </w:p>
    <w:p w14:paraId="1160C5A8" w14:textId="74DB570F" w:rsidR="009D4A19" w:rsidRDefault="007A4D06" w:rsidP="0006282A">
      <w:pPr>
        <w:pStyle w:val="Figurecaption"/>
        <w:spacing w:before="0" w:after="3" w:line="473" w:lineRule="auto"/>
        <w:ind w:right="14"/>
        <w:jc w:val="both"/>
        <w:rPr>
          <w:lang w:val="en-US"/>
        </w:rPr>
      </w:pPr>
      <w:r w:rsidRPr="00495CBB">
        <w:rPr>
          <w:lang w:val="en-US"/>
        </w:rPr>
        <w:t xml:space="preserve">Figure </w:t>
      </w:r>
      <w:r w:rsidR="00A26B24">
        <w:rPr>
          <w:lang w:val="en-US"/>
        </w:rPr>
        <w:t>S1</w:t>
      </w:r>
      <w:r w:rsidRPr="00495CBB">
        <w:rPr>
          <w:lang w:val="en-US"/>
        </w:rPr>
        <w:t xml:space="preserve">l. The relationship between ln total N and both observed and </w:t>
      </w:r>
      <w:r w:rsidRPr="00495CBB">
        <w:rPr>
          <w:i/>
          <w:iCs/>
          <w:lang w:val="en-US"/>
        </w:rPr>
        <w:t>y</w:t>
      </w:r>
      <w:r w:rsidRPr="00495CBB">
        <w:rPr>
          <w:lang w:val="en-US"/>
        </w:rPr>
        <w:t xml:space="preserve">-intercept corrected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ratios in a North Aegean Sea core sample (SL 152). Data shown is for the same points in Figure </w:t>
      </w:r>
      <w:r w:rsidR="00A26B24">
        <w:rPr>
          <w:lang w:val="en-US"/>
        </w:rPr>
        <w:t>S1</w:t>
      </w:r>
      <w:r w:rsidRPr="00495CBB">
        <w:rPr>
          <w:lang w:val="en-US"/>
        </w:rPr>
        <w:t xml:space="preserve">b except </w:t>
      </w:r>
      <w:r w:rsidRPr="00495CBB">
        <w:rPr>
          <w:vertAlign w:val="superscript"/>
          <w:lang w:val="en-US"/>
        </w:rPr>
        <w:t>15</w:t>
      </w:r>
      <w:r w:rsidRPr="00495CBB">
        <w:rPr>
          <w:lang w:val="en-US"/>
        </w:rPr>
        <w:t>N:</w:t>
      </w:r>
      <w:r w:rsidRPr="00495CBB">
        <w:rPr>
          <w:vertAlign w:val="superscript"/>
          <w:lang w:val="en-US"/>
        </w:rPr>
        <w:t>14</w:t>
      </w:r>
      <w:r w:rsidRPr="00495CBB">
        <w:rPr>
          <w:lang w:val="en-US"/>
        </w:rPr>
        <w:t xml:space="preserve">N ratios are plotted on the </w:t>
      </w:r>
      <w:r w:rsidRPr="00495CBB">
        <w:rPr>
          <w:i/>
          <w:iCs/>
          <w:lang w:val="en-US"/>
        </w:rPr>
        <w:t>y</w:t>
      </w:r>
      <w:r w:rsidRPr="00495CBB">
        <w:rPr>
          <w:lang w:val="en-US"/>
        </w:rPr>
        <w:t>-axis rather than the original observed δ</w:t>
      </w:r>
      <w:r w:rsidRPr="00495CBB">
        <w:rPr>
          <w:vertAlign w:val="superscript"/>
          <w:lang w:val="en-US"/>
        </w:rPr>
        <w:t>15</w:t>
      </w:r>
      <w:r w:rsidRPr="00495CBB">
        <w:rPr>
          <w:lang w:val="en-US"/>
        </w:rPr>
        <w:t xml:space="preserve">N values. The slope for the observed ratios defines the Rayleigh fractionation factor in isotopic ratio rather than delta units but still explains the increase in </w:t>
      </w:r>
      <w:r w:rsidRPr="00495CBB">
        <w:rPr>
          <w:vertAlign w:val="superscript"/>
          <w:lang w:val="en-US"/>
        </w:rPr>
        <w:t>15</w:t>
      </w:r>
      <w:r w:rsidRPr="00495CBB">
        <w:rPr>
          <w:lang w:val="en-US"/>
        </w:rPr>
        <w:t xml:space="preserve">N enrichment with declining organic matter and the covarying decline in total N. </w:t>
      </w:r>
      <w:r w:rsidR="009D4A19" w:rsidRPr="00495CBB">
        <w:rPr>
          <w:lang w:val="en-US"/>
        </w:rPr>
        <w:t>Data after Mobius (2013).</w:t>
      </w:r>
    </w:p>
    <w:p w14:paraId="4846387D" w14:textId="77777777" w:rsidR="009D4A19" w:rsidRDefault="009D4A19" w:rsidP="0006282A">
      <w:pPr>
        <w:pStyle w:val="Figurecaption"/>
        <w:spacing w:before="0" w:after="3" w:line="473" w:lineRule="auto"/>
        <w:ind w:right="14"/>
        <w:jc w:val="both"/>
        <w:rPr>
          <w:lang w:val="en-US"/>
        </w:rPr>
      </w:pPr>
      <w:r>
        <w:rPr>
          <w:lang w:val="en-US"/>
        </w:rPr>
        <w:t>-</w:t>
      </w:r>
    </w:p>
    <w:p w14:paraId="107DAB8B" w14:textId="5E8BEE6F" w:rsidR="00C52DE8" w:rsidRDefault="009D4A19" w:rsidP="00C52DE8">
      <w:pPr>
        <w:rPr>
          <w:rFonts w:ascii="Times New Roman" w:hAnsi="Times New Roman" w:cs="Times New Roman"/>
          <w:szCs w:val="24"/>
        </w:rPr>
      </w:pPr>
      <w:r>
        <w:tab/>
      </w:r>
      <w:r w:rsidR="00B8556C">
        <w:tab/>
      </w:r>
      <w:r w:rsidR="00DE7291" w:rsidRPr="00495CBB">
        <w:rPr>
          <w:rFonts w:ascii="Times New Roman" w:hAnsi="Times New Roman" w:cs="Times New Roman"/>
          <w:szCs w:val="24"/>
        </w:rPr>
        <w:t>There are two possible conclusions: 1) Fractionation factors are not constant but both increase and decrease with changing depth</w:t>
      </w:r>
      <w:r w:rsidR="00C52DE8">
        <w:rPr>
          <w:rFonts w:ascii="Times New Roman" w:hAnsi="Times New Roman" w:cs="Times New Roman"/>
          <w:szCs w:val="24"/>
        </w:rPr>
        <w:t xml:space="preserve"> (Figure S1</w:t>
      </w:r>
      <w:r w:rsidR="00E567AB">
        <w:rPr>
          <w:rFonts w:ascii="Times New Roman" w:hAnsi="Times New Roman" w:cs="Times New Roman"/>
          <w:szCs w:val="24"/>
        </w:rPr>
        <w:t>o</w:t>
      </w:r>
      <w:r w:rsidR="00C52DE8">
        <w:rPr>
          <w:rFonts w:ascii="Times New Roman" w:hAnsi="Times New Roman" w:cs="Times New Roman"/>
          <w:szCs w:val="24"/>
        </w:rPr>
        <w:t>)</w:t>
      </w:r>
      <w:r w:rsidR="009A2971">
        <w:rPr>
          <w:rFonts w:ascii="Times New Roman" w:hAnsi="Times New Roman" w:cs="Times New Roman"/>
          <w:szCs w:val="24"/>
        </w:rPr>
        <w:t>.</w:t>
      </w:r>
      <w:r w:rsidR="00DE7291" w:rsidRPr="00495CBB">
        <w:rPr>
          <w:rFonts w:ascii="Times New Roman" w:hAnsi="Times New Roman" w:cs="Times New Roman"/>
          <w:szCs w:val="24"/>
        </w:rPr>
        <w:t xml:space="preserve"> </w:t>
      </w:r>
      <w:r w:rsidR="009A2971">
        <w:rPr>
          <w:rFonts w:ascii="Times New Roman" w:hAnsi="Times New Roman" w:cs="Times New Roman"/>
          <w:szCs w:val="24"/>
        </w:rPr>
        <w:t xml:space="preserve">As total N decreases </w:t>
      </w:r>
      <w:r w:rsidR="00C52DE8">
        <w:rPr>
          <w:rFonts w:ascii="Times New Roman" w:hAnsi="Times New Roman" w:cs="Times New Roman"/>
          <w:szCs w:val="24"/>
        </w:rPr>
        <w:t xml:space="preserve">there is </w:t>
      </w:r>
      <w:r w:rsidR="009A2971">
        <w:rPr>
          <w:rFonts w:ascii="Times New Roman" w:hAnsi="Times New Roman" w:cs="Times New Roman"/>
          <w:szCs w:val="24"/>
        </w:rPr>
        <w:t xml:space="preserve">more discrimination </w:t>
      </w:r>
      <w:r w:rsidR="00C52DE8">
        <w:rPr>
          <w:rFonts w:ascii="Times New Roman" w:hAnsi="Times New Roman" w:cs="Times New Roman"/>
          <w:szCs w:val="24"/>
        </w:rPr>
        <w:t>(fraction</w:t>
      </w:r>
      <w:r w:rsidR="00C52DE8">
        <w:t>ation</w:t>
      </w:r>
      <w:r w:rsidR="00C52DE8">
        <w:rPr>
          <w:rFonts w:ascii="Times New Roman" w:hAnsi="Times New Roman" w:cs="Times New Roman"/>
          <w:szCs w:val="24"/>
        </w:rPr>
        <w:t xml:space="preserve"> factor more negative) </w:t>
      </w:r>
      <w:r w:rsidR="009A2971">
        <w:rPr>
          <w:rFonts w:ascii="Times New Roman" w:hAnsi="Times New Roman" w:cs="Times New Roman"/>
          <w:szCs w:val="24"/>
        </w:rPr>
        <w:t xml:space="preserve">against </w:t>
      </w:r>
      <w:r w:rsidR="00C52DE8" w:rsidRPr="00C52DE8">
        <w:rPr>
          <w:rFonts w:ascii="Times New Roman" w:hAnsi="Times New Roman" w:cs="Times New Roman"/>
          <w:szCs w:val="24"/>
          <w:vertAlign w:val="superscript"/>
        </w:rPr>
        <w:t>15</w:t>
      </w:r>
      <w:r w:rsidR="00C52DE8">
        <w:rPr>
          <w:rFonts w:ascii="Times New Roman" w:hAnsi="Times New Roman" w:cs="Times New Roman"/>
          <w:szCs w:val="24"/>
        </w:rPr>
        <w:t>N</w:t>
      </w:r>
      <w:r w:rsidR="00A06954">
        <w:rPr>
          <w:rFonts w:ascii="Times New Roman" w:hAnsi="Times New Roman" w:cs="Times New Roman"/>
          <w:szCs w:val="24"/>
        </w:rPr>
        <w:t xml:space="preserve">. This implies that the </w:t>
      </w:r>
      <w:r w:rsidR="00A06954" w:rsidRPr="00A06954">
        <w:rPr>
          <w:rFonts w:ascii="Times New Roman" w:hAnsi="Times New Roman" w:cs="Times New Roman"/>
          <w:szCs w:val="24"/>
          <w:vertAlign w:val="superscript"/>
        </w:rPr>
        <w:t>15</w:t>
      </w:r>
      <w:r w:rsidR="00A06954">
        <w:rPr>
          <w:rFonts w:ascii="Times New Roman" w:hAnsi="Times New Roman" w:cs="Times New Roman"/>
          <w:szCs w:val="24"/>
        </w:rPr>
        <w:t>N:</w:t>
      </w:r>
      <w:r w:rsidR="00A06954" w:rsidRPr="00A06954">
        <w:rPr>
          <w:rFonts w:ascii="Times New Roman" w:hAnsi="Times New Roman" w:cs="Times New Roman"/>
          <w:szCs w:val="24"/>
          <w:vertAlign w:val="superscript"/>
        </w:rPr>
        <w:t>14</w:t>
      </w:r>
      <w:r w:rsidR="00A06954">
        <w:rPr>
          <w:rFonts w:ascii="Times New Roman" w:hAnsi="Times New Roman" w:cs="Times New Roman"/>
          <w:szCs w:val="24"/>
        </w:rPr>
        <w:t xml:space="preserve">N loss ratio is constantly changing as microbes are exposed to different amounts of total N sometimes over small distances. </w:t>
      </w:r>
      <w:r w:rsidR="00071646">
        <w:rPr>
          <w:rFonts w:ascii="Times New Roman" w:hAnsi="Times New Roman" w:cs="Times New Roman"/>
          <w:szCs w:val="24"/>
        </w:rPr>
        <w:t xml:space="preserve">This is unlikely since simulations </w:t>
      </w:r>
      <w:r w:rsidR="00FA4F23">
        <w:rPr>
          <w:rFonts w:ascii="Times New Roman" w:hAnsi="Times New Roman" w:cs="Times New Roman"/>
          <w:szCs w:val="24"/>
        </w:rPr>
        <w:t xml:space="preserve">with no discrimination </w:t>
      </w:r>
      <w:r w:rsidR="00071646">
        <w:rPr>
          <w:rFonts w:ascii="Times New Roman" w:hAnsi="Times New Roman" w:cs="Times New Roman"/>
          <w:szCs w:val="24"/>
        </w:rPr>
        <w:t xml:space="preserve">produce similar perfect </w:t>
      </w:r>
      <w:r w:rsidR="00071646" w:rsidRPr="00071646">
        <w:rPr>
          <w:rFonts w:ascii="Times New Roman" w:hAnsi="Times New Roman" w:cs="Times New Roman"/>
          <w:szCs w:val="24"/>
          <w:vertAlign w:val="superscript"/>
        </w:rPr>
        <w:t>1</w:t>
      </w:r>
      <w:r w:rsidR="00A06954">
        <w:rPr>
          <w:rFonts w:ascii="Times New Roman" w:hAnsi="Times New Roman" w:cs="Times New Roman"/>
          <w:szCs w:val="24"/>
          <w:vertAlign w:val="superscript"/>
        </w:rPr>
        <w:t>4</w:t>
      </w:r>
      <w:r w:rsidR="00071646">
        <w:rPr>
          <w:rFonts w:ascii="Times New Roman" w:hAnsi="Times New Roman" w:cs="Times New Roman"/>
          <w:szCs w:val="24"/>
        </w:rPr>
        <w:t xml:space="preserve">N vs. fractionation factor relationships (Figure S1m). </w:t>
      </w:r>
      <w:r w:rsidR="00C52DE8">
        <w:t xml:space="preserve">A more likely explanation </w:t>
      </w:r>
      <w:r w:rsidR="00C52DE8" w:rsidRPr="00495CBB">
        <w:rPr>
          <w:rFonts w:ascii="Times New Roman" w:hAnsi="Times New Roman" w:cs="Times New Roman"/>
          <w:szCs w:val="24"/>
        </w:rPr>
        <w:t xml:space="preserve">2) </w:t>
      </w:r>
      <w:r w:rsidR="00C52DE8">
        <w:t>is that there</w:t>
      </w:r>
      <w:r w:rsidR="00C52DE8" w:rsidRPr="00495CBB">
        <w:rPr>
          <w:rFonts w:ascii="Times New Roman" w:hAnsi="Times New Roman" w:cs="Times New Roman"/>
          <w:szCs w:val="24"/>
        </w:rPr>
        <w:t xml:space="preserve"> is no</w:t>
      </w:r>
      <w:r w:rsidR="00A3082D">
        <w:rPr>
          <w:rFonts w:ascii="Times New Roman" w:hAnsi="Times New Roman" w:cs="Times New Roman"/>
          <w:szCs w:val="24"/>
        </w:rPr>
        <w:t>t</w:t>
      </w:r>
      <w:r w:rsidR="00C52DE8" w:rsidRPr="00495CBB">
        <w:rPr>
          <w:rFonts w:ascii="Times New Roman" w:hAnsi="Times New Roman" w:cs="Times New Roman"/>
          <w:szCs w:val="24"/>
        </w:rPr>
        <w:t xml:space="preserve"> </w:t>
      </w:r>
      <w:r w:rsidR="00A3082D">
        <w:rPr>
          <w:rFonts w:ascii="Times New Roman" w:hAnsi="Times New Roman" w:cs="Times New Roman"/>
          <w:szCs w:val="24"/>
        </w:rPr>
        <w:t>a</w:t>
      </w:r>
      <w:r w:rsidR="006F669E">
        <w:rPr>
          <w:rFonts w:ascii="Times New Roman" w:hAnsi="Times New Roman" w:cs="Times New Roman"/>
          <w:szCs w:val="24"/>
        </w:rPr>
        <w:t xml:space="preserve"> </w:t>
      </w:r>
      <w:r w:rsidR="00C52DE8" w:rsidRPr="00495CBB">
        <w:rPr>
          <w:rFonts w:ascii="Times New Roman" w:hAnsi="Times New Roman" w:cs="Times New Roman"/>
          <w:szCs w:val="24"/>
        </w:rPr>
        <w:t>fractionation</w:t>
      </w:r>
      <w:r w:rsidR="006F669E">
        <w:rPr>
          <w:rFonts w:ascii="Times New Roman" w:hAnsi="Times New Roman" w:cs="Times New Roman"/>
          <w:szCs w:val="24"/>
        </w:rPr>
        <w:t xml:space="preserve"> change where microbes release products with different </w:t>
      </w:r>
      <w:r w:rsidR="006F669E" w:rsidRPr="006F669E">
        <w:rPr>
          <w:rFonts w:ascii="Times New Roman" w:hAnsi="Times New Roman" w:cs="Times New Roman"/>
          <w:szCs w:val="24"/>
          <w:vertAlign w:val="superscript"/>
        </w:rPr>
        <w:t>15</w:t>
      </w:r>
      <w:r w:rsidR="006F669E">
        <w:rPr>
          <w:rFonts w:ascii="Times New Roman" w:hAnsi="Times New Roman" w:cs="Times New Roman"/>
          <w:szCs w:val="24"/>
        </w:rPr>
        <w:t>N:</w:t>
      </w:r>
      <w:r w:rsidR="006F669E" w:rsidRPr="006F669E">
        <w:rPr>
          <w:rFonts w:ascii="Times New Roman" w:hAnsi="Times New Roman" w:cs="Times New Roman"/>
          <w:szCs w:val="24"/>
          <w:vertAlign w:val="superscript"/>
        </w:rPr>
        <w:t>14</w:t>
      </w:r>
      <w:r w:rsidR="006F669E">
        <w:rPr>
          <w:rFonts w:ascii="Times New Roman" w:hAnsi="Times New Roman" w:cs="Times New Roman"/>
          <w:szCs w:val="24"/>
        </w:rPr>
        <w:t xml:space="preserve">N </w:t>
      </w:r>
      <w:r w:rsidR="006F669E">
        <w:rPr>
          <w:rFonts w:ascii="Times New Roman" w:hAnsi="Times New Roman" w:cs="Times New Roman"/>
          <w:szCs w:val="24"/>
        </w:rPr>
        <w:lastRenderedPageBreak/>
        <w:t>ratios depending o</w:t>
      </w:r>
      <w:r w:rsidR="00A3082D">
        <w:rPr>
          <w:rFonts w:ascii="Times New Roman" w:hAnsi="Times New Roman" w:cs="Times New Roman"/>
          <w:szCs w:val="24"/>
        </w:rPr>
        <w:t>n</w:t>
      </w:r>
      <w:r w:rsidR="006F669E">
        <w:rPr>
          <w:rFonts w:ascii="Times New Roman" w:hAnsi="Times New Roman" w:cs="Times New Roman"/>
          <w:szCs w:val="24"/>
        </w:rPr>
        <w:t xml:space="preserve"> total N.</w:t>
      </w:r>
      <w:r w:rsidR="00C52DE8" w:rsidRPr="00495CBB">
        <w:rPr>
          <w:rFonts w:ascii="Times New Roman" w:hAnsi="Times New Roman" w:cs="Times New Roman"/>
          <w:szCs w:val="24"/>
        </w:rPr>
        <w:t xml:space="preserve"> </w:t>
      </w:r>
      <w:r w:rsidR="006F669E">
        <w:rPr>
          <w:rFonts w:ascii="Times New Roman" w:hAnsi="Times New Roman" w:cs="Times New Roman"/>
          <w:szCs w:val="24"/>
        </w:rPr>
        <w:t xml:space="preserve">Instead, </w:t>
      </w:r>
      <w:r w:rsidR="00C52DE8" w:rsidRPr="00495CBB">
        <w:rPr>
          <w:rFonts w:ascii="Times New Roman" w:hAnsi="Times New Roman" w:cs="Times New Roman"/>
          <w:szCs w:val="24"/>
        </w:rPr>
        <w:t xml:space="preserve">the </w:t>
      </w:r>
      <w:r w:rsidR="0045180A">
        <w:rPr>
          <w:rFonts w:ascii="Times New Roman" w:hAnsi="Times New Roman" w:cs="Times New Roman"/>
          <w:szCs w:val="24"/>
        </w:rPr>
        <w:t xml:space="preserve">apparent fractionation </w:t>
      </w:r>
      <w:r w:rsidR="00C52DE8" w:rsidRPr="00495CBB">
        <w:rPr>
          <w:rFonts w:ascii="Times New Roman" w:hAnsi="Times New Roman" w:cs="Times New Roman"/>
          <w:szCs w:val="24"/>
        </w:rPr>
        <w:t xml:space="preserve">patterns revealed </w:t>
      </w:r>
      <w:r w:rsidR="0045180A">
        <w:rPr>
          <w:rFonts w:ascii="Times New Roman" w:hAnsi="Times New Roman" w:cs="Times New Roman"/>
          <w:szCs w:val="24"/>
        </w:rPr>
        <w:t xml:space="preserve">in Figure S1o, </w:t>
      </w:r>
      <w:r w:rsidR="00C52DE8" w:rsidRPr="00495CBB">
        <w:rPr>
          <w:rFonts w:ascii="Times New Roman" w:hAnsi="Times New Roman" w:cs="Times New Roman"/>
          <w:szCs w:val="24"/>
        </w:rPr>
        <w:t xml:space="preserve">are as expected for a system that has a relatively constant </w:t>
      </w:r>
      <w:r w:rsidR="00C52DE8" w:rsidRPr="00495CBB">
        <w:rPr>
          <w:rFonts w:ascii="Times New Roman" w:hAnsi="Times New Roman" w:cs="Times New Roman"/>
          <w:szCs w:val="24"/>
          <w:vertAlign w:val="superscript"/>
        </w:rPr>
        <w:t>15</w:t>
      </w:r>
      <w:r w:rsidR="00C52DE8" w:rsidRPr="00495CBB">
        <w:rPr>
          <w:rFonts w:ascii="Times New Roman" w:hAnsi="Times New Roman" w:cs="Times New Roman"/>
          <w:szCs w:val="24"/>
        </w:rPr>
        <w:t>N:</w:t>
      </w:r>
      <w:r w:rsidR="00C52DE8" w:rsidRPr="00495CBB">
        <w:rPr>
          <w:rFonts w:ascii="Times New Roman" w:hAnsi="Times New Roman" w:cs="Times New Roman"/>
          <w:szCs w:val="24"/>
          <w:vertAlign w:val="superscript"/>
        </w:rPr>
        <w:t>14</w:t>
      </w:r>
      <w:r w:rsidR="00C52DE8" w:rsidRPr="00495CBB">
        <w:rPr>
          <w:rFonts w:ascii="Times New Roman" w:hAnsi="Times New Roman" w:cs="Times New Roman"/>
          <w:szCs w:val="24"/>
        </w:rPr>
        <w:t xml:space="preserve">N loss ratios </w:t>
      </w:r>
      <w:r w:rsidR="00C52DE8">
        <w:rPr>
          <w:rFonts w:ascii="Times New Roman" w:hAnsi="Times New Roman" w:cs="Times New Roman"/>
          <w:szCs w:val="24"/>
        </w:rPr>
        <w:t>regardless of</w:t>
      </w:r>
      <w:r w:rsidR="00C52DE8" w:rsidRPr="00495CBB">
        <w:rPr>
          <w:rFonts w:ascii="Times New Roman" w:hAnsi="Times New Roman" w:cs="Times New Roman"/>
          <w:szCs w:val="24"/>
        </w:rPr>
        <w:t xml:space="preserve"> changing total N content and covarying </w:t>
      </w:r>
      <w:r w:rsidR="00C52DE8" w:rsidRPr="00495CBB">
        <w:rPr>
          <w:rFonts w:ascii="Times New Roman" w:hAnsi="Times New Roman" w:cs="Times New Roman"/>
          <w:szCs w:val="24"/>
          <w:vertAlign w:val="superscript"/>
        </w:rPr>
        <w:t>15</w:t>
      </w:r>
      <w:r w:rsidR="00C52DE8" w:rsidRPr="00495CBB">
        <w:rPr>
          <w:rFonts w:ascii="Times New Roman" w:hAnsi="Times New Roman" w:cs="Times New Roman"/>
          <w:szCs w:val="24"/>
        </w:rPr>
        <w:t>N:</w:t>
      </w:r>
      <w:r w:rsidR="00C52DE8" w:rsidRPr="00495CBB">
        <w:rPr>
          <w:rFonts w:ascii="Times New Roman" w:hAnsi="Times New Roman" w:cs="Times New Roman"/>
          <w:szCs w:val="24"/>
          <w:vertAlign w:val="superscript"/>
        </w:rPr>
        <w:t>14</w:t>
      </w:r>
      <w:r w:rsidR="00C52DE8" w:rsidRPr="00495CBB">
        <w:rPr>
          <w:rFonts w:ascii="Times New Roman" w:hAnsi="Times New Roman" w:cs="Times New Roman"/>
          <w:szCs w:val="24"/>
        </w:rPr>
        <w:t>N ratios in the substrate.</w:t>
      </w:r>
    </w:p>
    <w:p w14:paraId="70D1307B" w14:textId="58EBCF2B" w:rsidR="00ED6B29" w:rsidRDefault="00FA4F23" w:rsidP="00FA4F23">
      <w:r>
        <w:rPr>
          <w:rFonts w:ascii="Times New Roman" w:hAnsi="Times New Roman" w:cs="Times New Roman"/>
          <w:szCs w:val="24"/>
        </w:rPr>
        <w:tab/>
      </w:r>
      <w:r>
        <w:rPr>
          <w:rFonts w:ascii="Times New Roman" w:hAnsi="Times New Roman" w:cs="Times New Roman"/>
          <w:szCs w:val="24"/>
        </w:rPr>
        <w:tab/>
        <w:t xml:space="preserve">In current fractionation theory, substrates and sources both differ and are related to each other. </w:t>
      </w:r>
      <w:r w:rsidR="002F57B1">
        <w:rPr>
          <w:rFonts w:ascii="Times New Roman" w:hAnsi="Times New Roman" w:cs="Times New Roman"/>
          <w:szCs w:val="24"/>
        </w:rPr>
        <w:t>It is quite possible</w:t>
      </w:r>
      <w:r>
        <w:rPr>
          <w:rFonts w:ascii="Times New Roman" w:hAnsi="Times New Roman" w:cs="Times New Roman"/>
          <w:szCs w:val="24"/>
        </w:rPr>
        <w:t xml:space="preserve"> there is no relationship between substrate and source</w:t>
      </w:r>
      <w:r w:rsidR="0045180A">
        <w:rPr>
          <w:rFonts w:ascii="Times New Roman" w:hAnsi="Times New Roman" w:cs="Times New Roman"/>
          <w:szCs w:val="24"/>
        </w:rPr>
        <w:t xml:space="preserve"> (Figure S1</w:t>
      </w:r>
      <w:r w:rsidR="002F57B1">
        <w:rPr>
          <w:rFonts w:ascii="Times New Roman" w:hAnsi="Times New Roman" w:cs="Times New Roman"/>
          <w:szCs w:val="24"/>
        </w:rPr>
        <w:t>e</w:t>
      </w:r>
      <w:r w:rsidR="0045180A">
        <w:rPr>
          <w:rFonts w:ascii="Times New Roman" w:hAnsi="Times New Roman" w:cs="Times New Roman"/>
          <w:szCs w:val="24"/>
        </w:rPr>
        <w:t>)</w:t>
      </w:r>
      <w:r>
        <w:rPr>
          <w:rFonts w:ascii="Times New Roman" w:hAnsi="Times New Roman" w:cs="Times New Roman"/>
          <w:szCs w:val="24"/>
        </w:rPr>
        <w:t xml:space="preserve">. </w:t>
      </w:r>
      <w:r w:rsidR="00ED6B29" w:rsidRPr="00495CBB">
        <w:t xml:space="preserve">Before either assuming that isotopic ratio differences between a source and observed ratios are caused by fractionation, or that fractionation has not occurred, it is crucial to fully evaluate all possibilities. </w:t>
      </w:r>
    </w:p>
    <w:p w14:paraId="2DDBD96F" w14:textId="1BE49C9B" w:rsidR="007A4D06" w:rsidRDefault="00755C4E" w:rsidP="0006282A">
      <w:pPr>
        <w:ind w:left="0" w:right="14"/>
        <w:rPr>
          <w:rFonts w:ascii="Times New Roman" w:hAnsi="Times New Roman" w:cs="Times New Roman"/>
          <w:szCs w:val="24"/>
        </w:rPr>
      </w:pPr>
      <w:r w:rsidRPr="00755C4E">
        <w:rPr>
          <w:noProof/>
        </w:rPr>
        <w:drawing>
          <wp:inline distT="0" distB="0" distL="0" distR="0" wp14:anchorId="2C589C55" wp14:editId="5E72414B">
            <wp:extent cx="4580952" cy="2714286"/>
            <wp:effectExtent l="0" t="0" r="0" b="0"/>
            <wp:docPr id="1578570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70223" name=""/>
                    <pic:cNvPicPr/>
                  </pic:nvPicPr>
                  <pic:blipFill>
                    <a:blip r:embed="rId19"/>
                    <a:stretch>
                      <a:fillRect/>
                    </a:stretch>
                  </pic:blipFill>
                  <pic:spPr>
                    <a:xfrm>
                      <a:off x="0" y="0"/>
                      <a:ext cx="4580952" cy="2714286"/>
                    </a:xfrm>
                    <a:prstGeom prst="rect">
                      <a:avLst/>
                    </a:prstGeom>
                  </pic:spPr>
                </pic:pic>
              </a:graphicData>
            </a:graphic>
          </wp:inline>
        </w:drawing>
      </w:r>
    </w:p>
    <w:p w14:paraId="0C9945B9" w14:textId="470D6AF4" w:rsidR="007A4D06" w:rsidRDefault="007A4D06" w:rsidP="0006282A">
      <w:pPr>
        <w:pStyle w:val="Figurecaption"/>
        <w:spacing w:before="0" w:after="3" w:line="473" w:lineRule="auto"/>
        <w:ind w:right="14"/>
        <w:jc w:val="both"/>
        <w:rPr>
          <w:lang w:val="en-US"/>
        </w:rPr>
      </w:pPr>
      <w:r w:rsidRPr="00495CBB">
        <w:rPr>
          <w:lang w:val="en-US"/>
        </w:rPr>
        <w:t xml:space="preserve">Figure </w:t>
      </w:r>
      <w:r w:rsidR="00A26B24">
        <w:rPr>
          <w:lang w:val="en-US"/>
        </w:rPr>
        <w:t>S1</w:t>
      </w:r>
      <w:r w:rsidRPr="00495CBB">
        <w:rPr>
          <w:lang w:val="en-US"/>
        </w:rPr>
        <w:t>m. The relationship between total N and discrimination factors in</w:t>
      </w:r>
      <w:r w:rsidRPr="00495CBB">
        <w:rPr>
          <w:vertAlign w:val="superscript"/>
          <w:lang w:val="en-US"/>
        </w:rPr>
        <w:t xml:space="preserve"> 15</w:t>
      </w:r>
      <w:r w:rsidRPr="00495CBB">
        <w:rPr>
          <w:lang w:val="en-US"/>
        </w:rPr>
        <w:t>N:</w:t>
      </w:r>
      <w:r w:rsidRPr="00495CBB">
        <w:rPr>
          <w:vertAlign w:val="superscript"/>
          <w:lang w:val="en-US"/>
        </w:rPr>
        <w:t>14</w:t>
      </w:r>
      <w:r w:rsidRPr="00495CBB">
        <w:rPr>
          <w:lang w:val="en-US"/>
        </w:rPr>
        <w:t>N ratio units for a North Aegean Sea core sample (SL 152). Changing discrimination factors were calculated as the difference between source (</w:t>
      </w:r>
      <w:r w:rsidRPr="00495CBB">
        <w:rPr>
          <w:i/>
          <w:iCs/>
          <w:lang w:val="en-US"/>
        </w:rPr>
        <w:t>y</w:t>
      </w:r>
      <w:r w:rsidRPr="00495CBB">
        <w:rPr>
          <w:lang w:val="en-US"/>
        </w:rPr>
        <w:t xml:space="preserve">-intercept corrected ratios) and observed ratios shown in Figure </w:t>
      </w:r>
      <w:r w:rsidR="00A26B24">
        <w:rPr>
          <w:lang w:val="en-US"/>
        </w:rPr>
        <w:t>S1</w:t>
      </w:r>
      <w:r w:rsidRPr="00495CBB">
        <w:rPr>
          <w:lang w:val="en-US"/>
        </w:rPr>
        <w:t>e.</w:t>
      </w:r>
      <w:r w:rsidR="00FC7E9D">
        <w:rPr>
          <w:lang w:val="en-US"/>
        </w:rPr>
        <w:t xml:space="preserve"> These changing fractionation factors are perfectly related to total N.</w:t>
      </w:r>
      <w:r w:rsidRPr="00495CBB">
        <w:rPr>
          <w:lang w:val="en-US"/>
        </w:rPr>
        <w:t xml:space="preserve"> </w:t>
      </w:r>
      <w:r w:rsidR="00D84963">
        <w:rPr>
          <w:lang w:val="en-US"/>
        </w:rPr>
        <w:t>Results from an artificial simulation using the same equation for the real data (shown in Figure S1d and t</w:t>
      </w:r>
      <w:r w:rsidRPr="00495CBB">
        <w:rPr>
          <w:lang w:val="en-US"/>
        </w:rPr>
        <w:t xml:space="preserve">he constant Rayleigh discrimination factor derived from the slope in Figure </w:t>
      </w:r>
      <w:r w:rsidR="00A26B24">
        <w:rPr>
          <w:lang w:val="en-US"/>
        </w:rPr>
        <w:t>S1</w:t>
      </w:r>
      <w:r w:rsidRPr="00495CBB">
        <w:rPr>
          <w:lang w:val="en-US"/>
        </w:rPr>
        <w:t>l is also presented. Data after Mobius (2013).</w:t>
      </w:r>
    </w:p>
    <w:p w14:paraId="175E36C3" w14:textId="0EED4D2C" w:rsidR="00E76390" w:rsidRPr="00E76390" w:rsidRDefault="00E76390" w:rsidP="00E76390">
      <w:pPr>
        <w:rPr>
          <w:lang w:eastAsia="en-GB"/>
        </w:rPr>
      </w:pPr>
      <w:r w:rsidRPr="00E76390">
        <w:rPr>
          <w:noProof/>
        </w:rPr>
        <w:lastRenderedPageBreak/>
        <w:drawing>
          <wp:inline distT="0" distB="0" distL="0" distR="0" wp14:anchorId="40B65851" wp14:editId="2E66F245">
            <wp:extent cx="4580952" cy="2752381"/>
            <wp:effectExtent l="0" t="0" r="0" b="0"/>
            <wp:docPr id="1373383594"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83594" name="Picture 1" descr="A graph of a function&#10;&#10;Description automatically generated with medium confidence"/>
                    <pic:cNvPicPr/>
                  </pic:nvPicPr>
                  <pic:blipFill>
                    <a:blip r:embed="rId20"/>
                    <a:stretch>
                      <a:fillRect/>
                    </a:stretch>
                  </pic:blipFill>
                  <pic:spPr>
                    <a:xfrm>
                      <a:off x="0" y="0"/>
                      <a:ext cx="4580952" cy="2752381"/>
                    </a:xfrm>
                    <a:prstGeom prst="rect">
                      <a:avLst/>
                    </a:prstGeom>
                  </pic:spPr>
                </pic:pic>
              </a:graphicData>
            </a:graphic>
          </wp:inline>
        </w:drawing>
      </w:r>
    </w:p>
    <w:p w14:paraId="3B49D723" w14:textId="0DC9E82D" w:rsidR="00E76390" w:rsidRPr="00762E07" w:rsidRDefault="00E76390" w:rsidP="0006282A">
      <w:pPr>
        <w:ind w:left="0" w:right="14"/>
        <w:rPr>
          <w:b/>
          <w:bCs/>
          <w:lang w:eastAsia="en-GB"/>
        </w:rPr>
      </w:pPr>
      <w:r>
        <w:rPr>
          <w:lang w:eastAsia="en-GB"/>
        </w:rPr>
        <w:t xml:space="preserve">Figure S1n. Linear and 1/x best fit equations for the relationship between Total N and </w:t>
      </w:r>
      <w:r w:rsidRPr="00E76390">
        <w:rPr>
          <w:vertAlign w:val="superscript"/>
          <w:lang w:eastAsia="en-GB"/>
        </w:rPr>
        <w:t>15</w:t>
      </w:r>
      <w:r>
        <w:rPr>
          <w:lang w:eastAsia="en-GB"/>
        </w:rPr>
        <w:t>N:</w:t>
      </w:r>
      <w:r w:rsidRPr="00E76390">
        <w:rPr>
          <w:vertAlign w:val="superscript"/>
          <w:lang w:eastAsia="en-GB"/>
        </w:rPr>
        <w:t>14</w:t>
      </w:r>
      <w:r>
        <w:rPr>
          <w:lang w:eastAsia="en-GB"/>
        </w:rPr>
        <w:t xml:space="preserve">N ratio </w:t>
      </w:r>
      <w:r w:rsidRPr="00495CBB">
        <w:t>for a North Aegean Sea core sample (SL 152)</w:t>
      </w:r>
      <w:r>
        <w:rPr>
          <w:lang w:eastAsia="en-GB"/>
        </w:rPr>
        <w:t>.</w:t>
      </w:r>
      <w:r w:rsidR="00762E07">
        <w:rPr>
          <w:lang w:eastAsia="en-GB"/>
        </w:rPr>
        <w:t xml:space="preserve"> </w:t>
      </w:r>
      <w:r w:rsidR="00762E07" w:rsidRPr="00495CBB">
        <w:t>Data after Mobius (2013).</w:t>
      </w:r>
    </w:p>
    <w:p w14:paraId="6F147331" w14:textId="3D06DF37" w:rsidR="007A4D06" w:rsidRPr="00495CBB" w:rsidRDefault="007A4D06" w:rsidP="0006282A">
      <w:pPr>
        <w:ind w:left="0" w:right="14"/>
        <w:rPr>
          <w:rFonts w:ascii="Times New Roman" w:hAnsi="Times New Roman" w:cs="Times New Roman"/>
          <w:b/>
          <w:bCs/>
          <w:szCs w:val="24"/>
        </w:rPr>
      </w:pPr>
      <w:r w:rsidRPr="00495CBB">
        <w:rPr>
          <w:rFonts w:ascii="Times New Roman" w:hAnsi="Times New Roman" w:cs="Times New Roman"/>
          <w:noProof/>
          <w:szCs w:val="24"/>
        </w:rPr>
        <w:drawing>
          <wp:inline distT="0" distB="0" distL="0" distR="0" wp14:anchorId="4FD4CC88" wp14:editId="31B751B4">
            <wp:extent cx="4580952" cy="2714286"/>
            <wp:effectExtent l="0" t="0" r="0" b="0"/>
            <wp:docPr id="3673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9162" name=""/>
                    <pic:cNvPicPr/>
                  </pic:nvPicPr>
                  <pic:blipFill>
                    <a:blip r:embed="rId21"/>
                    <a:stretch>
                      <a:fillRect/>
                    </a:stretch>
                  </pic:blipFill>
                  <pic:spPr>
                    <a:xfrm>
                      <a:off x="0" y="0"/>
                      <a:ext cx="4580952" cy="2714286"/>
                    </a:xfrm>
                    <a:prstGeom prst="rect">
                      <a:avLst/>
                    </a:prstGeom>
                  </pic:spPr>
                </pic:pic>
              </a:graphicData>
            </a:graphic>
          </wp:inline>
        </w:drawing>
      </w:r>
    </w:p>
    <w:p w14:paraId="7E940659" w14:textId="4947F42C"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szCs w:val="24"/>
        </w:rPr>
        <w:t xml:space="preserve">Figure </w:t>
      </w:r>
      <w:r w:rsidR="00A26B24">
        <w:rPr>
          <w:rFonts w:ascii="Times New Roman" w:hAnsi="Times New Roman" w:cs="Times New Roman"/>
          <w:szCs w:val="24"/>
        </w:rPr>
        <w:t>S1</w:t>
      </w:r>
      <w:r w:rsidR="00E567AB">
        <w:rPr>
          <w:rFonts w:ascii="Times New Roman" w:hAnsi="Times New Roman" w:cs="Times New Roman"/>
          <w:szCs w:val="24"/>
        </w:rPr>
        <w:t>o</w:t>
      </w:r>
      <w:r w:rsidRPr="00495CBB">
        <w:rPr>
          <w:rFonts w:ascii="Times New Roman" w:hAnsi="Times New Roman" w:cs="Times New Roman"/>
          <w:szCs w:val="24"/>
        </w:rPr>
        <w:t>. The relationship between discrimination factors in</w:t>
      </w:r>
      <w:r w:rsidRPr="00495CBB">
        <w:rPr>
          <w:rFonts w:ascii="Times New Roman" w:hAnsi="Times New Roman" w:cs="Times New Roman"/>
          <w:szCs w:val="24"/>
          <w:vertAlign w:val="superscript"/>
        </w:rPr>
        <w:t xml:space="preserve"> 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ratio units and sediment depth for a North Aegean Sea core sample (SL 152). Discrimination factors were calculated as the difference between </w:t>
      </w:r>
      <w:r w:rsidRPr="00495CBB">
        <w:rPr>
          <w:rFonts w:ascii="Times New Roman" w:hAnsi="Times New Roman" w:cs="Times New Roman"/>
          <w:i/>
          <w:iCs/>
          <w:szCs w:val="24"/>
        </w:rPr>
        <w:t>y</w:t>
      </w:r>
      <w:r w:rsidRPr="00495CBB">
        <w:rPr>
          <w:rFonts w:ascii="Times New Roman" w:hAnsi="Times New Roman" w:cs="Times New Roman"/>
          <w:szCs w:val="24"/>
        </w:rPr>
        <w:t xml:space="preserve">-intercept corrected ratio sources and observed ratios shown in Figure </w:t>
      </w:r>
      <w:r w:rsidR="00A26B24">
        <w:rPr>
          <w:rFonts w:ascii="Times New Roman" w:hAnsi="Times New Roman" w:cs="Times New Roman"/>
          <w:szCs w:val="24"/>
        </w:rPr>
        <w:t>S1</w:t>
      </w:r>
      <w:r w:rsidRPr="00495CBB">
        <w:rPr>
          <w:rFonts w:ascii="Times New Roman" w:hAnsi="Times New Roman" w:cs="Times New Roman"/>
          <w:szCs w:val="24"/>
        </w:rPr>
        <w:t>e.</w:t>
      </w:r>
      <w:r w:rsidR="003671D9">
        <w:rPr>
          <w:rFonts w:ascii="Times New Roman" w:hAnsi="Times New Roman" w:cs="Times New Roman"/>
          <w:szCs w:val="24"/>
        </w:rPr>
        <w:t xml:space="preserve"> The pattern is an exact match to the total N with depth pattern presented in Figure S1c.</w:t>
      </w:r>
      <w:r w:rsidRPr="00495CBB">
        <w:rPr>
          <w:rFonts w:ascii="Times New Roman" w:hAnsi="Times New Roman" w:cs="Times New Roman"/>
          <w:szCs w:val="24"/>
        </w:rPr>
        <w:t xml:space="preserve"> Data after Mobius (2013).</w:t>
      </w:r>
    </w:p>
    <w:p w14:paraId="409A3F90" w14:textId="77777777" w:rsidR="007A4D06" w:rsidRPr="00495CBB" w:rsidRDefault="007A4D06" w:rsidP="0006282A">
      <w:pPr>
        <w:ind w:left="0" w:right="14"/>
        <w:rPr>
          <w:rFonts w:ascii="Times New Roman" w:hAnsi="Times New Roman" w:cs="Times New Roman"/>
          <w:noProof/>
          <w:szCs w:val="24"/>
        </w:rPr>
      </w:pPr>
      <w:r w:rsidRPr="00495CBB">
        <w:rPr>
          <w:rFonts w:ascii="Times New Roman" w:hAnsi="Times New Roman" w:cs="Times New Roman"/>
          <w:b/>
          <w:bCs/>
          <w:szCs w:val="24"/>
        </w:rPr>
        <w:lastRenderedPageBreak/>
        <w:t>4.2 Study 2) Different C levels Confound the Interpretation of Isotopic Fractionation in Soils</w:t>
      </w:r>
    </w:p>
    <w:p w14:paraId="78854769" w14:textId="7A1E926A"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szCs w:val="24"/>
        </w:rPr>
        <w:t xml:space="preserve">Figure </w:t>
      </w:r>
      <w:r w:rsidR="00A26B24">
        <w:rPr>
          <w:rFonts w:ascii="Times New Roman" w:hAnsi="Times New Roman" w:cs="Times New Roman"/>
          <w:szCs w:val="24"/>
        </w:rPr>
        <w:t>S1</w:t>
      </w:r>
      <w:r w:rsidRPr="00495CBB">
        <w:rPr>
          <w:rFonts w:ascii="Times New Roman" w:hAnsi="Times New Roman" w:cs="Times New Roman"/>
          <w:szCs w:val="24"/>
        </w:rPr>
        <w:t xml:space="preserve">e </w:t>
      </w:r>
      <w:r w:rsidR="009A2971">
        <w:rPr>
          <w:rFonts w:ascii="Times New Roman" w:hAnsi="Times New Roman" w:cs="Times New Roman"/>
          <w:szCs w:val="24"/>
        </w:rPr>
        <w:t>for</w:t>
      </w:r>
      <w:r w:rsidRPr="00495CBB">
        <w:rPr>
          <w:rFonts w:ascii="Times New Roman" w:hAnsi="Times New Roman" w:cs="Times New Roman"/>
          <w:szCs w:val="24"/>
        </w:rPr>
        <w:t xml:space="preserve"> the Mobius </w:t>
      </w:r>
      <w:r w:rsidR="009A2971">
        <w:rPr>
          <w:rFonts w:ascii="Times New Roman" w:hAnsi="Times New Roman" w:cs="Times New Roman"/>
          <w:szCs w:val="24"/>
        </w:rPr>
        <w:t xml:space="preserve">(2023) </w:t>
      </w:r>
      <w:r w:rsidRPr="00495CBB">
        <w:rPr>
          <w:rFonts w:ascii="Times New Roman" w:hAnsi="Times New Roman" w:cs="Times New Roman"/>
          <w:szCs w:val="24"/>
        </w:rPr>
        <w:t xml:space="preserve">fractionation re-evaluation study presents a very different mechanism than what is generally accepted for how older more decayed sediments become relatively more enriched in </w:t>
      </w:r>
      <w:r w:rsidRPr="00495CBB">
        <w:rPr>
          <w:rFonts w:ascii="Times New Roman" w:hAnsi="Times New Roman" w:cs="Times New Roman"/>
          <w:szCs w:val="24"/>
          <w:vertAlign w:val="superscript"/>
        </w:rPr>
        <w:t>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than younger sediments. Rather than constant fractionation factors causing decaying substrate to become more enriched in </w:t>
      </w:r>
      <w:r w:rsidRPr="00495CBB">
        <w:rPr>
          <w:rFonts w:ascii="Times New Roman" w:hAnsi="Times New Roman" w:cs="Times New Roman"/>
          <w:szCs w:val="24"/>
          <w:vertAlign w:val="superscript"/>
        </w:rPr>
        <w:t>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while </w:t>
      </w:r>
      <w:r w:rsidR="00C75B57">
        <w:rPr>
          <w:rFonts w:ascii="Times New Roman" w:hAnsi="Times New Roman" w:cs="Times New Roman"/>
          <w:szCs w:val="24"/>
        </w:rPr>
        <w:t xml:space="preserve">various amounts of </w:t>
      </w:r>
      <w:r w:rsidRPr="00495CBB">
        <w:rPr>
          <w:rFonts w:ascii="Times New Roman" w:hAnsi="Times New Roman" w:cs="Times New Roman"/>
          <w:szCs w:val="24"/>
        </w:rPr>
        <w:t>relatively depleted NH</w:t>
      </w:r>
      <w:r w:rsidRPr="00495CBB">
        <w:rPr>
          <w:rFonts w:ascii="Times New Roman" w:hAnsi="Times New Roman" w:cs="Times New Roman"/>
          <w:szCs w:val="24"/>
          <w:vertAlign w:val="subscript"/>
        </w:rPr>
        <w:t>4</w:t>
      </w:r>
      <w:r w:rsidRPr="00495CBB">
        <w:rPr>
          <w:rFonts w:ascii="Times New Roman" w:hAnsi="Times New Roman" w:cs="Times New Roman"/>
          <w:szCs w:val="24"/>
          <w:vertAlign w:val="superscript"/>
        </w:rPr>
        <w:t>+</w:t>
      </w:r>
      <w:r w:rsidRPr="00495CBB">
        <w:rPr>
          <w:rFonts w:ascii="Times New Roman" w:hAnsi="Times New Roman" w:cs="Times New Roman"/>
          <w:szCs w:val="24"/>
        </w:rPr>
        <w:t xml:space="preserve"> is released during decay, Figure </w:t>
      </w:r>
      <w:r w:rsidR="00A26B24">
        <w:rPr>
          <w:rFonts w:ascii="Times New Roman" w:hAnsi="Times New Roman" w:cs="Times New Roman"/>
          <w:szCs w:val="24"/>
        </w:rPr>
        <w:t>S1</w:t>
      </w:r>
      <w:r w:rsidRPr="00495CBB">
        <w:rPr>
          <w:rFonts w:ascii="Times New Roman" w:hAnsi="Times New Roman" w:cs="Times New Roman"/>
          <w:szCs w:val="24"/>
        </w:rPr>
        <w:t xml:space="preserve">e </w:t>
      </w:r>
      <w:r w:rsidR="00C75B57">
        <w:rPr>
          <w:rFonts w:ascii="Times New Roman" w:hAnsi="Times New Roman" w:cs="Times New Roman"/>
          <w:szCs w:val="24"/>
        </w:rPr>
        <w:t>suggests that, for the Aegean Sea sediments,</w:t>
      </w:r>
      <w:r w:rsidRPr="00495CBB">
        <w:rPr>
          <w:rFonts w:ascii="Times New Roman" w:hAnsi="Times New Roman" w:cs="Times New Roman"/>
          <w:szCs w:val="24"/>
        </w:rPr>
        <w:t xml:space="preserve"> NH</w:t>
      </w:r>
      <w:r w:rsidRPr="00495CBB">
        <w:rPr>
          <w:rFonts w:ascii="Times New Roman" w:hAnsi="Times New Roman" w:cs="Times New Roman"/>
          <w:szCs w:val="24"/>
          <w:vertAlign w:val="subscript"/>
        </w:rPr>
        <w:t>4</w:t>
      </w:r>
      <w:r w:rsidRPr="00495CBB">
        <w:rPr>
          <w:rFonts w:ascii="Times New Roman" w:hAnsi="Times New Roman" w:cs="Times New Roman"/>
          <w:szCs w:val="24"/>
          <w:vertAlign w:val="superscript"/>
        </w:rPr>
        <w:t>+</w:t>
      </w:r>
      <w:r w:rsidRPr="00495CBB">
        <w:rPr>
          <w:rFonts w:ascii="Times New Roman" w:hAnsi="Times New Roman" w:cs="Times New Roman"/>
          <w:szCs w:val="24"/>
        </w:rPr>
        <w:t xml:space="preserve"> </w:t>
      </w:r>
      <w:r w:rsidR="0008486E">
        <w:rPr>
          <w:rFonts w:ascii="Times New Roman" w:hAnsi="Times New Roman" w:cs="Times New Roman"/>
          <w:szCs w:val="24"/>
        </w:rPr>
        <w:t>released during decay has</w:t>
      </w:r>
      <w:r w:rsidRPr="00495CBB">
        <w:rPr>
          <w:rFonts w:ascii="Times New Roman" w:hAnsi="Times New Roman" w:cs="Times New Roman"/>
          <w:szCs w:val="24"/>
        </w:rPr>
        <w:t xml:space="preserve"> a constant depleted </w:t>
      </w:r>
      <w:r w:rsidRPr="00495CBB">
        <w:rPr>
          <w:rFonts w:ascii="Times New Roman" w:hAnsi="Times New Roman" w:cs="Times New Roman"/>
          <w:szCs w:val="24"/>
          <w:vertAlign w:val="superscript"/>
        </w:rPr>
        <w:t>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ratio regardless of substrate </w:t>
      </w:r>
      <w:r w:rsidRPr="00495CBB">
        <w:rPr>
          <w:rFonts w:ascii="Times New Roman" w:hAnsi="Times New Roman" w:cs="Times New Roman"/>
          <w:szCs w:val="24"/>
          <w:vertAlign w:val="superscript"/>
        </w:rPr>
        <w:t>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ratio. </w:t>
      </w:r>
      <w:r w:rsidR="0008486E">
        <w:rPr>
          <w:rFonts w:ascii="Times New Roman" w:hAnsi="Times New Roman" w:cs="Times New Roman"/>
          <w:szCs w:val="24"/>
        </w:rPr>
        <w:t xml:space="preserve">There is not a constant difference between substrate and product </w:t>
      </w:r>
      <w:r w:rsidR="0008486E" w:rsidRPr="0008486E">
        <w:rPr>
          <w:rFonts w:ascii="Times New Roman" w:hAnsi="Times New Roman" w:cs="Times New Roman"/>
          <w:szCs w:val="24"/>
          <w:vertAlign w:val="superscript"/>
        </w:rPr>
        <w:t>15</w:t>
      </w:r>
      <w:r w:rsidR="0008486E">
        <w:rPr>
          <w:rFonts w:ascii="Times New Roman" w:hAnsi="Times New Roman" w:cs="Times New Roman"/>
          <w:szCs w:val="24"/>
        </w:rPr>
        <w:t>N:</w:t>
      </w:r>
      <w:r w:rsidR="0008486E" w:rsidRPr="0008486E">
        <w:rPr>
          <w:rFonts w:ascii="Times New Roman" w:hAnsi="Times New Roman" w:cs="Times New Roman"/>
          <w:szCs w:val="24"/>
          <w:vertAlign w:val="superscript"/>
        </w:rPr>
        <w:t>14</w:t>
      </w:r>
      <w:r w:rsidR="0008486E">
        <w:rPr>
          <w:rFonts w:ascii="Times New Roman" w:hAnsi="Times New Roman" w:cs="Times New Roman"/>
          <w:szCs w:val="24"/>
        </w:rPr>
        <w:t>N ratios caused by microbial preference for the light (</w:t>
      </w:r>
      <w:r w:rsidR="0008486E" w:rsidRPr="0008486E">
        <w:rPr>
          <w:rFonts w:ascii="Times New Roman" w:hAnsi="Times New Roman" w:cs="Times New Roman"/>
          <w:szCs w:val="24"/>
          <w:vertAlign w:val="superscript"/>
        </w:rPr>
        <w:t>14</w:t>
      </w:r>
      <w:r w:rsidR="0008486E">
        <w:rPr>
          <w:rFonts w:ascii="Times New Roman" w:hAnsi="Times New Roman" w:cs="Times New Roman"/>
          <w:szCs w:val="24"/>
        </w:rPr>
        <w:t xml:space="preserve">N) isotope. </w:t>
      </w:r>
      <w:r w:rsidRPr="00495CBB">
        <w:rPr>
          <w:rFonts w:ascii="Times New Roman" w:hAnsi="Times New Roman" w:cs="Times New Roman"/>
          <w:szCs w:val="24"/>
        </w:rPr>
        <w:t xml:space="preserve">The same argument could apply to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C ratios in soils.</w:t>
      </w:r>
    </w:p>
    <w:p w14:paraId="2C11731E" w14:textId="6BC9B084" w:rsidR="007A4D06" w:rsidRPr="00495CBB" w:rsidRDefault="007A4D06" w:rsidP="0006282A">
      <w:pPr>
        <w:ind w:left="0" w:right="14" w:firstLine="720"/>
        <w:rPr>
          <w:rFonts w:ascii="Times New Roman" w:hAnsi="Times New Roman" w:cs="Times New Roman"/>
          <w:szCs w:val="24"/>
        </w:rPr>
      </w:pPr>
      <w:r w:rsidRPr="00495CBB">
        <w:rPr>
          <w:rFonts w:ascii="Times New Roman" w:hAnsi="Times New Roman" w:cs="Times New Roman"/>
          <w:szCs w:val="24"/>
        </w:rPr>
        <w:t>Wang et al. (2015) studied carbon isotope fractionation in soil profiles from 27 different sites on the south-eastern side of the Tibetan Plateau. They point out that understanding carbon fractionation is crucial in modelling global carbon cycling. Sixty of 75 soil profiles with trends of decreasing C concentration and increasing ð</w:t>
      </w:r>
      <w:r w:rsidRPr="00495CBB">
        <w:rPr>
          <w:rFonts w:ascii="Times New Roman" w:hAnsi="Times New Roman" w:cs="Times New Roman"/>
          <w:szCs w:val="24"/>
          <w:vertAlign w:val="superscript"/>
        </w:rPr>
        <w:t>13</w:t>
      </w:r>
      <w:r w:rsidRPr="00495CBB">
        <w:rPr>
          <w:rFonts w:ascii="Times New Roman" w:hAnsi="Times New Roman" w:cs="Times New Roman"/>
          <w:szCs w:val="24"/>
        </w:rPr>
        <w:t xml:space="preserve">C with soil depth were evaluated. An example is presented in Figure </w:t>
      </w:r>
      <w:r w:rsidR="00647AE5">
        <w:rPr>
          <w:rFonts w:ascii="Times New Roman" w:hAnsi="Times New Roman" w:cs="Times New Roman"/>
          <w:szCs w:val="24"/>
        </w:rPr>
        <w:t>S2</w:t>
      </w:r>
      <w:r w:rsidRPr="00495CBB">
        <w:rPr>
          <w:rFonts w:ascii="Times New Roman" w:hAnsi="Times New Roman" w:cs="Times New Roman"/>
          <w:szCs w:val="24"/>
        </w:rPr>
        <w:t xml:space="preserve">a. The </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C derived ages of soil C generally increase with soil depth as C concentration decreases and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 xml:space="preserve">C ratios become more enriched (Liu et al. 2020), presumably caused by discrimination against the </w:t>
      </w:r>
      <w:r w:rsidRPr="00495CBB">
        <w:rPr>
          <w:rFonts w:ascii="Times New Roman" w:hAnsi="Times New Roman" w:cs="Times New Roman"/>
          <w:szCs w:val="24"/>
          <w:vertAlign w:val="superscript"/>
        </w:rPr>
        <w:t>13</w:t>
      </w:r>
      <w:r w:rsidRPr="00495CBB">
        <w:rPr>
          <w:rFonts w:ascii="Times New Roman" w:hAnsi="Times New Roman" w:cs="Times New Roman"/>
          <w:szCs w:val="24"/>
        </w:rPr>
        <w:t>C isotope (</w:t>
      </w:r>
      <w:r w:rsidRPr="00495CBB">
        <w:rPr>
          <w:rFonts w:ascii="Times New Roman" w:hAnsi="Times New Roman" w:cs="Times New Roman"/>
          <w:szCs w:val="24"/>
          <w:vertAlign w:val="superscript"/>
        </w:rPr>
        <w:t>13</w:t>
      </w:r>
      <w:r w:rsidRPr="00495CBB">
        <w:rPr>
          <w:rFonts w:ascii="Times New Roman" w:hAnsi="Times New Roman" w:cs="Times New Roman"/>
          <w:szCs w:val="24"/>
        </w:rPr>
        <w:t>C left behind).</w:t>
      </w:r>
    </w:p>
    <w:p w14:paraId="7B4562DE" w14:textId="04DEBD7F" w:rsidR="001B1A81" w:rsidRDefault="009A2971" w:rsidP="009A2971">
      <w:pPr>
        <w:ind w:left="0" w:right="14"/>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sidR="00A9074B" w:rsidRPr="00495CBB">
        <w:rPr>
          <w:rFonts w:ascii="Times New Roman" w:hAnsi="Times New Roman" w:cs="Times New Roman"/>
          <w:szCs w:val="24"/>
        </w:rPr>
        <w:t xml:space="preserve">Data from the first five depths (organic matter almost disappears at depths &gt; 40 cm) were digitally extracted from Figure </w:t>
      </w:r>
      <w:r w:rsidR="00647AE5">
        <w:rPr>
          <w:rFonts w:ascii="Times New Roman" w:hAnsi="Times New Roman" w:cs="Times New Roman"/>
          <w:szCs w:val="24"/>
        </w:rPr>
        <w:t>S2</w:t>
      </w:r>
      <w:r w:rsidR="00A9074B" w:rsidRPr="00495CBB">
        <w:rPr>
          <w:rFonts w:ascii="Times New Roman" w:hAnsi="Times New Roman" w:cs="Times New Roman"/>
          <w:szCs w:val="24"/>
        </w:rPr>
        <w:t xml:space="preserve">a and appear in Table </w:t>
      </w:r>
      <w:r w:rsidR="00647AE5">
        <w:rPr>
          <w:rFonts w:ascii="Times New Roman" w:hAnsi="Times New Roman" w:cs="Times New Roman"/>
          <w:szCs w:val="24"/>
        </w:rPr>
        <w:t>S</w:t>
      </w:r>
      <w:r w:rsidR="00A9074B" w:rsidRPr="00495CBB">
        <w:rPr>
          <w:rFonts w:ascii="Times New Roman" w:hAnsi="Times New Roman" w:cs="Times New Roman"/>
          <w:szCs w:val="24"/>
        </w:rPr>
        <w:t>1. Also presented are the necessary data needed to conduct loss analyses derived from the original organic carbon concentration and ð</w:t>
      </w:r>
      <w:r w:rsidR="00A9074B" w:rsidRPr="00495CBB">
        <w:rPr>
          <w:rFonts w:ascii="Times New Roman" w:hAnsi="Times New Roman" w:cs="Times New Roman"/>
          <w:szCs w:val="24"/>
          <w:vertAlign w:val="superscript"/>
        </w:rPr>
        <w:t>13</w:t>
      </w:r>
      <w:r w:rsidR="00A9074B" w:rsidRPr="00495CBB">
        <w:rPr>
          <w:rFonts w:ascii="Times New Roman" w:hAnsi="Times New Roman" w:cs="Times New Roman"/>
          <w:szCs w:val="24"/>
        </w:rPr>
        <w:t xml:space="preserve">C values. This small dataset is sufficient to demonstrate the principles involved and all data can be </w:t>
      </w:r>
      <w:r w:rsidR="00F467BE">
        <w:rPr>
          <w:rFonts w:ascii="Times New Roman" w:hAnsi="Times New Roman" w:cs="Times New Roman"/>
          <w:szCs w:val="24"/>
        </w:rPr>
        <w:t xml:space="preserve">easily </w:t>
      </w:r>
      <w:r w:rsidR="00A9074B" w:rsidRPr="00495CBB">
        <w:rPr>
          <w:rFonts w:ascii="Times New Roman" w:hAnsi="Times New Roman" w:cs="Times New Roman"/>
          <w:szCs w:val="24"/>
        </w:rPr>
        <w:t xml:space="preserve">recalculated should the reader wish to check the accuracy of the values. Also shown in Table </w:t>
      </w:r>
      <w:r w:rsidR="00F277C5">
        <w:rPr>
          <w:rFonts w:ascii="Times New Roman" w:hAnsi="Times New Roman" w:cs="Times New Roman"/>
          <w:szCs w:val="24"/>
        </w:rPr>
        <w:t>S</w:t>
      </w:r>
      <w:r w:rsidR="00A9074B" w:rsidRPr="00495CBB">
        <w:rPr>
          <w:rFonts w:ascii="Times New Roman" w:hAnsi="Times New Roman" w:cs="Times New Roman"/>
          <w:szCs w:val="24"/>
        </w:rPr>
        <w:t xml:space="preserve">1 are regression equations between various columns that are necessary to produce the source (or in this case loss analyses) summarized in Figure </w:t>
      </w:r>
      <w:r w:rsidR="00647AE5">
        <w:rPr>
          <w:rFonts w:ascii="Times New Roman" w:hAnsi="Times New Roman" w:cs="Times New Roman"/>
          <w:szCs w:val="24"/>
        </w:rPr>
        <w:t>S2</w:t>
      </w:r>
      <w:r w:rsidR="00A9074B" w:rsidRPr="00495CBB">
        <w:rPr>
          <w:rFonts w:ascii="Times New Roman" w:hAnsi="Times New Roman" w:cs="Times New Roman"/>
          <w:szCs w:val="24"/>
        </w:rPr>
        <w:t>b.</w:t>
      </w:r>
    </w:p>
    <w:p w14:paraId="347A15FF" w14:textId="57C67425" w:rsidR="007A4D06" w:rsidRPr="009A2971" w:rsidRDefault="001B1A81" w:rsidP="009A2971">
      <w:pPr>
        <w:ind w:left="0" w:right="14"/>
        <w:rPr>
          <w:rFonts w:ascii="Times New Roman" w:hAnsi="Times New Roman" w:cs="Times New Roman"/>
          <w:szCs w:val="24"/>
        </w:rPr>
      </w:pPr>
      <w:r>
        <w:rPr>
          <w:rFonts w:ascii="Times New Roman" w:hAnsi="Times New Roman" w:cs="Times New Roman"/>
          <w:szCs w:val="24"/>
        </w:rPr>
        <w:lastRenderedPageBreak/>
        <w:tab/>
      </w:r>
      <w:r>
        <w:rPr>
          <w:rFonts w:ascii="Times New Roman" w:hAnsi="Times New Roman" w:cs="Times New Roman"/>
          <w:szCs w:val="24"/>
        </w:rPr>
        <w:tab/>
      </w:r>
      <w:r w:rsidR="00A9074B" w:rsidRPr="00495CBB">
        <w:rPr>
          <w:rFonts w:ascii="Times New Roman" w:hAnsi="Times New Roman" w:cs="Times New Roman"/>
          <w:szCs w:val="24"/>
        </w:rPr>
        <w:t xml:space="preserve">Five different estimates of how losses change with soil depth are presented in Figure </w:t>
      </w:r>
      <w:r w:rsidR="00647AE5">
        <w:rPr>
          <w:rFonts w:ascii="Times New Roman" w:hAnsi="Times New Roman" w:cs="Times New Roman"/>
          <w:szCs w:val="24"/>
        </w:rPr>
        <w:t>S2</w:t>
      </w:r>
      <w:r w:rsidR="00A9074B" w:rsidRPr="00495CBB">
        <w:rPr>
          <w:rFonts w:ascii="Times New Roman" w:hAnsi="Times New Roman" w:cs="Times New Roman"/>
          <w:szCs w:val="24"/>
        </w:rPr>
        <w:t xml:space="preserve">b. Estimates are the </w:t>
      </w:r>
      <w:r w:rsidR="00A9074B" w:rsidRPr="00495CBB">
        <w:rPr>
          <w:rFonts w:ascii="Times New Roman" w:hAnsi="Times New Roman" w:cs="Times New Roman"/>
          <w:szCs w:val="24"/>
          <w:vertAlign w:val="superscript"/>
        </w:rPr>
        <w:t>12</w:t>
      </w:r>
      <w:r w:rsidR="00A9074B" w:rsidRPr="00495CBB">
        <w:rPr>
          <w:rFonts w:ascii="Times New Roman" w:hAnsi="Times New Roman" w:cs="Times New Roman"/>
          <w:szCs w:val="24"/>
        </w:rPr>
        <w:t xml:space="preserve">C vs. </w:t>
      </w:r>
      <w:r w:rsidR="00A9074B" w:rsidRPr="00495CBB">
        <w:rPr>
          <w:rFonts w:ascii="Times New Roman" w:hAnsi="Times New Roman" w:cs="Times New Roman"/>
          <w:szCs w:val="24"/>
          <w:vertAlign w:val="superscript"/>
        </w:rPr>
        <w:t>13</w:t>
      </w:r>
      <w:r w:rsidR="00A9074B" w:rsidRPr="00495CBB">
        <w:rPr>
          <w:rFonts w:ascii="Times New Roman" w:hAnsi="Times New Roman" w:cs="Times New Roman"/>
          <w:szCs w:val="24"/>
        </w:rPr>
        <w:t xml:space="preserve">C slope; </w:t>
      </w:r>
      <w:r w:rsidR="00A9074B" w:rsidRPr="00495CBB">
        <w:rPr>
          <w:rFonts w:ascii="Times New Roman" w:hAnsi="Times New Roman" w:cs="Times New Roman"/>
          <w:i/>
          <w:iCs/>
          <w:szCs w:val="24"/>
        </w:rPr>
        <w:t>y</w:t>
      </w:r>
      <w:r w:rsidR="00A9074B" w:rsidRPr="00495CBB">
        <w:rPr>
          <w:rFonts w:ascii="Times New Roman" w:hAnsi="Times New Roman" w:cs="Times New Roman"/>
          <w:szCs w:val="24"/>
        </w:rPr>
        <w:t>-intercept corrected ratios; both traditional 1/C (mg/g</w:t>
      </w:r>
      <w:r w:rsidR="00B150D3" w:rsidRPr="00B150D3">
        <w:rPr>
          <w:rFonts w:ascii="Times New Roman" w:hAnsi="Times New Roman" w:cs="Times New Roman"/>
          <w:szCs w:val="24"/>
        </w:rPr>
        <w:t xml:space="preserve"> </w:t>
      </w:r>
      <w:r w:rsidR="00B150D3" w:rsidRPr="00495CBB">
        <w:rPr>
          <w:rFonts w:ascii="Times New Roman" w:hAnsi="Times New Roman" w:cs="Times New Roman"/>
          <w:szCs w:val="24"/>
        </w:rPr>
        <w:t>units) and 1/</w:t>
      </w:r>
      <w:r w:rsidR="00B150D3" w:rsidRPr="00495CBB">
        <w:rPr>
          <w:rFonts w:ascii="Times New Roman" w:hAnsi="Times New Roman" w:cs="Times New Roman"/>
          <w:szCs w:val="24"/>
          <w:vertAlign w:val="superscript"/>
        </w:rPr>
        <w:t>12</w:t>
      </w:r>
      <w:r w:rsidR="00B150D3" w:rsidRPr="00495CBB">
        <w:rPr>
          <w:rFonts w:ascii="Times New Roman" w:hAnsi="Times New Roman" w:cs="Times New Roman"/>
          <w:szCs w:val="24"/>
        </w:rPr>
        <w:t xml:space="preserve">C (mmole/g units) mixing lines; and spline </w:t>
      </w:r>
      <w:r w:rsidR="009A2971" w:rsidRPr="00495CBB">
        <w:rPr>
          <w:rFonts w:ascii="Times New Roman" w:hAnsi="Times New Roman" w:cs="Times New Roman"/>
          <w:szCs w:val="24"/>
        </w:rPr>
        <w:t xml:space="preserve">smoothed cubic derivatives of the </w:t>
      </w:r>
      <w:r w:rsidR="009A2971" w:rsidRPr="00495CBB">
        <w:rPr>
          <w:rFonts w:ascii="Times New Roman" w:hAnsi="Times New Roman" w:cs="Times New Roman"/>
          <w:szCs w:val="24"/>
          <w:vertAlign w:val="superscript"/>
        </w:rPr>
        <w:t>12</w:t>
      </w:r>
      <w:r w:rsidR="009A2971" w:rsidRPr="00495CBB">
        <w:rPr>
          <w:rFonts w:ascii="Times New Roman" w:hAnsi="Times New Roman" w:cs="Times New Roman"/>
          <w:szCs w:val="24"/>
        </w:rPr>
        <w:t xml:space="preserve">C vs. </w:t>
      </w:r>
      <w:r w:rsidR="009A2971" w:rsidRPr="00495CBB">
        <w:rPr>
          <w:rFonts w:ascii="Times New Roman" w:hAnsi="Times New Roman" w:cs="Times New Roman"/>
          <w:szCs w:val="24"/>
          <w:vertAlign w:val="superscript"/>
        </w:rPr>
        <w:t>13</w:t>
      </w:r>
      <w:r w:rsidR="009A2971" w:rsidRPr="00495CBB">
        <w:rPr>
          <w:rFonts w:ascii="Times New Roman" w:hAnsi="Times New Roman" w:cs="Times New Roman"/>
          <w:szCs w:val="24"/>
        </w:rPr>
        <w:t>C relationship.</w:t>
      </w:r>
      <w:r w:rsidR="009A2971">
        <w:rPr>
          <w:rFonts w:ascii="Times New Roman" w:hAnsi="Times New Roman" w:cs="Times New Roman"/>
          <w:szCs w:val="24"/>
        </w:rPr>
        <w:t xml:space="preserve"> </w:t>
      </w:r>
      <w:r w:rsidR="009A2971" w:rsidRPr="00495CBB">
        <w:rPr>
          <w:rFonts w:ascii="Times New Roman" w:hAnsi="Times New Roman" w:cs="Times New Roman"/>
          <w:szCs w:val="24"/>
        </w:rPr>
        <w:t xml:space="preserve">All but the derivative source estimates </w:t>
      </w:r>
      <w:r w:rsidR="00F33B29">
        <w:rPr>
          <w:rFonts w:ascii="Times New Roman" w:hAnsi="Times New Roman" w:cs="Times New Roman"/>
          <w:szCs w:val="24"/>
        </w:rPr>
        <w:t xml:space="preserve">closely agree with </w:t>
      </w:r>
      <w:r w:rsidR="009A2971" w:rsidRPr="00495CBB">
        <w:rPr>
          <w:rFonts w:ascii="Times New Roman" w:hAnsi="Times New Roman" w:cs="Times New Roman"/>
          <w:szCs w:val="24"/>
        </w:rPr>
        <w:t xml:space="preserve">the observed values for the surface leaf litter at depth zero. This is consistent with rapid turnover with similar input and loss </w:t>
      </w:r>
      <w:r w:rsidR="009A2971" w:rsidRPr="00495CBB">
        <w:rPr>
          <w:rFonts w:ascii="Times New Roman" w:hAnsi="Times New Roman" w:cs="Times New Roman"/>
          <w:szCs w:val="24"/>
          <w:vertAlign w:val="superscript"/>
        </w:rPr>
        <w:t>13</w:t>
      </w:r>
      <w:r w:rsidR="009A2971" w:rsidRPr="00495CBB">
        <w:rPr>
          <w:rFonts w:ascii="Times New Roman" w:hAnsi="Times New Roman" w:cs="Times New Roman"/>
          <w:szCs w:val="24"/>
        </w:rPr>
        <w:t>C:</w:t>
      </w:r>
      <w:r w:rsidR="009A2971" w:rsidRPr="00495CBB">
        <w:rPr>
          <w:rFonts w:ascii="Times New Roman" w:hAnsi="Times New Roman" w:cs="Times New Roman"/>
          <w:szCs w:val="24"/>
          <w:vertAlign w:val="superscript"/>
        </w:rPr>
        <w:t>12</w:t>
      </w:r>
      <w:r w:rsidR="009A2971" w:rsidRPr="00495CBB">
        <w:rPr>
          <w:rFonts w:ascii="Times New Roman" w:hAnsi="Times New Roman" w:cs="Times New Roman"/>
          <w:szCs w:val="24"/>
        </w:rPr>
        <w:t>C ratio. The traditional 1/C concentration vs. ð</w:t>
      </w:r>
      <w:r w:rsidR="009A2971" w:rsidRPr="00495CBB">
        <w:rPr>
          <w:rFonts w:ascii="Times New Roman" w:hAnsi="Times New Roman" w:cs="Times New Roman"/>
          <w:szCs w:val="24"/>
          <w:vertAlign w:val="superscript"/>
        </w:rPr>
        <w:t>13</w:t>
      </w:r>
      <w:r w:rsidR="009A2971" w:rsidRPr="00495CBB">
        <w:rPr>
          <w:rFonts w:ascii="Times New Roman" w:hAnsi="Times New Roman" w:cs="Times New Roman"/>
          <w:szCs w:val="24"/>
        </w:rPr>
        <w:t xml:space="preserve">C </w:t>
      </w:r>
      <w:r w:rsidR="009A2971" w:rsidRPr="00495CBB">
        <w:rPr>
          <w:rFonts w:ascii="Times New Roman" w:hAnsi="Times New Roman" w:cs="Times New Roman"/>
          <w:i/>
          <w:iCs/>
          <w:szCs w:val="24"/>
        </w:rPr>
        <w:t>y</w:t>
      </w:r>
      <w:r w:rsidR="009A2971" w:rsidRPr="00495CBB">
        <w:rPr>
          <w:rFonts w:ascii="Times New Roman" w:hAnsi="Times New Roman" w:cs="Times New Roman"/>
          <w:szCs w:val="24"/>
        </w:rPr>
        <w:t>-intercept value for respired CO</w:t>
      </w:r>
      <w:r w:rsidR="009A2971" w:rsidRPr="00495CBB">
        <w:rPr>
          <w:rFonts w:ascii="Times New Roman" w:hAnsi="Times New Roman" w:cs="Times New Roman"/>
          <w:szCs w:val="24"/>
          <w:vertAlign w:val="subscript"/>
        </w:rPr>
        <w:t>2</w:t>
      </w:r>
      <w:r w:rsidR="009A2971" w:rsidRPr="00495CBB">
        <w:rPr>
          <w:rFonts w:ascii="Times New Roman" w:hAnsi="Times New Roman" w:cs="Times New Roman"/>
          <w:szCs w:val="24"/>
        </w:rPr>
        <w:t xml:space="preserve"> </w:t>
      </w:r>
      <w:r w:rsidR="00B80828" w:rsidRPr="00495CBB">
        <w:rPr>
          <w:rFonts w:ascii="Times New Roman" w:hAnsi="Times New Roman" w:cs="Times New Roman"/>
          <w:szCs w:val="24"/>
        </w:rPr>
        <w:t>(ð</w:t>
      </w:r>
      <w:r w:rsidR="00B80828" w:rsidRPr="00495CBB">
        <w:rPr>
          <w:rFonts w:ascii="Times New Roman" w:hAnsi="Times New Roman" w:cs="Times New Roman"/>
          <w:szCs w:val="24"/>
          <w:vertAlign w:val="superscript"/>
        </w:rPr>
        <w:t>13</w:t>
      </w:r>
      <w:r w:rsidR="00B80828" w:rsidRPr="00495CBB">
        <w:rPr>
          <w:rFonts w:ascii="Times New Roman" w:hAnsi="Times New Roman" w:cs="Times New Roman"/>
          <w:szCs w:val="24"/>
        </w:rPr>
        <w:t xml:space="preserve">C value of </w:t>
      </w:r>
      <w:r w:rsidR="00B80828">
        <w:rPr>
          <w:rFonts w:ascii="Times New Roman" w:hAnsi="Times New Roman" w:cs="Times New Roman"/>
          <w:szCs w:val="24"/>
        </w:rPr>
        <w:t xml:space="preserve">~ </w:t>
      </w:r>
      <w:r w:rsidR="00B80828" w:rsidRPr="00495CBB">
        <w:rPr>
          <w:rFonts w:ascii="Times New Roman" w:hAnsi="Times New Roman" w:cs="Times New Roman"/>
          <w:szCs w:val="24"/>
        </w:rPr>
        <w:t>-27</w:t>
      </w:r>
      <w:r w:rsidR="00B80828">
        <w:rPr>
          <w:rFonts w:ascii="Times New Roman" w:hAnsi="Times New Roman" w:cs="Times New Roman"/>
          <w:szCs w:val="24"/>
        </w:rPr>
        <w:t xml:space="preserve"> </w:t>
      </w:r>
      <w:r w:rsidR="00B80828" w:rsidRPr="00495CBB">
        <w:rPr>
          <w:rFonts w:ascii="Times New Roman" w:hAnsi="Times New Roman" w:cs="Times New Roman"/>
          <w:szCs w:val="24"/>
        </w:rPr>
        <w:t xml:space="preserve">corresponds to a </w:t>
      </w:r>
      <w:r w:rsidR="00B80828" w:rsidRPr="00495CBB">
        <w:rPr>
          <w:rFonts w:ascii="Times New Roman" w:hAnsi="Times New Roman" w:cs="Times New Roman"/>
          <w:szCs w:val="24"/>
          <w:vertAlign w:val="superscript"/>
        </w:rPr>
        <w:t>13</w:t>
      </w:r>
      <w:r w:rsidR="00B80828" w:rsidRPr="00495CBB">
        <w:rPr>
          <w:rFonts w:ascii="Times New Roman" w:hAnsi="Times New Roman" w:cs="Times New Roman"/>
          <w:szCs w:val="24"/>
        </w:rPr>
        <w:t>C:</w:t>
      </w:r>
      <w:r w:rsidR="00B80828" w:rsidRPr="00495CBB">
        <w:rPr>
          <w:rFonts w:ascii="Times New Roman" w:hAnsi="Times New Roman" w:cs="Times New Roman"/>
          <w:szCs w:val="24"/>
          <w:vertAlign w:val="superscript"/>
        </w:rPr>
        <w:t>12</w:t>
      </w:r>
      <w:r w:rsidR="00B80828" w:rsidRPr="00495CBB">
        <w:rPr>
          <w:rFonts w:ascii="Times New Roman" w:hAnsi="Times New Roman" w:cs="Times New Roman"/>
          <w:szCs w:val="24"/>
        </w:rPr>
        <w:t>C ratio of 0.010867)</w:t>
      </w:r>
      <w:r w:rsidR="00B80828">
        <w:rPr>
          <w:rFonts w:ascii="Times New Roman" w:hAnsi="Times New Roman" w:cs="Times New Roman"/>
          <w:szCs w:val="24"/>
        </w:rPr>
        <w:t xml:space="preserve">. </w:t>
      </w:r>
      <w:r w:rsidR="009A2971" w:rsidRPr="00495CBB">
        <w:rPr>
          <w:rFonts w:ascii="Times New Roman" w:hAnsi="Times New Roman" w:cs="Times New Roman"/>
          <w:szCs w:val="24"/>
        </w:rPr>
        <w:t xml:space="preserve">This </w:t>
      </w:r>
      <w:r w:rsidR="009A2971" w:rsidRPr="00495CBB">
        <w:rPr>
          <w:rFonts w:ascii="Times New Roman" w:hAnsi="Times New Roman" w:cs="Times New Roman"/>
          <w:szCs w:val="24"/>
          <w:vertAlign w:val="superscript"/>
        </w:rPr>
        <w:t>13</w:t>
      </w:r>
      <w:r w:rsidR="009A2971" w:rsidRPr="00495CBB">
        <w:rPr>
          <w:rFonts w:ascii="Times New Roman" w:hAnsi="Times New Roman" w:cs="Times New Roman"/>
          <w:szCs w:val="24"/>
        </w:rPr>
        <w:t>C:</w:t>
      </w:r>
      <w:r w:rsidR="009A2971" w:rsidRPr="00495CBB">
        <w:rPr>
          <w:rFonts w:ascii="Times New Roman" w:hAnsi="Times New Roman" w:cs="Times New Roman"/>
          <w:szCs w:val="24"/>
          <w:vertAlign w:val="superscript"/>
        </w:rPr>
        <w:t>12</w:t>
      </w:r>
      <w:r w:rsidR="009A2971" w:rsidRPr="00495CBB">
        <w:rPr>
          <w:rFonts w:ascii="Times New Roman" w:hAnsi="Times New Roman" w:cs="Times New Roman"/>
          <w:szCs w:val="24"/>
        </w:rPr>
        <w:t xml:space="preserve">C ratio is an exact match to the </w:t>
      </w:r>
      <w:r w:rsidR="009A2971" w:rsidRPr="00495CBB">
        <w:rPr>
          <w:rFonts w:ascii="Times New Roman" w:hAnsi="Times New Roman" w:cs="Times New Roman"/>
          <w:i/>
          <w:iCs/>
          <w:szCs w:val="24"/>
        </w:rPr>
        <w:t>y</w:t>
      </w:r>
      <w:r w:rsidR="009A2971" w:rsidRPr="00495CBB">
        <w:rPr>
          <w:rFonts w:ascii="Times New Roman" w:hAnsi="Times New Roman" w:cs="Times New Roman"/>
          <w:szCs w:val="24"/>
        </w:rPr>
        <w:t>-intercept of the 1/</w:t>
      </w:r>
      <w:r w:rsidR="009A2971" w:rsidRPr="00495CBB">
        <w:rPr>
          <w:rFonts w:ascii="Times New Roman" w:hAnsi="Times New Roman" w:cs="Times New Roman"/>
          <w:szCs w:val="24"/>
          <w:vertAlign w:val="superscript"/>
        </w:rPr>
        <w:t>12</w:t>
      </w:r>
      <w:r w:rsidR="009A2971" w:rsidRPr="00495CBB">
        <w:rPr>
          <w:rFonts w:ascii="Times New Roman" w:hAnsi="Times New Roman" w:cs="Times New Roman"/>
          <w:szCs w:val="24"/>
        </w:rPr>
        <w:t>C mixing line (mmole units) loss. The soil respiration ð</w:t>
      </w:r>
      <w:r w:rsidR="009A2971" w:rsidRPr="00495CBB">
        <w:rPr>
          <w:rFonts w:ascii="Times New Roman" w:hAnsi="Times New Roman" w:cs="Times New Roman"/>
          <w:szCs w:val="24"/>
          <w:vertAlign w:val="superscript"/>
        </w:rPr>
        <w:t>13</w:t>
      </w:r>
      <w:r w:rsidR="009A2971" w:rsidRPr="00495CBB">
        <w:rPr>
          <w:rFonts w:ascii="Times New Roman" w:hAnsi="Times New Roman" w:cs="Times New Roman"/>
          <w:szCs w:val="24"/>
        </w:rPr>
        <w:t>C value is also close to what Pataki et al. (2005) reported for ecosystem respiration in tropical and temperate conifer forests (~-25.5).</w:t>
      </w:r>
    </w:p>
    <w:p w14:paraId="4AAAB825" w14:textId="77777777"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noProof/>
          <w:szCs w:val="24"/>
        </w:rPr>
        <w:drawing>
          <wp:inline distT="0" distB="0" distL="0" distR="0" wp14:anchorId="60C62721" wp14:editId="2CD7F46E">
            <wp:extent cx="5123809" cy="3523809"/>
            <wp:effectExtent l="0" t="0" r="1270" b="635"/>
            <wp:docPr id="401268012" name="Picture 1" descr="Graph of a graph showing the amount of carbon concen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68012" name="Picture 1" descr="Graph of a graph showing the amount of carbon concentration&#10;&#10;Description automatically generated"/>
                    <pic:cNvPicPr/>
                  </pic:nvPicPr>
                  <pic:blipFill>
                    <a:blip r:embed="rId22"/>
                    <a:stretch>
                      <a:fillRect/>
                    </a:stretch>
                  </pic:blipFill>
                  <pic:spPr>
                    <a:xfrm>
                      <a:off x="0" y="0"/>
                      <a:ext cx="5123809" cy="3523809"/>
                    </a:xfrm>
                    <a:prstGeom prst="rect">
                      <a:avLst/>
                    </a:prstGeom>
                  </pic:spPr>
                </pic:pic>
              </a:graphicData>
            </a:graphic>
          </wp:inline>
        </w:drawing>
      </w:r>
    </w:p>
    <w:p w14:paraId="12673B7C" w14:textId="2482ECF2" w:rsidR="007A4D06" w:rsidRPr="00495CBB" w:rsidRDefault="007A4D06" w:rsidP="0006282A">
      <w:pPr>
        <w:ind w:left="0" w:right="14"/>
        <w:rPr>
          <w:rFonts w:ascii="Times New Roman" w:hAnsi="Times New Roman" w:cs="Times New Roman"/>
          <w:szCs w:val="24"/>
        </w:rPr>
      </w:pPr>
      <w:r w:rsidRPr="00495CBB">
        <w:rPr>
          <w:rFonts w:ascii="Times New Roman" w:hAnsi="Times New Roman" w:cs="Times New Roman"/>
          <w:szCs w:val="24"/>
        </w:rPr>
        <w:t xml:space="preserve">Figure </w:t>
      </w:r>
      <w:r w:rsidR="00DD7267">
        <w:rPr>
          <w:rFonts w:ascii="Times New Roman" w:hAnsi="Times New Roman" w:cs="Times New Roman"/>
          <w:szCs w:val="24"/>
        </w:rPr>
        <w:t>S2</w:t>
      </w:r>
      <w:r w:rsidRPr="00495CBB">
        <w:rPr>
          <w:rFonts w:ascii="Times New Roman" w:hAnsi="Times New Roman" w:cs="Times New Roman"/>
          <w:szCs w:val="24"/>
        </w:rPr>
        <w:t>a. Changes in ð</w:t>
      </w:r>
      <w:r w:rsidRPr="00495CBB">
        <w:rPr>
          <w:rFonts w:ascii="Times New Roman" w:hAnsi="Times New Roman" w:cs="Times New Roman"/>
          <w:szCs w:val="24"/>
          <w:vertAlign w:val="superscript"/>
        </w:rPr>
        <w:t>13</w:t>
      </w:r>
      <w:r w:rsidRPr="00495CBB">
        <w:rPr>
          <w:rFonts w:ascii="Times New Roman" w:hAnsi="Times New Roman" w:cs="Times New Roman"/>
          <w:szCs w:val="24"/>
        </w:rPr>
        <w:t xml:space="preserve">C (closed circles) and soil organic matter (SOM) (open circles) with soil depth (cm) for a representative soil profile on the eastern slope, Mount Gongga, of the Tibetan </w:t>
      </w:r>
      <w:r w:rsidRPr="00495CBB">
        <w:rPr>
          <w:rFonts w:ascii="Times New Roman" w:hAnsi="Times New Roman" w:cs="Times New Roman"/>
          <w:szCs w:val="24"/>
        </w:rPr>
        <w:lastRenderedPageBreak/>
        <w:t>Plateau. Note that the ð</w:t>
      </w:r>
      <w:r w:rsidRPr="00495CBB">
        <w:rPr>
          <w:rFonts w:ascii="Times New Roman" w:hAnsi="Times New Roman" w:cs="Times New Roman"/>
          <w:szCs w:val="24"/>
          <w:vertAlign w:val="superscript"/>
        </w:rPr>
        <w:t>13</w:t>
      </w:r>
      <w:r w:rsidRPr="00495CBB">
        <w:rPr>
          <w:rFonts w:ascii="Times New Roman" w:hAnsi="Times New Roman" w:cs="Times New Roman"/>
          <w:szCs w:val="24"/>
        </w:rPr>
        <w:t>C and carbon concentration values at depth zero are for the surface leaf litter. The figure shown is an exact copy of Figure 2 from Wang et al. (2015).</w:t>
      </w:r>
    </w:p>
    <w:p w14:paraId="3B9B9C08" w14:textId="5BBDB12D" w:rsidR="00A9074B" w:rsidRPr="00495CBB" w:rsidRDefault="00A9074B" w:rsidP="0006282A">
      <w:pPr>
        <w:ind w:left="0" w:right="14"/>
        <w:rPr>
          <w:rFonts w:ascii="Times New Roman" w:hAnsi="Times New Roman" w:cs="Times New Roman"/>
          <w:szCs w:val="24"/>
        </w:rPr>
      </w:pPr>
      <w:r w:rsidRPr="00495CBB">
        <w:rPr>
          <w:rFonts w:ascii="Times New Roman" w:hAnsi="Times New Roman" w:cs="Times New Roman"/>
          <w:szCs w:val="24"/>
        </w:rPr>
        <w:t>-</w:t>
      </w:r>
    </w:p>
    <w:p w14:paraId="6D422923" w14:textId="0068C33D" w:rsidR="007A4D06" w:rsidRPr="00495CBB" w:rsidRDefault="007A4D06" w:rsidP="0006282A">
      <w:pPr>
        <w:ind w:left="0" w:right="14" w:firstLine="720"/>
        <w:rPr>
          <w:rFonts w:ascii="Times New Roman" w:hAnsi="Times New Roman" w:cs="Times New Roman"/>
          <w:szCs w:val="24"/>
        </w:rPr>
      </w:pPr>
      <w:r w:rsidRPr="00495CBB">
        <w:rPr>
          <w:rFonts w:ascii="Times New Roman" w:hAnsi="Times New Roman" w:cs="Times New Roman"/>
          <w:szCs w:val="24"/>
        </w:rPr>
        <w:t xml:space="preserve">The slope and mixing line loss estimates suggest a constant loss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C ratio for the CO</w:t>
      </w:r>
      <w:r w:rsidRPr="00495CBB">
        <w:rPr>
          <w:rFonts w:ascii="Times New Roman" w:hAnsi="Times New Roman" w:cs="Times New Roman"/>
          <w:szCs w:val="24"/>
          <w:vertAlign w:val="subscript"/>
        </w:rPr>
        <w:t>2</w:t>
      </w:r>
      <w:r w:rsidRPr="00495CBB">
        <w:rPr>
          <w:rFonts w:ascii="Times New Roman" w:hAnsi="Times New Roman" w:cs="Times New Roman"/>
          <w:szCs w:val="24"/>
        </w:rPr>
        <w:t xml:space="preserve"> that is presumably released as organic matter decays regardless of the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C ratio of the substrate</w:t>
      </w:r>
      <w:r w:rsidR="008F1AAC">
        <w:rPr>
          <w:rFonts w:ascii="Times New Roman" w:hAnsi="Times New Roman" w:cs="Times New Roman"/>
          <w:szCs w:val="24"/>
        </w:rPr>
        <w:t>.</w:t>
      </w:r>
      <w:r w:rsidRPr="00495CBB">
        <w:rPr>
          <w:rFonts w:ascii="Times New Roman" w:hAnsi="Times New Roman" w:cs="Times New Roman"/>
          <w:szCs w:val="24"/>
        </w:rPr>
        <w:t xml:space="preserve"> </w:t>
      </w:r>
      <w:r w:rsidR="00F81116">
        <w:rPr>
          <w:rFonts w:ascii="Times New Roman" w:hAnsi="Times New Roman" w:cs="Times New Roman"/>
          <w:szCs w:val="24"/>
        </w:rPr>
        <w:t>T</w:t>
      </w:r>
      <w:r w:rsidR="00F81116" w:rsidRPr="00495CBB">
        <w:rPr>
          <w:rFonts w:ascii="Times New Roman" w:hAnsi="Times New Roman" w:cs="Times New Roman"/>
          <w:szCs w:val="24"/>
        </w:rPr>
        <w:t>herefore,</w:t>
      </w:r>
      <w:r w:rsidRPr="00495CBB">
        <w:rPr>
          <w:rFonts w:ascii="Times New Roman" w:hAnsi="Times New Roman" w:cs="Times New Roman"/>
          <w:szCs w:val="24"/>
        </w:rPr>
        <w:t xml:space="preserve"> older organic materials become more enriched. </w:t>
      </w:r>
      <w:r w:rsidR="00D918D6" w:rsidRPr="00495CBB">
        <w:rPr>
          <w:rFonts w:ascii="Times New Roman" w:hAnsi="Times New Roman" w:cs="Times New Roman"/>
          <w:szCs w:val="24"/>
        </w:rPr>
        <w:t>The</w:t>
      </w:r>
      <w:r w:rsidR="00D918D6" w:rsidRPr="00495CBB">
        <w:rPr>
          <w:rFonts w:ascii="Times New Roman" w:hAnsi="Times New Roman" w:cs="Times New Roman"/>
          <w:i/>
          <w:iCs/>
          <w:szCs w:val="24"/>
        </w:rPr>
        <w:t xml:space="preserve"> y</w:t>
      </w:r>
      <w:r w:rsidR="00D918D6" w:rsidRPr="00495CBB">
        <w:rPr>
          <w:rFonts w:ascii="Times New Roman" w:hAnsi="Times New Roman" w:cs="Times New Roman"/>
          <w:szCs w:val="24"/>
        </w:rPr>
        <w:t>-intercept corrected loss ratios</w:t>
      </w:r>
      <w:r w:rsidR="00D918D6">
        <w:rPr>
          <w:rFonts w:ascii="Times New Roman" w:hAnsi="Times New Roman" w:cs="Times New Roman"/>
          <w:szCs w:val="24"/>
        </w:rPr>
        <w:t xml:space="preserve"> (Figure S2b)</w:t>
      </w:r>
      <w:r w:rsidR="00D918D6" w:rsidRPr="00495CBB">
        <w:rPr>
          <w:rFonts w:ascii="Times New Roman" w:hAnsi="Times New Roman" w:cs="Times New Roman"/>
          <w:szCs w:val="24"/>
        </w:rPr>
        <w:t>, although more variable than slope or mixing line data, also suggest a similar result.</w:t>
      </w:r>
      <w:r w:rsidR="00D918D6">
        <w:rPr>
          <w:rFonts w:ascii="Times New Roman" w:hAnsi="Times New Roman" w:cs="Times New Roman"/>
          <w:szCs w:val="24"/>
        </w:rPr>
        <w:t xml:space="preserve"> </w:t>
      </w:r>
      <w:r w:rsidRPr="00495CBB">
        <w:rPr>
          <w:rFonts w:ascii="Times New Roman" w:hAnsi="Times New Roman" w:cs="Times New Roman"/>
          <w:szCs w:val="24"/>
        </w:rPr>
        <w:t xml:space="preserve">This is consistent with constant </w:t>
      </w:r>
      <w:r w:rsidRPr="00495CBB">
        <w:rPr>
          <w:rFonts w:ascii="Times New Roman" w:hAnsi="Times New Roman" w:cs="Times New Roman"/>
          <w:szCs w:val="24"/>
          <w:vertAlign w:val="superscript"/>
        </w:rPr>
        <w:t>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loss ratios regardless of substrate </w:t>
      </w:r>
      <w:r w:rsidRPr="00495CBB">
        <w:rPr>
          <w:rFonts w:ascii="Times New Roman" w:hAnsi="Times New Roman" w:cs="Times New Roman"/>
          <w:szCs w:val="24"/>
          <w:vertAlign w:val="superscript"/>
        </w:rPr>
        <w:t>15</w:t>
      </w:r>
      <w:r w:rsidRPr="00495CBB">
        <w:rPr>
          <w:rFonts w:ascii="Times New Roman" w:hAnsi="Times New Roman" w:cs="Times New Roman"/>
          <w:szCs w:val="24"/>
        </w:rPr>
        <w:t>N:</w:t>
      </w:r>
      <w:r w:rsidRPr="00495CBB">
        <w:rPr>
          <w:rFonts w:ascii="Times New Roman" w:hAnsi="Times New Roman" w:cs="Times New Roman"/>
          <w:szCs w:val="24"/>
          <w:vertAlign w:val="superscript"/>
        </w:rPr>
        <w:t>14</w:t>
      </w:r>
      <w:r w:rsidRPr="00495CBB">
        <w:rPr>
          <w:rFonts w:ascii="Times New Roman" w:hAnsi="Times New Roman" w:cs="Times New Roman"/>
          <w:szCs w:val="24"/>
        </w:rPr>
        <w:t xml:space="preserve">N ratios revealed in Figure </w:t>
      </w:r>
      <w:r w:rsidR="00A26B24">
        <w:rPr>
          <w:rFonts w:ascii="Times New Roman" w:hAnsi="Times New Roman" w:cs="Times New Roman"/>
          <w:szCs w:val="24"/>
        </w:rPr>
        <w:t>S1</w:t>
      </w:r>
      <w:r w:rsidRPr="00495CBB">
        <w:rPr>
          <w:rFonts w:ascii="Times New Roman" w:hAnsi="Times New Roman" w:cs="Times New Roman"/>
          <w:szCs w:val="24"/>
        </w:rPr>
        <w:t xml:space="preserve">e for the Mobius fractionation study (2013). </w:t>
      </w:r>
    </w:p>
    <w:p w14:paraId="4E619CF1" w14:textId="3A2FE6E6" w:rsidR="00E40FA5" w:rsidRDefault="007A4D06" w:rsidP="00C441F0">
      <w:pPr>
        <w:ind w:left="0" w:right="14" w:firstLine="720"/>
      </w:pPr>
      <w:r w:rsidRPr="00495CBB">
        <w:rPr>
          <w:rFonts w:ascii="Times New Roman" w:hAnsi="Times New Roman" w:cs="Times New Roman"/>
          <w:szCs w:val="24"/>
        </w:rPr>
        <w:t xml:space="preserve">The </w:t>
      </w:r>
      <w:r w:rsidRPr="00495CBB">
        <w:rPr>
          <w:rFonts w:ascii="Times New Roman" w:hAnsi="Times New Roman" w:cs="Times New Roman"/>
          <w:i/>
          <w:iCs/>
          <w:szCs w:val="24"/>
        </w:rPr>
        <w:t>x</w:t>
      </w:r>
      <w:r w:rsidRPr="00495CBB">
        <w:rPr>
          <w:rFonts w:ascii="Times New Roman" w:hAnsi="Times New Roman" w:cs="Times New Roman"/>
          <w:szCs w:val="24"/>
          <w:vertAlign w:val="superscript"/>
        </w:rPr>
        <w:t>2</w:t>
      </w:r>
      <w:r w:rsidRPr="00495CBB">
        <w:rPr>
          <w:rFonts w:ascii="Times New Roman" w:hAnsi="Times New Roman" w:cs="Times New Roman"/>
          <w:szCs w:val="24"/>
        </w:rPr>
        <w:t xml:space="preserve"> term</w:t>
      </w:r>
      <w:r w:rsidR="00F9679E">
        <w:rPr>
          <w:rFonts w:ascii="Times New Roman" w:hAnsi="Times New Roman" w:cs="Times New Roman"/>
          <w:szCs w:val="24"/>
        </w:rPr>
        <w:t>s</w:t>
      </w:r>
      <w:r w:rsidRPr="00495CBB">
        <w:rPr>
          <w:rFonts w:ascii="Times New Roman" w:hAnsi="Times New Roman" w:cs="Times New Roman"/>
          <w:szCs w:val="24"/>
        </w:rPr>
        <w:t xml:space="preserve"> for the concave polynomial best-fit </w:t>
      </w:r>
      <w:r w:rsidRPr="00495CBB">
        <w:rPr>
          <w:rFonts w:ascii="Times New Roman" w:hAnsi="Times New Roman" w:cs="Times New Roman"/>
          <w:szCs w:val="24"/>
          <w:vertAlign w:val="superscript"/>
        </w:rPr>
        <w:t>12</w:t>
      </w:r>
      <w:r w:rsidRPr="00495CBB">
        <w:rPr>
          <w:rFonts w:ascii="Times New Roman" w:hAnsi="Times New Roman" w:cs="Times New Roman"/>
          <w:szCs w:val="24"/>
        </w:rPr>
        <w:t xml:space="preserve">C vs. </w:t>
      </w:r>
      <w:r w:rsidRPr="00495CBB">
        <w:rPr>
          <w:rFonts w:ascii="Times New Roman" w:hAnsi="Times New Roman" w:cs="Times New Roman"/>
          <w:szCs w:val="24"/>
          <w:vertAlign w:val="superscript"/>
        </w:rPr>
        <w:t>13</w:t>
      </w:r>
      <w:r w:rsidRPr="00495CBB">
        <w:rPr>
          <w:rFonts w:ascii="Times New Roman" w:hAnsi="Times New Roman" w:cs="Times New Roman"/>
          <w:szCs w:val="24"/>
        </w:rPr>
        <w:t xml:space="preserve">C function </w:t>
      </w:r>
      <w:r w:rsidR="00F9679E">
        <w:rPr>
          <w:rFonts w:ascii="Times New Roman" w:hAnsi="Times New Roman" w:cs="Times New Roman"/>
          <w:szCs w:val="24"/>
        </w:rPr>
        <w:t xml:space="preserve">for either all five points or </w:t>
      </w:r>
      <w:r w:rsidR="005D6A4F">
        <w:rPr>
          <w:rFonts w:ascii="Times New Roman" w:hAnsi="Times New Roman" w:cs="Times New Roman"/>
          <w:szCs w:val="24"/>
        </w:rPr>
        <w:t xml:space="preserve">excluding the surface point </w:t>
      </w:r>
      <w:r w:rsidR="00F9679E">
        <w:rPr>
          <w:rFonts w:ascii="Times New Roman" w:hAnsi="Times New Roman" w:cs="Times New Roman"/>
          <w:szCs w:val="24"/>
        </w:rPr>
        <w:t>are</w:t>
      </w:r>
      <w:r w:rsidRPr="00495CBB">
        <w:rPr>
          <w:rFonts w:ascii="Times New Roman" w:hAnsi="Times New Roman" w:cs="Times New Roman"/>
          <w:szCs w:val="24"/>
        </w:rPr>
        <w:t xml:space="preserve"> not statistically significant (</w:t>
      </w:r>
      <w:r w:rsidRPr="00495CBB">
        <w:rPr>
          <w:rFonts w:ascii="Times New Roman" w:hAnsi="Times New Roman" w:cs="Times New Roman"/>
          <w:i/>
          <w:iCs/>
          <w:szCs w:val="24"/>
        </w:rPr>
        <w:t xml:space="preserve">p </w:t>
      </w:r>
      <w:r w:rsidRPr="00495CBB">
        <w:rPr>
          <w:rFonts w:ascii="Times New Roman" w:hAnsi="Times New Roman" w:cs="Times New Roman"/>
          <w:szCs w:val="24"/>
        </w:rPr>
        <w:t xml:space="preserve">= </w:t>
      </w:r>
      <w:r w:rsidR="00F9679E">
        <w:rPr>
          <w:rFonts w:ascii="Times New Roman" w:hAnsi="Times New Roman" w:cs="Times New Roman"/>
          <w:szCs w:val="24"/>
        </w:rPr>
        <w:t xml:space="preserve">0.199 and </w:t>
      </w:r>
      <w:r w:rsidRPr="00495CBB">
        <w:rPr>
          <w:rFonts w:ascii="Times New Roman" w:hAnsi="Times New Roman" w:cs="Times New Roman"/>
          <w:szCs w:val="24"/>
        </w:rPr>
        <w:t>0.</w:t>
      </w:r>
      <w:r w:rsidR="005D6A4F">
        <w:rPr>
          <w:rFonts w:ascii="Times New Roman" w:hAnsi="Times New Roman" w:cs="Times New Roman"/>
          <w:szCs w:val="24"/>
        </w:rPr>
        <w:t>266</w:t>
      </w:r>
      <w:r w:rsidR="00F9679E">
        <w:rPr>
          <w:rFonts w:ascii="Times New Roman" w:hAnsi="Times New Roman" w:cs="Times New Roman"/>
          <w:szCs w:val="24"/>
        </w:rPr>
        <w:t xml:space="preserve"> respectively</w:t>
      </w:r>
      <w:r w:rsidRPr="00495CBB">
        <w:rPr>
          <w:rFonts w:ascii="Times New Roman" w:hAnsi="Times New Roman" w:cs="Times New Roman"/>
          <w:szCs w:val="24"/>
        </w:rPr>
        <w:t xml:space="preserve">). The spline smoothed cubic derivative </w:t>
      </w:r>
      <w:r w:rsidR="00F9679E">
        <w:rPr>
          <w:rFonts w:ascii="Times New Roman" w:hAnsi="Times New Roman" w:cs="Times New Roman"/>
          <w:szCs w:val="24"/>
        </w:rPr>
        <w:t xml:space="preserve">(Figure S2b) </w:t>
      </w:r>
      <w:r w:rsidRPr="00495CBB">
        <w:rPr>
          <w:rFonts w:ascii="Times New Roman" w:hAnsi="Times New Roman" w:cs="Times New Roman"/>
          <w:szCs w:val="24"/>
        </w:rPr>
        <w:t>values</w:t>
      </w:r>
      <w:r w:rsidR="000A1D3F">
        <w:rPr>
          <w:rFonts w:ascii="Times New Roman" w:hAnsi="Times New Roman" w:cs="Times New Roman"/>
          <w:szCs w:val="24"/>
        </w:rPr>
        <w:t>, however,</w:t>
      </w:r>
      <w:r w:rsidRPr="00495CBB">
        <w:rPr>
          <w:rFonts w:ascii="Times New Roman" w:hAnsi="Times New Roman" w:cs="Times New Roman"/>
          <w:szCs w:val="24"/>
        </w:rPr>
        <w:t xml:space="preserve"> do suggest that the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C loss ratios are not constant</w:t>
      </w:r>
      <w:r w:rsidR="00F9679E">
        <w:rPr>
          <w:rFonts w:ascii="Times New Roman" w:hAnsi="Times New Roman" w:cs="Times New Roman"/>
          <w:szCs w:val="24"/>
        </w:rPr>
        <w:t>.</w:t>
      </w:r>
      <w:r w:rsidR="005D6A4F">
        <w:rPr>
          <w:rFonts w:ascii="Times New Roman" w:hAnsi="Times New Roman" w:cs="Times New Roman"/>
          <w:szCs w:val="24"/>
        </w:rPr>
        <w:t xml:space="preserve"> </w:t>
      </w:r>
      <w:r w:rsidRPr="00495CBB">
        <w:rPr>
          <w:rFonts w:ascii="Times New Roman" w:hAnsi="Times New Roman" w:cs="Times New Roman"/>
          <w:szCs w:val="24"/>
        </w:rPr>
        <w:t xml:space="preserve">The derivative suggests that </w:t>
      </w:r>
      <w:r w:rsidR="00372F41">
        <w:rPr>
          <w:rFonts w:ascii="Times New Roman" w:hAnsi="Times New Roman" w:cs="Times New Roman"/>
          <w:szCs w:val="24"/>
        </w:rPr>
        <w:t xml:space="preserve">for the two surface depths there are only small differences between observed ratios and sources. </w:t>
      </w:r>
      <w:r w:rsidRPr="00495CBB">
        <w:rPr>
          <w:rFonts w:ascii="Times New Roman" w:hAnsi="Times New Roman" w:cs="Times New Roman"/>
          <w:szCs w:val="24"/>
        </w:rPr>
        <w:t xml:space="preserve">However, for </w:t>
      </w:r>
      <w:r w:rsidR="00372F41">
        <w:rPr>
          <w:rFonts w:ascii="Times New Roman" w:hAnsi="Times New Roman" w:cs="Times New Roman"/>
          <w:szCs w:val="24"/>
        </w:rPr>
        <w:t>the deeper samples,</w:t>
      </w:r>
      <w:r w:rsidRPr="00495CBB">
        <w:rPr>
          <w:rFonts w:ascii="Times New Roman" w:hAnsi="Times New Roman" w:cs="Times New Roman"/>
          <w:szCs w:val="24"/>
        </w:rPr>
        <w:t xml:space="preserve"> the derivative suggests that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C ratios of CO</w:t>
      </w:r>
      <w:r w:rsidRPr="00495CBB">
        <w:rPr>
          <w:rFonts w:ascii="Times New Roman" w:hAnsi="Times New Roman" w:cs="Times New Roman"/>
          <w:szCs w:val="24"/>
          <w:vertAlign w:val="subscript"/>
        </w:rPr>
        <w:t>2</w:t>
      </w:r>
      <w:r w:rsidRPr="00495CBB">
        <w:rPr>
          <w:rFonts w:ascii="Times New Roman" w:hAnsi="Times New Roman" w:cs="Times New Roman"/>
          <w:szCs w:val="24"/>
        </w:rPr>
        <w:t xml:space="preserve"> released from decaying organic matter is </w:t>
      </w:r>
      <w:r w:rsidR="00C75B57">
        <w:rPr>
          <w:rFonts w:ascii="Times New Roman" w:hAnsi="Times New Roman" w:cs="Times New Roman"/>
          <w:szCs w:val="24"/>
        </w:rPr>
        <w:t xml:space="preserve">relatively </w:t>
      </w:r>
      <w:r w:rsidRPr="00495CBB">
        <w:rPr>
          <w:rFonts w:ascii="Times New Roman" w:hAnsi="Times New Roman" w:cs="Times New Roman"/>
          <w:szCs w:val="24"/>
        </w:rPr>
        <w:t xml:space="preserve">constant regardless of substrate </w:t>
      </w:r>
      <w:r w:rsidRPr="00495CBB">
        <w:rPr>
          <w:rFonts w:ascii="Times New Roman" w:hAnsi="Times New Roman" w:cs="Times New Roman"/>
          <w:szCs w:val="24"/>
          <w:vertAlign w:val="superscript"/>
        </w:rPr>
        <w:t>13</w:t>
      </w:r>
      <w:r w:rsidRPr="00495CBB">
        <w:rPr>
          <w:rFonts w:ascii="Times New Roman" w:hAnsi="Times New Roman" w:cs="Times New Roman"/>
          <w:szCs w:val="24"/>
        </w:rPr>
        <w:t>C:</w:t>
      </w:r>
      <w:r w:rsidRPr="00495CBB">
        <w:rPr>
          <w:rFonts w:ascii="Times New Roman" w:hAnsi="Times New Roman" w:cs="Times New Roman"/>
          <w:szCs w:val="24"/>
          <w:vertAlign w:val="superscript"/>
        </w:rPr>
        <w:t>12</w:t>
      </w:r>
      <w:r w:rsidRPr="00495CBB">
        <w:rPr>
          <w:rFonts w:ascii="Times New Roman" w:hAnsi="Times New Roman" w:cs="Times New Roman"/>
          <w:szCs w:val="24"/>
        </w:rPr>
        <w:t>C ratios and always more depleted.</w:t>
      </w:r>
      <w:r w:rsidR="00C441F0">
        <w:rPr>
          <w:rFonts w:ascii="Times New Roman" w:hAnsi="Times New Roman" w:cs="Times New Roman"/>
          <w:szCs w:val="24"/>
        </w:rPr>
        <w:t xml:space="preserve"> </w:t>
      </w:r>
    </w:p>
    <w:p w14:paraId="01F85D1F" w14:textId="04D9D9D1" w:rsidR="00CE21F5" w:rsidRDefault="00C441F0" w:rsidP="00CE21F5">
      <w:pPr>
        <w:pStyle w:val="Newparagraph"/>
        <w:spacing w:after="3" w:line="473" w:lineRule="auto"/>
        <w:ind w:right="14"/>
        <w:jc w:val="both"/>
        <w:rPr>
          <w:lang w:val="en-US"/>
        </w:rPr>
      </w:pPr>
      <w:r>
        <w:rPr>
          <w:lang w:val="en-US"/>
        </w:rPr>
        <w:t>T</w:t>
      </w:r>
      <w:r w:rsidR="00CE21F5">
        <w:rPr>
          <w:lang w:val="en-US"/>
        </w:rPr>
        <w:t xml:space="preserve">he relationship between ln total C and both observed and </w:t>
      </w:r>
      <w:r w:rsidR="00CE21F5">
        <w:rPr>
          <w:i/>
          <w:iCs/>
          <w:lang w:val="en-US"/>
        </w:rPr>
        <w:t>y</w:t>
      </w:r>
      <w:r w:rsidR="00CE21F5">
        <w:rPr>
          <w:lang w:val="en-US"/>
        </w:rPr>
        <w:t xml:space="preserve">-intercept corrected </w:t>
      </w:r>
      <w:r w:rsidR="00CE21F5">
        <w:rPr>
          <w:vertAlign w:val="superscript"/>
          <w:lang w:val="en-US"/>
        </w:rPr>
        <w:t>14</w:t>
      </w:r>
      <w:r w:rsidR="00CE21F5">
        <w:rPr>
          <w:lang w:val="en-US"/>
        </w:rPr>
        <w:t>C:</w:t>
      </w:r>
      <w:r w:rsidR="00CE21F5">
        <w:rPr>
          <w:vertAlign w:val="superscript"/>
          <w:lang w:val="en-US"/>
        </w:rPr>
        <w:t>13</w:t>
      </w:r>
      <w:r w:rsidR="00CE21F5">
        <w:rPr>
          <w:lang w:val="en-US"/>
        </w:rPr>
        <w:t>C ratios are shown</w:t>
      </w:r>
      <w:r w:rsidR="00CE21F5" w:rsidRPr="003E2723">
        <w:t xml:space="preserve"> </w:t>
      </w:r>
      <w:r w:rsidR="00C71A28">
        <w:t xml:space="preserve">in Figure S2c </w:t>
      </w:r>
      <w:r w:rsidR="00CE21F5">
        <w:t>for the same soil profile</w:t>
      </w:r>
      <w:r w:rsidR="00C71A28">
        <w:t xml:space="preserve"> points</w:t>
      </w:r>
      <w:r w:rsidR="00CE21F5">
        <w:t xml:space="preserve"> </w:t>
      </w:r>
      <w:r w:rsidR="00D96BA3">
        <w:t xml:space="preserve">in </w:t>
      </w:r>
      <w:r w:rsidR="00CE21F5">
        <w:t>Figure S2b from the eastern slope, Mount Gongga, of the Tibetan Plateau</w:t>
      </w:r>
      <w:r w:rsidR="00CE21F5" w:rsidRPr="00023D70">
        <w:rPr>
          <w:noProof/>
          <w:lang w:val="en-US"/>
        </w:rPr>
        <w:t>.</w:t>
      </w:r>
      <w:r w:rsidR="00CE21F5">
        <w:rPr>
          <w:lang w:val="en-US"/>
        </w:rPr>
        <w:t xml:space="preserve"> Again, since </w:t>
      </w:r>
      <w:r w:rsidR="00CE21F5">
        <w:rPr>
          <w:vertAlign w:val="superscript"/>
          <w:lang w:val="en-US"/>
        </w:rPr>
        <w:t>13</w:t>
      </w:r>
      <w:r w:rsidR="00CE21F5">
        <w:rPr>
          <w:lang w:val="en-US"/>
        </w:rPr>
        <w:t>C:</w:t>
      </w:r>
      <w:r w:rsidR="00CE21F5">
        <w:rPr>
          <w:vertAlign w:val="superscript"/>
          <w:lang w:val="en-US"/>
        </w:rPr>
        <w:t>12</w:t>
      </w:r>
      <w:r w:rsidR="00CE21F5">
        <w:rPr>
          <w:lang w:val="en-US"/>
        </w:rPr>
        <w:t xml:space="preserve">C ratios rather than ð C values are presented on the </w:t>
      </w:r>
      <w:r w:rsidR="00CE21F5" w:rsidRPr="00457289">
        <w:rPr>
          <w:i/>
          <w:iCs/>
          <w:lang w:val="en-US"/>
        </w:rPr>
        <w:t>y</w:t>
      </w:r>
      <w:r w:rsidR="00CE21F5">
        <w:rPr>
          <w:lang w:val="en-US"/>
        </w:rPr>
        <w:t>-axis</w:t>
      </w:r>
      <w:r w:rsidR="00372F41">
        <w:rPr>
          <w:lang w:val="en-US"/>
        </w:rPr>
        <w:t>, the</w:t>
      </w:r>
      <w:r w:rsidR="00CE21F5">
        <w:rPr>
          <w:lang w:val="en-US"/>
        </w:rPr>
        <w:t xml:space="preserve"> fractionation factor slope (-0.000010</w:t>
      </w:r>
      <w:r w:rsidR="00372F41">
        <w:rPr>
          <w:lang w:val="en-US"/>
        </w:rPr>
        <w:t>829</w:t>
      </w:r>
      <w:r w:rsidR="00CE21F5">
        <w:rPr>
          <w:lang w:val="en-US"/>
        </w:rPr>
        <w:t xml:space="preserve">) is defined in </w:t>
      </w:r>
      <w:r w:rsidR="00CE21F5">
        <w:rPr>
          <w:vertAlign w:val="superscript"/>
          <w:lang w:val="en-US"/>
        </w:rPr>
        <w:t>13</w:t>
      </w:r>
      <w:r w:rsidR="00CE21F5">
        <w:rPr>
          <w:lang w:val="en-US"/>
        </w:rPr>
        <w:t>C:</w:t>
      </w:r>
      <w:r w:rsidR="00CE21F5">
        <w:rPr>
          <w:vertAlign w:val="superscript"/>
          <w:lang w:val="en-US"/>
        </w:rPr>
        <w:t>12</w:t>
      </w:r>
      <w:r w:rsidR="00CE21F5">
        <w:rPr>
          <w:lang w:val="en-US"/>
        </w:rPr>
        <w:t xml:space="preserve">C ratio units. As was the case for the </w:t>
      </w:r>
      <w:r w:rsidR="00CE21F5">
        <w:rPr>
          <w:i/>
          <w:iCs/>
          <w:lang w:val="en-US"/>
        </w:rPr>
        <w:t>y</w:t>
      </w:r>
      <w:r w:rsidR="00CE21F5">
        <w:rPr>
          <w:lang w:val="en-US"/>
        </w:rPr>
        <w:t xml:space="preserve">-intercept corrected </w:t>
      </w:r>
      <w:r w:rsidR="00CE21F5" w:rsidRPr="009049E1">
        <w:rPr>
          <w:vertAlign w:val="superscript"/>
          <w:lang w:val="en-US"/>
        </w:rPr>
        <w:t>15</w:t>
      </w:r>
      <w:r w:rsidR="00CE21F5">
        <w:rPr>
          <w:lang w:val="en-US"/>
        </w:rPr>
        <w:t>N:</w:t>
      </w:r>
      <w:r w:rsidR="00CE21F5" w:rsidRPr="009049E1">
        <w:rPr>
          <w:vertAlign w:val="superscript"/>
          <w:lang w:val="en-US"/>
        </w:rPr>
        <w:t>14</w:t>
      </w:r>
      <w:r w:rsidR="00CE21F5">
        <w:rPr>
          <w:lang w:val="en-US"/>
        </w:rPr>
        <w:t>N ratios (Figure S1l),</w:t>
      </w:r>
      <w:r w:rsidR="00C71A28">
        <w:rPr>
          <w:lang w:val="en-US"/>
        </w:rPr>
        <w:t xml:space="preserve"> </w:t>
      </w:r>
      <w:r w:rsidR="00C71A28" w:rsidRPr="00DC6856">
        <w:rPr>
          <w:vertAlign w:val="superscript"/>
          <w:lang w:val="en-US"/>
        </w:rPr>
        <w:t>13</w:t>
      </w:r>
      <w:r w:rsidR="00C71A28">
        <w:rPr>
          <w:lang w:val="en-US"/>
        </w:rPr>
        <w:t>C:</w:t>
      </w:r>
      <w:r w:rsidR="00C71A28" w:rsidRPr="00DC6856">
        <w:rPr>
          <w:vertAlign w:val="superscript"/>
          <w:lang w:val="en-US"/>
        </w:rPr>
        <w:t>12</w:t>
      </w:r>
      <w:r w:rsidR="00C71A28">
        <w:rPr>
          <w:lang w:val="en-US"/>
        </w:rPr>
        <w:t xml:space="preserve">C loss ratios do not change with </w:t>
      </w:r>
      <w:r w:rsidR="00C75B57">
        <w:rPr>
          <w:lang w:val="en-US"/>
        </w:rPr>
        <w:t xml:space="preserve">ln </w:t>
      </w:r>
      <w:r w:rsidR="00C71A28">
        <w:rPr>
          <w:lang w:val="en-US"/>
        </w:rPr>
        <w:t>total N</w:t>
      </w:r>
      <w:r>
        <w:rPr>
          <w:lang w:val="en-US"/>
        </w:rPr>
        <w:t>.</w:t>
      </w:r>
    </w:p>
    <w:p w14:paraId="5005BA80" w14:textId="535BC48F" w:rsidR="00E61992" w:rsidRDefault="00E61992" w:rsidP="00E61992">
      <w:pPr>
        <w:ind w:left="-14" w:right="14" w:firstLine="0"/>
      </w:pPr>
      <w:r>
        <w:tab/>
      </w:r>
      <w:r>
        <w:tab/>
      </w:r>
      <w:r w:rsidR="00105B94">
        <w:t>If Rayleigh fractionation factors are calculated using ð</w:t>
      </w:r>
      <w:r w:rsidR="00105B94" w:rsidRPr="002B49A3">
        <w:rPr>
          <w:vertAlign w:val="superscript"/>
        </w:rPr>
        <w:t>13</w:t>
      </w:r>
      <w:r w:rsidR="00105B94">
        <w:t xml:space="preserve">C on the </w:t>
      </w:r>
      <w:r w:rsidR="00105B94" w:rsidRPr="002B49A3">
        <w:rPr>
          <w:i/>
          <w:iCs/>
        </w:rPr>
        <w:t>y</w:t>
      </w:r>
      <w:r w:rsidR="00105B94">
        <w:t xml:space="preserve">-axis with the same five points in Figure S2c, the slope of -0.938 is similar to the nine-point slope (-1.05370) </w:t>
      </w:r>
      <w:r w:rsidR="00105B94">
        <w:lastRenderedPageBreak/>
        <w:t>Wang et al. (2015) indirectly calculated (see their Figure 4 and original text for details). It is not surprising that a significant negative relationship occurs in the Raleigh plot</w:t>
      </w:r>
      <w:r w:rsidR="00D268B1">
        <w:t xml:space="preserve"> whether or not fractionation occurs</w:t>
      </w:r>
      <w:r w:rsidR="00105B94">
        <w:t xml:space="preserve">. </w:t>
      </w:r>
      <w:r w:rsidR="00D268B1">
        <w:t>B</w:t>
      </w:r>
      <w:r>
        <w:t xml:space="preserve">ackgrounds are greater </w:t>
      </w:r>
      <w:r w:rsidR="00D268B1">
        <w:t xml:space="preserve">(positive </w:t>
      </w:r>
      <w:r w:rsidR="00D268B1" w:rsidRPr="00D268B1">
        <w:rPr>
          <w:i/>
          <w:iCs/>
        </w:rPr>
        <w:t>y</w:t>
      </w:r>
      <w:r w:rsidR="00D268B1">
        <w:t xml:space="preserve">-intercept) </w:t>
      </w:r>
      <w:r>
        <w:t>than the constant source</w:t>
      </w:r>
      <w:r w:rsidR="00D268B1">
        <w:t xml:space="preserve"> and </w:t>
      </w:r>
      <w:r w:rsidR="00D268B1" w:rsidRPr="00D268B1">
        <w:rPr>
          <w:vertAlign w:val="superscript"/>
        </w:rPr>
        <w:t>13</w:t>
      </w:r>
      <w:r w:rsidR="00D268B1">
        <w:t>C:</w:t>
      </w:r>
      <w:r w:rsidR="00D268B1" w:rsidRPr="00D268B1">
        <w:rPr>
          <w:vertAlign w:val="superscript"/>
        </w:rPr>
        <w:t>12</w:t>
      </w:r>
      <w:r w:rsidR="00D268B1">
        <w:t>C ratios must decrease with total C</w:t>
      </w:r>
      <w:r>
        <w:t xml:space="preserve"> </w:t>
      </w:r>
      <w:r w:rsidR="00DC6856">
        <w:t xml:space="preserve">(which means observed ratios are </w:t>
      </w:r>
      <w:r w:rsidR="00D268B1">
        <w:t>negatively</w:t>
      </w:r>
      <w:r w:rsidR="00DC6856">
        <w:t xml:space="preserve"> related to total </w:t>
      </w:r>
      <w:r w:rsidR="001F2EF5">
        <w:t>C</w:t>
      </w:r>
      <w:r w:rsidR="00DC6856">
        <w:t>)</w:t>
      </w:r>
      <w:r w:rsidR="00D268B1">
        <w:t>.</w:t>
      </w:r>
      <w:r w:rsidR="00DC6856">
        <w:t xml:space="preserve"> </w:t>
      </w:r>
    </w:p>
    <w:p w14:paraId="10596504" w14:textId="77777777" w:rsidR="008F1AAC" w:rsidRDefault="00E61992" w:rsidP="00E61992">
      <w:pPr>
        <w:ind w:left="0" w:right="14"/>
      </w:pPr>
      <w:r>
        <w:tab/>
      </w:r>
      <w:r>
        <w:tab/>
        <w:t>Apparent fractionation could also be calculated directly as the source (</w:t>
      </w:r>
      <w:r w:rsidRPr="004D2069">
        <w:rPr>
          <w:i/>
          <w:iCs/>
        </w:rPr>
        <w:t>y</w:t>
      </w:r>
      <w:r>
        <w:t>-intercept corrected values shown in Figure S2b) – (observed ratios also shown in Figure S2b). Similar calculations can be calculated as the source (spline smoothed derivative values also shown in Figure S2b) – (observed ratios also shown in Figure S2b). When this is done, apparent fractionation increases with total C as shown in Figure S2d</w:t>
      </w:r>
      <w:r w:rsidR="00352F4F">
        <w:t>.</w:t>
      </w:r>
      <w:r>
        <w:t xml:space="preserve"> </w:t>
      </w:r>
      <w:r w:rsidR="0065306C">
        <w:t>T</w:t>
      </w:r>
      <w:r>
        <w:t xml:space="preserve">he constant </w:t>
      </w:r>
      <w:r w:rsidR="00352F4F">
        <w:t xml:space="preserve">Rayleigh </w:t>
      </w:r>
      <w:r>
        <w:t>fractionation value calculated in Figure S2c (-0.000010</w:t>
      </w:r>
      <w:r w:rsidR="00B047E8">
        <w:t>829</w:t>
      </w:r>
      <w:r>
        <w:t>)</w:t>
      </w:r>
      <w:r w:rsidR="0065306C">
        <w:t xml:space="preserve"> is included within the range of</w:t>
      </w:r>
      <w:r w:rsidR="00352F4F">
        <w:t>,</w:t>
      </w:r>
      <w:r>
        <w:t xml:space="preserve"> </w:t>
      </w:r>
      <w:r w:rsidR="00352F4F">
        <w:t>t</w:t>
      </w:r>
      <w:r>
        <w:t xml:space="preserve">he </w:t>
      </w:r>
      <w:r w:rsidR="0065306C">
        <w:t xml:space="preserve">changing </w:t>
      </w:r>
      <w:r>
        <w:t>direct calculation</w:t>
      </w:r>
      <w:r w:rsidR="0065306C">
        <w:t>s. This</w:t>
      </w:r>
      <w:r>
        <w:t xml:space="preserve"> implies that </w:t>
      </w:r>
      <w:r w:rsidR="004F40AA">
        <w:t>the apparent</w:t>
      </w:r>
      <w:r>
        <w:t xml:space="preserve"> fraction is not constant but changes with depth as shown in Figure S2e. </w:t>
      </w:r>
    </w:p>
    <w:p w14:paraId="1D66B9BD" w14:textId="08992D59" w:rsidR="00446E90" w:rsidRDefault="008F1AAC" w:rsidP="00446E90">
      <w:pPr>
        <w:ind w:left="0" w:right="14" w:firstLine="720"/>
      </w:pPr>
      <w:r>
        <w:t xml:space="preserve">The Himalayan plateau carbon data presents phenomena similar to the Aegean Sea </w:t>
      </w:r>
      <w:r w:rsidR="00E61992">
        <w:t>nitrogen evaluation in sediments</w:t>
      </w:r>
      <w:r w:rsidR="00446E90">
        <w:t>.</w:t>
      </w:r>
      <w:r w:rsidR="00E61992">
        <w:t xml:space="preserve"> </w:t>
      </w:r>
      <w:r w:rsidR="00446E90">
        <w:rPr>
          <w:rFonts w:ascii="Times New Roman" w:hAnsi="Times New Roman" w:cs="Times New Roman"/>
          <w:szCs w:val="24"/>
        </w:rPr>
        <w:t>The</w:t>
      </w:r>
      <w:r w:rsidR="00E61992">
        <w:rPr>
          <w:rFonts w:ascii="Times New Roman" w:hAnsi="Times New Roman" w:cs="Times New Roman"/>
          <w:szCs w:val="24"/>
        </w:rPr>
        <w:t xml:space="preserve"> change </w:t>
      </w:r>
      <w:r w:rsidR="00446E90">
        <w:rPr>
          <w:rFonts w:ascii="Times New Roman" w:hAnsi="Times New Roman" w:cs="Times New Roman"/>
          <w:szCs w:val="24"/>
        </w:rPr>
        <w:t>with depth for Aegean Sea</w:t>
      </w:r>
      <w:r w:rsidR="00E61992">
        <w:rPr>
          <w:rFonts w:ascii="Times New Roman" w:hAnsi="Times New Roman" w:cs="Times New Roman"/>
          <w:szCs w:val="24"/>
        </w:rPr>
        <w:t xml:space="preserve">in </w:t>
      </w:r>
      <w:r w:rsidR="00352F4F">
        <w:rPr>
          <w:rFonts w:ascii="Times New Roman" w:hAnsi="Times New Roman" w:cs="Times New Roman"/>
          <w:szCs w:val="24"/>
        </w:rPr>
        <w:t xml:space="preserve">apparent </w:t>
      </w:r>
      <w:r w:rsidR="00E61992">
        <w:rPr>
          <w:rFonts w:ascii="Times New Roman" w:hAnsi="Times New Roman" w:cs="Times New Roman"/>
          <w:szCs w:val="24"/>
        </w:rPr>
        <w:t xml:space="preserve">fractionation factors (Figure S1l) is driven by differences in total N and may not be a real fractionation phenomenon. </w:t>
      </w:r>
      <w:r w:rsidR="00352F4F">
        <w:rPr>
          <w:rFonts w:ascii="Times New Roman" w:hAnsi="Times New Roman" w:cs="Times New Roman"/>
          <w:szCs w:val="24"/>
        </w:rPr>
        <w:t>The relationship between calculated fractionation factors and total N is perfect (r</w:t>
      </w:r>
      <w:r w:rsidR="00352F4F" w:rsidRPr="00352F4F">
        <w:rPr>
          <w:rFonts w:ascii="Times New Roman" w:hAnsi="Times New Roman" w:cs="Times New Roman"/>
          <w:szCs w:val="24"/>
          <w:vertAlign w:val="superscript"/>
        </w:rPr>
        <w:t>2</w:t>
      </w:r>
      <w:r w:rsidR="00352F4F">
        <w:rPr>
          <w:rFonts w:ascii="Times New Roman" w:hAnsi="Times New Roman" w:cs="Times New Roman"/>
          <w:szCs w:val="24"/>
        </w:rPr>
        <w:t xml:space="preserve"> = 1.000).</w:t>
      </w:r>
      <w:r w:rsidR="00303B5A">
        <w:rPr>
          <w:rFonts w:ascii="Times New Roman" w:hAnsi="Times New Roman" w:cs="Times New Roman"/>
          <w:szCs w:val="24"/>
        </w:rPr>
        <w:t xml:space="preserve"> For</w:t>
      </w:r>
      <w:r w:rsidR="00446E90">
        <w:rPr>
          <w:rFonts w:ascii="Times New Roman" w:hAnsi="Times New Roman" w:cs="Times New Roman"/>
          <w:szCs w:val="24"/>
        </w:rPr>
        <w:t xml:space="preserve"> </w:t>
      </w:r>
      <w:r w:rsidR="00446E90">
        <w:t xml:space="preserve">the carbon data apparent fractionation differences with depth (Figure S2d; </w:t>
      </w:r>
      <w:r w:rsidR="00446E90" w:rsidRPr="00303B5A">
        <w:rPr>
          <w:i/>
          <w:iCs/>
        </w:rPr>
        <w:t>y</w:t>
      </w:r>
      <w:r w:rsidR="00446E90">
        <w:t xml:space="preserve">-intercept corrected source values – observed value ) is driven by total C and may not be a real fractionation phenomenon. The relationship between calculated fractionation factors and total C is </w:t>
      </w:r>
      <w:r w:rsidR="00446E90">
        <w:t xml:space="preserve">also </w:t>
      </w:r>
      <w:r w:rsidR="00446E90">
        <w:t>perfect (r</w:t>
      </w:r>
      <w:r w:rsidR="00446E90" w:rsidRPr="00303B5A">
        <w:rPr>
          <w:vertAlign w:val="superscript"/>
        </w:rPr>
        <w:t>2</w:t>
      </w:r>
      <w:r w:rsidR="00446E90">
        <w:t>=1.000)</w:t>
      </w:r>
    </w:p>
    <w:p w14:paraId="06D0A356" w14:textId="08F05404" w:rsidR="00E61992" w:rsidRDefault="00E61992" w:rsidP="00446E90">
      <w:pPr>
        <w:ind w:right="14"/>
        <w:rPr>
          <w:rFonts w:ascii="Times New Roman" w:hAnsi="Times New Roman" w:cs="Times New Roman"/>
          <w:szCs w:val="24"/>
        </w:rPr>
      </w:pPr>
    </w:p>
    <w:p w14:paraId="609BD2BB" w14:textId="77777777" w:rsidR="001D09FC" w:rsidRDefault="001D09FC" w:rsidP="001D09FC">
      <w:pPr>
        <w:ind w:left="0" w:right="14" w:firstLine="720"/>
      </w:pPr>
    </w:p>
    <w:p w14:paraId="491FA00C" w14:textId="0983ED5E" w:rsidR="001D09FC" w:rsidRDefault="001D09FC" w:rsidP="001D09FC">
      <w:pPr>
        <w:ind w:left="0" w:right="14" w:firstLine="720"/>
        <w:sectPr w:rsidR="001D09FC" w:rsidSect="007F6D0A">
          <w:footerReference w:type="default" r:id="rId23"/>
          <w:pgSz w:w="12240" w:h="15840"/>
          <w:pgMar w:top="1440" w:right="1440" w:bottom="1440" w:left="1440" w:header="720" w:footer="720" w:gutter="0"/>
          <w:pgNumType w:start="1"/>
          <w:cols w:space="720"/>
          <w:titlePg/>
          <w:docGrid w:linePitch="360"/>
        </w:sectPr>
      </w:pPr>
    </w:p>
    <w:p w14:paraId="5D4BD3C2" w14:textId="6179EF65" w:rsidR="007A4D06" w:rsidRPr="00495CBB" w:rsidRDefault="007A4D06" w:rsidP="0006282A">
      <w:pPr>
        <w:pBdr>
          <w:bottom w:val="single" w:sz="12" w:space="1" w:color="auto"/>
        </w:pBdr>
        <w:ind w:left="-14" w:right="14" w:firstLine="0"/>
        <w:rPr>
          <w:rFonts w:ascii="Times New Roman" w:hAnsi="Times New Roman" w:cs="Times New Roman"/>
        </w:rPr>
      </w:pPr>
      <w:r w:rsidRPr="00495CBB">
        <w:rPr>
          <w:rFonts w:ascii="Times New Roman" w:hAnsi="Times New Roman" w:cs="Times New Roman"/>
        </w:rPr>
        <w:lastRenderedPageBreak/>
        <w:t xml:space="preserve">Table </w:t>
      </w:r>
      <w:r w:rsidR="00647AE5">
        <w:rPr>
          <w:rFonts w:ascii="Times New Roman" w:hAnsi="Times New Roman" w:cs="Times New Roman"/>
        </w:rPr>
        <w:t>S</w:t>
      </w:r>
      <w:r w:rsidRPr="00495CBB">
        <w:rPr>
          <w:rFonts w:ascii="Times New Roman" w:hAnsi="Times New Roman" w:cs="Times New Roman"/>
        </w:rPr>
        <w:t>1. Changes in ð</w:t>
      </w:r>
      <w:r w:rsidRPr="00495CBB">
        <w:rPr>
          <w:rFonts w:ascii="Times New Roman" w:hAnsi="Times New Roman" w:cs="Times New Roman"/>
          <w:vertAlign w:val="superscript"/>
        </w:rPr>
        <w:t>13</w:t>
      </w:r>
      <w:r w:rsidRPr="00495CBB">
        <w:rPr>
          <w:rFonts w:ascii="Times New Roman" w:hAnsi="Times New Roman" w:cs="Times New Roman"/>
        </w:rPr>
        <w:t>C and soil organic matter (SOM) with soil depth for a representative soil profile on the eastern slope, Mount Gongga, of the Tibetan Plateau. Note that the ð</w:t>
      </w:r>
      <w:r w:rsidRPr="00495CBB">
        <w:rPr>
          <w:rFonts w:ascii="Times New Roman" w:hAnsi="Times New Roman" w:cs="Times New Roman"/>
          <w:vertAlign w:val="superscript"/>
        </w:rPr>
        <w:t>13</w:t>
      </w:r>
      <w:r w:rsidRPr="00495CBB">
        <w:rPr>
          <w:rFonts w:ascii="Times New Roman" w:hAnsi="Times New Roman" w:cs="Times New Roman"/>
        </w:rPr>
        <w:t xml:space="preserve">C and carbon concentration values at depth zero are for the surface leaf litter. Data from the first five depths (organic matter almost disappears at deeper depths) were digitally extracted from Figure </w:t>
      </w:r>
      <w:r w:rsidR="00DD7267">
        <w:rPr>
          <w:rFonts w:ascii="Times New Roman" w:hAnsi="Times New Roman" w:cs="Times New Roman"/>
        </w:rPr>
        <w:t>S2</w:t>
      </w:r>
      <w:r w:rsidRPr="00495CBB">
        <w:rPr>
          <w:rFonts w:ascii="Times New Roman" w:hAnsi="Times New Roman" w:cs="Times New Roman"/>
        </w:rPr>
        <w:t>a. Additional values calculated from ð</w:t>
      </w:r>
      <w:r w:rsidRPr="00495CBB">
        <w:rPr>
          <w:rFonts w:ascii="Times New Roman" w:hAnsi="Times New Roman" w:cs="Times New Roman"/>
          <w:vertAlign w:val="superscript"/>
        </w:rPr>
        <w:t>13</w:t>
      </w:r>
      <w:r w:rsidRPr="00495CBB">
        <w:rPr>
          <w:rFonts w:ascii="Times New Roman" w:hAnsi="Times New Roman" w:cs="Times New Roman"/>
        </w:rPr>
        <w:t>C and C concentration values that can be used in source analyses (in this case loss analyses) are also included. At the bottom of the table, important source regression analyses are shown. Data after Wang et al. 2015.</w:t>
      </w:r>
    </w:p>
    <w:p w14:paraId="4107ACCB" w14:textId="7016B100" w:rsidR="007A4D06" w:rsidRPr="001F366F" w:rsidRDefault="007A4D06" w:rsidP="0006282A">
      <w:pPr>
        <w:spacing w:line="240" w:lineRule="auto"/>
        <w:ind w:left="0" w:right="14" w:hanging="14"/>
        <w:rPr>
          <w:b/>
          <w:bCs/>
          <w:sz w:val="20"/>
          <w:szCs w:val="20"/>
        </w:rPr>
      </w:pPr>
      <w:r w:rsidRPr="001F366F">
        <w:rPr>
          <w:b/>
          <w:bCs/>
          <w:sz w:val="20"/>
          <w:szCs w:val="20"/>
          <w:u w:val="single"/>
        </w:rPr>
        <w:t>depth</w:t>
      </w:r>
      <w:r w:rsidRPr="001F366F">
        <w:rPr>
          <w:b/>
          <w:bCs/>
          <w:sz w:val="20"/>
          <w:szCs w:val="20"/>
        </w:rPr>
        <w:t xml:space="preserve">   </w:t>
      </w:r>
      <w:r w:rsidRPr="001F366F">
        <w:rPr>
          <w:b/>
          <w:bCs/>
          <w:sz w:val="20"/>
          <w:szCs w:val="20"/>
          <w:u w:val="single"/>
        </w:rPr>
        <w:t>C conc</w:t>
      </w:r>
      <w:r w:rsidRPr="001F366F">
        <w:rPr>
          <w:b/>
          <w:bCs/>
          <w:sz w:val="20"/>
          <w:szCs w:val="20"/>
        </w:rPr>
        <w:t xml:space="preserve">    </w:t>
      </w:r>
      <w:r w:rsidRPr="001F366F">
        <w:rPr>
          <w:b/>
          <w:bCs/>
          <w:sz w:val="20"/>
          <w:szCs w:val="20"/>
          <w:u w:val="single"/>
        </w:rPr>
        <w:t>1/C conc</w:t>
      </w:r>
      <w:r w:rsidRPr="001F366F">
        <w:rPr>
          <w:b/>
          <w:bCs/>
          <w:sz w:val="20"/>
          <w:szCs w:val="20"/>
        </w:rPr>
        <w:t xml:space="preserve">           </w:t>
      </w:r>
      <w:r w:rsidRPr="001F366F">
        <w:rPr>
          <w:b/>
          <w:bCs/>
          <w:sz w:val="20"/>
          <w:szCs w:val="20"/>
          <w:u w:val="single"/>
        </w:rPr>
        <w:t xml:space="preserve">ðC </w:t>
      </w:r>
      <w:r w:rsidRPr="001F366F">
        <w:rPr>
          <w:b/>
          <w:bCs/>
          <w:sz w:val="20"/>
          <w:szCs w:val="20"/>
        </w:rPr>
        <w:t xml:space="preserve">           </w:t>
      </w:r>
      <w:r w:rsidRPr="001F366F">
        <w:rPr>
          <w:b/>
          <w:bCs/>
          <w:sz w:val="20"/>
          <w:szCs w:val="20"/>
          <w:u w:val="single"/>
        </w:rPr>
        <w:t>atom %</w:t>
      </w:r>
      <w:r w:rsidRPr="001F366F">
        <w:rPr>
          <w:b/>
          <w:bCs/>
          <w:sz w:val="20"/>
          <w:szCs w:val="20"/>
        </w:rPr>
        <w:t xml:space="preserve">           </w:t>
      </w:r>
      <w:r w:rsidRPr="001F366F">
        <w:rPr>
          <w:b/>
          <w:bCs/>
          <w:sz w:val="20"/>
          <w:szCs w:val="20"/>
          <w:u w:val="single"/>
        </w:rPr>
        <w:t>C conc</w:t>
      </w:r>
      <w:r w:rsidRPr="001F366F">
        <w:rPr>
          <w:b/>
          <w:bCs/>
          <w:sz w:val="20"/>
          <w:szCs w:val="20"/>
        </w:rPr>
        <w:t xml:space="preserve">         </w:t>
      </w:r>
      <w:r w:rsidR="008144FD">
        <w:rPr>
          <w:b/>
          <w:bCs/>
          <w:sz w:val="20"/>
          <w:szCs w:val="20"/>
        </w:rPr>
        <w:t xml:space="preserve">     </w:t>
      </w:r>
      <w:r w:rsidRPr="001F366F">
        <w:rPr>
          <w:b/>
          <w:bCs/>
          <w:sz w:val="20"/>
          <w:szCs w:val="20"/>
        </w:rPr>
        <w:t xml:space="preserve">    </w:t>
      </w:r>
      <w:r w:rsidRPr="001F366F">
        <w:rPr>
          <w:b/>
          <w:bCs/>
          <w:sz w:val="20"/>
          <w:szCs w:val="20"/>
          <w:u w:val="single"/>
          <w:vertAlign w:val="superscript"/>
        </w:rPr>
        <w:t>13</w:t>
      </w:r>
      <w:r w:rsidRPr="001F366F">
        <w:rPr>
          <w:b/>
          <w:bCs/>
          <w:sz w:val="20"/>
          <w:szCs w:val="20"/>
          <w:u w:val="single"/>
        </w:rPr>
        <w:t>C</w:t>
      </w:r>
      <w:r w:rsidRPr="001F366F">
        <w:rPr>
          <w:b/>
          <w:bCs/>
          <w:sz w:val="20"/>
          <w:szCs w:val="20"/>
        </w:rPr>
        <w:t xml:space="preserve">                 </w:t>
      </w:r>
      <w:r w:rsidRPr="001F366F">
        <w:rPr>
          <w:b/>
          <w:bCs/>
          <w:sz w:val="20"/>
          <w:szCs w:val="20"/>
          <w:u w:val="single"/>
          <w:vertAlign w:val="superscript"/>
        </w:rPr>
        <w:t>12</w:t>
      </w:r>
      <w:r w:rsidRPr="001F366F">
        <w:rPr>
          <w:b/>
          <w:bCs/>
          <w:sz w:val="20"/>
          <w:szCs w:val="20"/>
          <w:u w:val="single"/>
        </w:rPr>
        <w:t xml:space="preserve">C </w:t>
      </w:r>
      <w:r w:rsidRPr="001F366F">
        <w:rPr>
          <w:b/>
          <w:bCs/>
          <w:sz w:val="20"/>
          <w:szCs w:val="20"/>
        </w:rPr>
        <w:t xml:space="preserve">       </w:t>
      </w:r>
      <w:r w:rsidR="008144FD">
        <w:rPr>
          <w:b/>
          <w:bCs/>
          <w:sz w:val="20"/>
          <w:szCs w:val="20"/>
        </w:rPr>
        <w:t xml:space="preserve">    </w:t>
      </w:r>
      <w:r w:rsidRPr="001F366F">
        <w:rPr>
          <w:b/>
          <w:bCs/>
          <w:sz w:val="20"/>
          <w:szCs w:val="20"/>
        </w:rPr>
        <w:t xml:space="preserve">      </w:t>
      </w:r>
      <w:r w:rsidRPr="001F366F">
        <w:rPr>
          <w:b/>
          <w:bCs/>
          <w:sz w:val="20"/>
          <w:szCs w:val="20"/>
          <w:u w:val="single"/>
        </w:rPr>
        <w:t>1/</w:t>
      </w:r>
      <w:r w:rsidRPr="001F366F">
        <w:rPr>
          <w:b/>
          <w:bCs/>
          <w:sz w:val="20"/>
          <w:szCs w:val="20"/>
          <w:u w:val="single"/>
          <w:vertAlign w:val="superscript"/>
        </w:rPr>
        <w:t>12</w:t>
      </w:r>
      <w:r w:rsidRPr="001F366F">
        <w:rPr>
          <w:b/>
          <w:bCs/>
          <w:sz w:val="20"/>
          <w:szCs w:val="20"/>
          <w:u w:val="single"/>
        </w:rPr>
        <w:t>C</w:t>
      </w:r>
      <w:r w:rsidRPr="001F366F">
        <w:rPr>
          <w:b/>
          <w:bCs/>
          <w:sz w:val="20"/>
          <w:szCs w:val="20"/>
        </w:rPr>
        <w:t xml:space="preserve">           </w:t>
      </w:r>
      <w:r w:rsidRPr="001F366F">
        <w:rPr>
          <w:b/>
          <w:bCs/>
          <w:sz w:val="20"/>
          <w:szCs w:val="20"/>
          <w:u w:val="single"/>
          <w:vertAlign w:val="superscript"/>
        </w:rPr>
        <w:t>13</w:t>
      </w:r>
      <w:r w:rsidRPr="001F366F">
        <w:rPr>
          <w:b/>
          <w:bCs/>
          <w:sz w:val="20"/>
          <w:szCs w:val="20"/>
          <w:u w:val="single"/>
        </w:rPr>
        <w:t>C:</w:t>
      </w:r>
      <w:r w:rsidRPr="001F366F">
        <w:rPr>
          <w:b/>
          <w:bCs/>
          <w:sz w:val="20"/>
          <w:szCs w:val="20"/>
          <w:u w:val="single"/>
          <w:vertAlign w:val="superscript"/>
        </w:rPr>
        <w:t>12</w:t>
      </w:r>
      <w:r w:rsidRPr="001F366F">
        <w:rPr>
          <w:b/>
          <w:bCs/>
          <w:sz w:val="20"/>
          <w:szCs w:val="20"/>
          <w:u w:val="single"/>
        </w:rPr>
        <w:t>C</w:t>
      </w:r>
      <w:r w:rsidRPr="001F366F">
        <w:rPr>
          <w:b/>
          <w:bCs/>
          <w:sz w:val="20"/>
          <w:szCs w:val="20"/>
        </w:rPr>
        <w:t xml:space="preserve">        </w:t>
      </w:r>
      <w:r w:rsidRPr="001F366F">
        <w:rPr>
          <w:b/>
          <w:bCs/>
          <w:i/>
          <w:iCs/>
          <w:sz w:val="20"/>
          <w:szCs w:val="20"/>
        </w:rPr>
        <w:t>y</w:t>
      </w:r>
      <w:r w:rsidRPr="001F366F">
        <w:rPr>
          <w:b/>
          <w:bCs/>
          <w:sz w:val="20"/>
          <w:szCs w:val="20"/>
        </w:rPr>
        <w:t xml:space="preserve">-intercept   </w:t>
      </w:r>
      <w:r w:rsidR="008144FD">
        <w:rPr>
          <w:b/>
          <w:bCs/>
          <w:sz w:val="20"/>
          <w:szCs w:val="20"/>
        </w:rPr>
        <w:t xml:space="preserve">   </w:t>
      </w:r>
      <w:r w:rsidRPr="001F366F">
        <w:rPr>
          <w:b/>
          <w:bCs/>
          <w:sz w:val="20"/>
          <w:szCs w:val="20"/>
        </w:rPr>
        <w:t xml:space="preserve"> </w:t>
      </w:r>
      <w:r w:rsidRPr="001F366F">
        <w:rPr>
          <w:b/>
          <w:bCs/>
          <w:i/>
          <w:iCs/>
          <w:sz w:val="20"/>
          <w:szCs w:val="20"/>
        </w:rPr>
        <w:t>y</w:t>
      </w:r>
      <w:r w:rsidRPr="001F366F">
        <w:rPr>
          <w:b/>
          <w:bCs/>
          <w:sz w:val="20"/>
          <w:szCs w:val="20"/>
        </w:rPr>
        <w:t>-intercept           spline</w:t>
      </w:r>
    </w:p>
    <w:p w14:paraId="5E7CB020" w14:textId="43324912" w:rsidR="007A4D06" w:rsidRPr="001F366F" w:rsidRDefault="007A4D06" w:rsidP="0006282A">
      <w:pPr>
        <w:spacing w:line="240" w:lineRule="auto"/>
        <w:ind w:left="0" w:right="14" w:hanging="14"/>
        <w:rPr>
          <w:b/>
          <w:bCs/>
          <w:sz w:val="20"/>
          <w:szCs w:val="20"/>
        </w:rPr>
      </w:pP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t xml:space="preserve">  </w:t>
      </w:r>
      <w:r w:rsidRPr="001F366F">
        <w:rPr>
          <w:b/>
          <w:bCs/>
          <w:sz w:val="20"/>
          <w:szCs w:val="20"/>
        </w:rPr>
        <w:tab/>
      </w:r>
      <w:r w:rsidR="008144FD">
        <w:rPr>
          <w:b/>
          <w:bCs/>
          <w:sz w:val="20"/>
          <w:szCs w:val="20"/>
        </w:rPr>
        <w:tab/>
      </w:r>
      <w:r w:rsidRPr="001F366F">
        <w:rPr>
          <w:b/>
          <w:bCs/>
          <w:sz w:val="20"/>
          <w:szCs w:val="20"/>
        </w:rPr>
        <w:t xml:space="preserve"> </w:t>
      </w:r>
      <w:r w:rsidRPr="001F366F">
        <w:rPr>
          <w:b/>
          <w:bCs/>
          <w:sz w:val="20"/>
          <w:szCs w:val="20"/>
          <w:u w:val="single"/>
        </w:rPr>
        <w:t xml:space="preserve">adjusted </w:t>
      </w:r>
      <w:r w:rsidRPr="001F366F">
        <w:rPr>
          <w:b/>
          <w:bCs/>
          <w:sz w:val="20"/>
          <w:szCs w:val="20"/>
          <w:u w:val="single"/>
          <w:vertAlign w:val="superscript"/>
        </w:rPr>
        <w:t>13</w:t>
      </w:r>
      <w:r w:rsidRPr="001F366F">
        <w:rPr>
          <w:b/>
          <w:bCs/>
          <w:sz w:val="20"/>
          <w:szCs w:val="20"/>
          <w:u w:val="single"/>
        </w:rPr>
        <w:t xml:space="preserve">C </w:t>
      </w:r>
      <w:r w:rsidRPr="001F366F">
        <w:rPr>
          <w:b/>
          <w:bCs/>
          <w:sz w:val="20"/>
          <w:szCs w:val="20"/>
        </w:rPr>
        <w:t xml:space="preserve">  </w:t>
      </w:r>
      <w:r w:rsidR="008144FD">
        <w:rPr>
          <w:b/>
          <w:bCs/>
          <w:sz w:val="20"/>
          <w:szCs w:val="20"/>
        </w:rPr>
        <w:t xml:space="preserve">    </w:t>
      </w:r>
      <w:r w:rsidRPr="001F366F">
        <w:rPr>
          <w:b/>
          <w:bCs/>
          <w:sz w:val="20"/>
          <w:szCs w:val="20"/>
        </w:rPr>
        <w:t>adjusted         smoothed</w:t>
      </w:r>
    </w:p>
    <w:p w14:paraId="707DA74B" w14:textId="5B80D65C" w:rsidR="007A4D06" w:rsidRPr="001F366F" w:rsidRDefault="007A4D06" w:rsidP="0006282A">
      <w:pPr>
        <w:spacing w:line="240" w:lineRule="auto"/>
        <w:ind w:left="0" w:right="14" w:hanging="14"/>
        <w:rPr>
          <w:b/>
          <w:bCs/>
          <w:sz w:val="20"/>
          <w:szCs w:val="20"/>
          <w:u w:val="single"/>
        </w:rPr>
      </w:pP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Pr="001F366F">
        <w:rPr>
          <w:b/>
          <w:bCs/>
          <w:sz w:val="20"/>
          <w:szCs w:val="20"/>
        </w:rPr>
        <w:tab/>
      </w:r>
      <w:r w:rsidR="008144FD">
        <w:rPr>
          <w:b/>
          <w:bCs/>
          <w:sz w:val="20"/>
          <w:szCs w:val="20"/>
        </w:rPr>
        <w:tab/>
      </w:r>
      <w:r w:rsidR="008144FD">
        <w:rPr>
          <w:b/>
          <w:bCs/>
          <w:sz w:val="20"/>
          <w:szCs w:val="20"/>
        </w:rPr>
        <w:tab/>
      </w:r>
      <w:r w:rsidRPr="001F366F">
        <w:rPr>
          <w:b/>
          <w:bCs/>
          <w:sz w:val="20"/>
          <w:szCs w:val="20"/>
        </w:rPr>
        <w:t xml:space="preserve">                  </w:t>
      </w:r>
      <w:r>
        <w:rPr>
          <w:b/>
          <w:bCs/>
          <w:sz w:val="20"/>
          <w:szCs w:val="20"/>
        </w:rPr>
        <w:t xml:space="preserve">                  </w:t>
      </w:r>
      <w:r w:rsidRPr="001F366F">
        <w:rPr>
          <w:b/>
          <w:bCs/>
          <w:sz w:val="20"/>
          <w:szCs w:val="20"/>
          <w:u w:val="single"/>
          <w:vertAlign w:val="superscript"/>
        </w:rPr>
        <w:t>13</w:t>
      </w:r>
      <w:r w:rsidRPr="001F366F">
        <w:rPr>
          <w:b/>
          <w:bCs/>
          <w:sz w:val="20"/>
          <w:szCs w:val="20"/>
          <w:u w:val="single"/>
        </w:rPr>
        <w:t>C:</w:t>
      </w:r>
      <w:r w:rsidRPr="001F366F">
        <w:rPr>
          <w:b/>
          <w:bCs/>
          <w:sz w:val="20"/>
          <w:szCs w:val="20"/>
          <w:u w:val="single"/>
          <w:vertAlign w:val="superscript"/>
        </w:rPr>
        <w:t>12</w:t>
      </w:r>
      <w:r w:rsidRPr="001F366F">
        <w:rPr>
          <w:b/>
          <w:bCs/>
          <w:sz w:val="20"/>
          <w:szCs w:val="20"/>
          <w:u w:val="single"/>
        </w:rPr>
        <w:t>C</w:t>
      </w:r>
      <w:r w:rsidRPr="001F366F">
        <w:rPr>
          <w:b/>
          <w:bCs/>
          <w:sz w:val="20"/>
          <w:szCs w:val="20"/>
        </w:rPr>
        <w:t xml:space="preserve">      </w:t>
      </w:r>
      <w:r>
        <w:rPr>
          <w:b/>
          <w:bCs/>
          <w:sz w:val="20"/>
          <w:szCs w:val="20"/>
        </w:rPr>
        <w:t xml:space="preserve">    </w:t>
      </w:r>
      <w:r w:rsidRPr="001F366F">
        <w:rPr>
          <w:b/>
          <w:bCs/>
          <w:sz w:val="20"/>
          <w:szCs w:val="20"/>
        </w:rPr>
        <w:t xml:space="preserve"> </w:t>
      </w:r>
      <w:r w:rsidRPr="001F366F">
        <w:rPr>
          <w:b/>
          <w:bCs/>
          <w:sz w:val="20"/>
          <w:szCs w:val="20"/>
          <w:u w:val="single"/>
        </w:rPr>
        <w:t>derivative</w:t>
      </w:r>
    </w:p>
    <w:p w14:paraId="1F87E920" w14:textId="686E1728" w:rsidR="007A4D06" w:rsidRPr="001F366F" w:rsidRDefault="007A4D06" w:rsidP="0006282A">
      <w:pPr>
        <w:spacing w:line="240" w:lineRule="auto"/>
        <w:ind w:left="0" w:right="14" w:hanging="14"/>
        <w:rPr>
          <w:b/>
          <w:bCs/>
          <w:sz w:val="20"/>
          <w:szCs w:val="20"/>
          <w:u w:val="single"/>
        </w:rPr>
      </w:pPr>
      <w:r w:rsidRPr="001F366F">
        <w:rPr>
          <w:b/>
          <w:bCs/>
          <w:sz w:val="20"/>
          <w:szCs w:val="20"/>
          <w:u w:val="single"/>
        </w:rPr>
        <w:t xml:space="preserve"> (cm)    (%)         (%</w:t>
      </w:r>
      <w:r w:rsidRPr="001F366F">
        <w:rPr>
          <w:b/>
          <w:bCs/>
          <w:sz w:val="20"/>
          <w:szCs w:val="20"/>
          <w:u w:val="single"/>
          <w:vertAlign w:val="superscript"/>
        </w:rPr>
        <w:t>-1</w:t>
      </w:r>
      <w:r w:rsidRPr="001F366F">
        <w:rPr>
          <w:b/>
          <w:bCs/>
          <w:sz w:val="20"/>
          <w:szCs w:val="20"/>
          <w:u w:val="single"/>
        </w:rPr>
        <w:t xml:space="preserve">)           (permil)          (%)              (mM/g)          (mM/g)     </w:t>
      </w:r>
      <w:r w:rsidR="008144FD">
        <w:rPr>
          <w:b/>
          <w:bCs/>
          <w:sz w:val="20"/>
          <w:szCs w:val="20"/>
          <w:u w:val="single"/>
        </w:rPr>
        <w:t xml:space="preserve">  </w:t>
      </w:r>
      <w:r w:rsidRPr="001F366F">
        <w:rPr>
          <w:b/>
          <w:bCs/>
          <w:sz w:val="20"/>
          <w:szCs w:val="20"/>
          <w:u w:val="single"/>
        </w:rPr>
        <w:t xml:space="preserve">     (mM/g)        (mM/g)</w:t>
      </w:r>
      <w:r w:rsidRPr="001F366F">
        <w:rPr>
          <w:b/>
          <w:bCs/>
          <w:sz w:val="20"/>
          <w:szCs w:val="20"/>
          <w:u w:val="single"/>
          <w:vertAlign w:val="superscript"/>
        </w:rPr>
        <w:t>-1</w:t>
      </w:r>
      <w:r w:rsidRPr="001F366F">
        <w:rPr>
          <w:b/>
          <w:bCs/>
          <w:sz w:val="20"/>
          <w:szCs w:val="20"/>
          <w:u w:val="single"/>
        </w:rPr>
        <w:t xml:space="preserve">                       </w:t>
      </w:r>
      <w:r>
        <w:rPr>
          <w:b/>
          <w:bCs/>
          <w:sz w:val="20"/>
          <w:szCs w:val="20"/>
          <w:u w:val="single"/>
        </w:rPr>
        <w:t xml:space="preserve">     </w:t>
      </w:r>
      <w:r w:rsidRPr="001F366F">
        <w:rPr>
          <w:b/>
          <w:bCs/>
          <w:sz w:val="20"/>
          <w:szCs w:val="20"/>
          <w:u w:val="single"/>
        </w:rPr>
        <w:t xml:space="preserve">    (mM/g)__________________________</w:t>
      </w:r>
      <w:r w:rsidR="008144FD">
        <w:rPr>
          <w:b/>
          <w:bCs/>
          <w:sz w:val="20"/>
          <w:szCs w:val="20"/>
          <w:u w:val="single"/>
        </w:rPr>
        <w:t>_____________</w:t>
      </w:r>
    </w:p>
    <w:tbl>
      <w:tblPr>
        <w:tblW w:w="13515" w:type="dxa"/>
        <w:tblLook w:val="04A0" w:firstRow="1" w:lastRow="0" w:firstColumn="1" w:lastColumn="0" w:noHBand="0" w:noVBand="1"/>
      </w:tblPr>
      <w:tblGrid>
        <w:gridCol w:w="539"/>
        <w:gridCol w:w="719"/>
        <w:gridCol w:w="1169"/>
        <w:gridCol w:w="810"/>
        <w:gridCol w:w="1170"/>
        <w:gridCol w:w="1260"/>
        <w:gridCol w:w="1280"/>
        <w:gridCol w:w="1080"/>
        <w:gridCol w:w="1057"/>
        <w:gridCol w:w="1168"/>
        <w:gridCol w:w="1168"/>
        <w:gridCol w:w="1280"/>
        <w:gridCol w:w="1057"/>
      </w:tblGrid>
      <w:tr w:rsidR="007A4D06" w14:paraId="7DCA5640" w14:textId="77777777" w:rsidTr="009938B0">
        <w:trPr>
          <w:trHeight w:val="288"/>
        </w:trPr>
        <w:tc>
          <w:tcPr>
            <w:tcW w:w="539" w:type="dxa"/>
            <w:tcBorders>
              <w:top w:val="nil"/>
              <w:left w:val="nil"/>
              <w:bottom w:val="nil"/>
              <w:right w:val="nil"/>
            </w:tcBorders>
            <w:shd w:val="clear" w:color="auto" w:fill="auto"/>
            <w:noWrap/>
            <w:vAlign w:val="bottom"/>
            <w:hideMark/>
          </w:tcPr>
          <w:p w14:paraId="7B6DAF2E" w14:textId="0ADDFCF3" w:rsidR="007A4D06" w:rsidRDefault="007A4D06" w:rsidP="0006282A">
            <w:pPr>
              <w:ind w:left="0" w:right="14"/>
              <w:rPr>
                <w:rFonts w:ascii="Calibri" w:hAnsi="Calibri" w:cs="Calibri"/>
                <w:sz w:val="22"/>
              </w:rPr>
            </w:pPr>
            <w:r>
              <w:rPr>
                <w:rFonts w:ascii="Calibri" w:hAnsi="Calibri" w:cs="Calibri"/>
                <w:sz w:val="22"/>
              </w:rPr>
              <w:t xml:space="preserve">    0</w:t>
            </w:r>
          </w:p>
        </w:tc>
        <w:tc>
          <w:tcPr>
            <w:tcW w:w="719" w:type="dxa"/>
            <w:tcBorders>
              <w:top w:val="nil"/>
              <w:left w:val="nil"/>
              <w:bottom w:val="nil"/>
              <w:right w:val="nil"/>
            </w:tcBorders>
            <w:shd w:val="clear" w:color="auto" w:fill="auto"/>
            <w:noWrap/>
            <w:vAlign w:val="bottom"/>
            <w:hideMark/>
          </w:tcPr>
          <w:p w14:paraId="39E66FAC" w14:textId="77777777" w:rsidR="007A4D06" w:rsidRDefault="007A4D06" w:rsidP="0006282A">
            <w:pPr>
              <w:ind w:left="0" w:right="14"/>
              <w:rPr>
                <w:rFonts w:ascii="Calibri" w:hAnsi="Calibri" w:cs="Calibri"/>
                <w:sz w:val="22"/>
              </w:rPr>
            </w:pPr>
            <w:r>
              <w:rPr>
                <w:rFonts w:ascii="Calibri" w:hAnsi="Calibri" w:cs="Calibri"/>
                <w:sz w:val="22"/>
              </w:rPr>
              <w:t>45.5</w:t>
            </w:r>
          </w:p>
        </w:tc>
        <w:tc>
          <w:tcPr>
            <w:tcW w:w="1169" w:type="dxa"/>
            <w:tcBorders>
              <w:top w:val="nil"/>
              <w:left w:val="nil"/>
              <w:bottom w:val="nil"/>
              <w:right w:val="nil"/>
            </w:tcBorders>
            <w:shd w:val="clear" w:color="auto" w:fill="auto"/>
            <w:noWrap/>
            <w:vAlign w:val="bottom"/>
            <w:hideMark/>
          </w:tcPr>
          <w:p w14:paraId="5856EBFB" w14:textId="77777777" w:rsidR="007A4D06" w:rsidRDefault="007A4D06" w:rsidP="0006282A">
            <w:pPr>
              <w:ind w:left="0" w:right="14"/>
              <w:rPr>
                <w:rFonts w:ascii="Calibri" w:hAnsi="Calibri" w:cs="Calibri"/>
                <w:sz w:val="22"/>
              </w:rPr>
            </w:pPr>
            <w:r>
              <w:rPr>
                <w:rFonts w:ascii="Calibri" w:hAnsi="Calibri" w:cs="Calibri"/>
                <w:sz w:val="22"/>
              </w:rPr>
              <w:t>0.021978</w:t>
            </w:r>
          </w:p>
        </w:tc>
        <w:tc>
          <w:tcPr>
            <w:tcW w:w="810" w:type="dxa"/>
            <w:tcBorders>
              <w:top w:val="nil"/>
              <w:left w:val="nil"/>
              <w:bottom w:val="nil"/>
              <w:right w:val="nil"/>
            </w:tcBorders>
            <w:shd w:val="clear" w:color="auto" w:fill="auto"/>
            <w:noWrap/>
            <w:vAlign w:val="bottom"/>
            <w:hideMark/>
          </w:tcPr>
          <w:p w14:paraId="19A7D580" w14:textId="77777777" w:rsidR="007A4D06" w:rsidRDefault="007A4D06" w:rsidP="0006282A">
            <w:pPr>
              <w:ind w:left="0" w:right="14"/>
              <w:rPr>
                <w:rFonts w:ascii="Calibri" w:hAnsi="Calibri" w:cs="Calibri"/>
                <w:sz w:val="22"/>
              </w:rPr>
            </w:pPr>
            <w:r>
              <w:rPr>
                <w:rFonts w:ascii="Calibri" w:hAnsi="Calibri" w:cs="Calibri"/>
                <w:sz w:val="22"/>
              </w:rPr>
              <w:t>-27.5</w:t>
            </w:r>
          </w:p>
        </w:tc>
        <w:tc>
          <w:tcPr>
            <w:tcW w:w="1170" w:type="dxa"/>
            <w:tcBorders>
              <w:top w:val="nil"/>
              <w:left w:val="nil"/>
              <w:bottom w:val="nil"/>
              <w:right w:val="nil"/>
            </w:tcBorders>
            <w:shd w:val="clear" w:color="auto" w:fill="auto"/>
            <w:noWrap/>
            <w:vAlign w:val="bottom"/>
            <w:hideMark/>
          </w:tcPr>
          <w:p w14:paraId="56B656C1" w14:textId="1AE1BFC0" w:rsidR="007A4D06" w:rsidRDefault="007A4D06" w:rsidP="0006282A">
            <w:pPr>
              <w:ind w:left="0" w:right="14"/>
              <w:rPr>
                <w:rFonts w:ascii="Calibri" w:hAnsi="Calibri" w:cs="Calibri"/>
                <w:sz w:val="22"/>
              </w:rPr>
            </w:pPr>
            <w:r>
              <w:rPr>
                <w:rFonts w:ascii="Calibri" w:hAnsi="Calibri" w:cs="Calibri"/>
                <w:sz w:val="22"/>
              </w:rPr>
              <w:t>1.0</w:t>
            </w:r>
            <w:r w:rsidR="008F09D0">
              <w:rPr>
                <w:rFonts w:ascii="Calibri" w:hAnsi="Calibri" w:cs="Calibri"/>
                <w:sz w:val="22"/>
              </w:rPr>
              <w:t>981570</w:t>
            </w:r>
          </w:p>
        </w:tc>
        <w:tc>
          <w:tcPr>
            <w:tcW w:w="1260" w:type="dxa"/>
            <w:tcBorders>
              <w:top w:val="nil"/>
              <w:left w:val="nil"/>
              <w:bottom w:val="nil"/>
              <w:right w:val="nil"/>
            </w:tcBorders>
            <w:shd w:val="clear" w:color="auto" w:fill="auto"/>
            <w:noWrap/>
            <w:vAlign w:val="bottom"/>
            <w:hideMark/>
          </w:tcPr>
          <w:p w14:paraId="2C2B205A" w14:textId="77777777" w:rsidR="007A4D06" w:rsidRDefault="007A4D06" w:rsidP="0006282A">
            <w:pPr>
              <w:ind w:left="0" w:right="14"/>
              <w:rPr>
                <w:rFonts w:ascii="Calibri" w:hAnsi="Calibri" w:cs="Calibri"/>
                <w:sz w:val="22"/>
              </w:rPr>
            </w:pPr>
            <w:r>
              <w:rPr>
                <w:rFonts w:ascii="Calibri" w:hAnsi="Calibri" w:cs="Calibri"/>
                <w:sz w:val="22"/>
              </w:rPr>
              <w:t>37.881942</w:t>
            </w:r>
          </w:p>
        </w:tc>
        <w:tc>
          <w:tcPr>
            <w:tcW w:w="1170" w:type="dxa"/>
            <w:tcBorders>
              <w:top w:val="nil"/>
              <w:left w:val="nil"/>
              <w:bottom w:val="nil"/>
              <w:right w:val="nil"/>
            </w:tcBorders>
            <w:shd w:val="clear" w:color="auto" w:fill="auto"/>
            <w:noWrap/>
            <w:vAlign w:val="bottom"/>
            <w:hideMark/>
          </w:tcPr>
          <w:p w14:paraId="0D84E84D" w14:textId="2B9F4772" w:rsidR="007A4D06" w:rsidRDefault="007A4D06" w:rsidP="0006282A">
            <w:pPr>
              <w:ind w:left="0" w:right="14"/>
              <w:rPr>
                <w:rFonts w:ascii="Calibri" w:hAnsi="Calibri" w:cs="Calibri"/>
                <w:sz w:val="22"/>
              </w:rPr>
            </w:pPr>
            <w:r>
              <w:rPr>
                <w:rFonts w:ascii="Calibri" w:hAnsi="Calibri" w:cs="Calibri"/>
                <w:sz w:val="22"/>
              </w:rPr>
              <w:t>0.4</w:t>
            </w:r>
            <w:r w:rsidR="008F09D0">
              <w:rPr>
                <w:rFonts w:ascii="Calibri" w:hAnsi="Calibri" w:cs="Calibri"/>
                <w:sz w:val="22"/>
              </w:rPr>
              <w:t>1614179</w:t>
            </w:r>
          </w:p>
        </w:tc>
        <w:tc>
          <w:tcPr>
            <w:tcW w:w="1080" w:type="dxa"/>
            <w:tcBorders>
              <w:top w:val="nil"/>
              <w:left w:val="nil"/>
              <w:bottom w:val="nil"/>
              <w:right w:val="nil"/>
            </w:tcBorders>
            <w:shd w:val="clear" w:color="auto" w:fill="auto"/>
            <w:noWrap/>
            <w:vAlign w:val="bottom"/>
            <w:hideMark/>
          </w:tcPr>
          <w:p w14:paraId="3ED09004" w14:textId="3C33860C" w:rsidR="007A4D06" w:rsidRDefault="007A4D06" w:rsidP="0006282A">
            <w:pPr>
              <w:ind w:left="0" w:right="14"/>
              <w:rPr>
                <w:rFonts w:ascii="Calibri" w:hAnsi="Calibri" w:cs="Calibri"/>
                <w:sz w:val="22"/>
              </w:rPr>
            </w:pPr>
            <w:r>
              <w:rPr>
                <w:rFonts w:ascii="Calibri" w:hAnsi="Calibri" w:cs="Calibri"/>
                <w:sz w:val="22"/>
              </w:rPr>
              <w:t>37.47</w:t>
            </w:r>
            <w:r w:rsidR="00886F83">
              <w:rPr>
                <w:rFonts w:ascii="Calibri" w:hAnsi="Calibri" w:cs="Calibri"/>
                <w:sz w:val="22"/>
              </w:rPr>
              <w:t>842</w:t>
            </w:r>
          </w:p>
        </w:tc>
        <w:tc>
          <w:tcPr>
            <w:tcW w:w="1053" w:type="dxa"/>
            <w:tcBorders>
              <w:top w:val="nil"/>
              <w:left w:val="nil"/>
              <w:bottom w:val="nil"/>
              <w:right w:val="nil"/>
            </w:tcBorders>
            <w:shd w:val="clear" w:color="auto" w:fill="auto"/>
            <w:noWrap/>
            <w:vAlign w:val="bottom"/>
            <w:hideMark/>
          </w:tcPr>
          <w:p w14:paraId="6231AC36" w14:textId="2BA08383" w:rsidR="007A4D06" w:rsidRDefault="007A4D06" w:rsidP="0006282A">
            <w:pPr>
              <w:ind w:left="0" w:right="14"/>
              <w:rPr>
                <w:rFonts w:ascii="Calibri" w:hAnsi="Calibri" w:cs="Calibri"/>
                <w:sz w:val="22"/>
              </w:rPr>
            </w:pPr>
            <w:r>
              <w:rPr>
                <w:rFonts w:ascii="Calibri" w:hAnsi="Calibri" w:cs="Calibri"/>
                <w:sz w:val="22"/>
              </w:rPr>
              <w:t>0.02668</w:t>
            </w:r>
            <w:r w:rsidR="004B44F0">
              <w:rPr>
                <w:rFonts w:ascii="Calibri" w:hAnsi="Calibri" w:cs="Calibri"/>
                <w:sz w:val="22"/>
              </w:rPr>
              <w:t>5</w:t>
            </w:r>
          </w:p>
        </w:tc>
        <w:tc>
          <w:tcPr>
            <w:tcW w:w="1164" w:type="dxa"/>
            <w:tcBorders>
              <w:top w:val="nil"/>
              <w:left w:val="nil"/>
              <w:bottom w:val="nil"/>
              <w:right w:val="nil"/>
            </w:tcBorders>
            <w:shd w:val="clear" w:color="auto" w:fill="auto"/>
            <w:noWrap/>
            <w:vAlign w:val="bottom"/>
            <w:hideMark/>
          </w:tcPr>
          <w:p w14:paraId="26A88DC1" w14:textId="1EC88F52" w:rsidR="007A4D06" w:rsidRDefault="007A4D06" w:rsidP="0006282A">
            <w:pPr>
              <w:ind w:left="0" w:right="14"/>
              <w:rPr>
                <w:rFonts w:ascii="Calibri" w:hAnsi="Calibri" w:cs="Calibri"/>
                <w:sz w:val="22"/>
              </w:rPr>
            </w:pPr>
            <w:r>
              <w:rPr>
                <w:rFonts w:ascii="Calibri" w:hAnsi="Calibri" w:cs="Calibri"/>
                <w:sz w:val="22"/>
              </w:rPr>
              <w:t>0.01</w:t>
            </w:r>
            <w:r w:rsidR="00F90D78">
              <w:rPr>
                <w:rFonts w:ascii="Calibri" w:hAnsi="Calibri" w:cs="Calibri"/>
                <w:sz w:val="22"/>
              </w:rPr>
              <w:t>11035</w:t>
            </w:r>
          </w:p>
        </w:tc>
        <w:tc>
          <w:tcPr>
            <w:tcW w:w="1164" w:type="dxa"/>
            <w:tcBorders>
              <w:top w:val="nil"/>
              <w:left w:val="nil"/>
              <w:bottom w:val="nil"/>
              <w:right w:val="nil"/>
            </w:tcBorders>
            <w:shd w:val="clear" w:color="auto" w:fill="auto"/>
            <w:noWrap/>
            <w:vAlign w:val="bottom"/>
            <w:hideMark/>
          </w:tcPr>
          <w:p w14:paraId="2B52DB70" w14:textId="7844DA51" w:rsidR="007A4D06" w:rsidRDefault="007A4D06" w:rsidP="0006282A">
            <w:pPr>
              <w:ind w:left="0" w:right="14"/>
              <w:rPr>
                <w:rFonts w:ascii="Calibri" w:hAnsi="Calibri" w:cs="Calibri"/>
                <w:sz w:val="22"/>
              </w:rPr>
            </w:pPr>
            <w:r>
              <w:rPr>
                <w:rFonts w:ascii="Calibri" w:hAnsi="Calibri" w:cs="Calibri"/>
                <w:sz w:val="22"/>
              </w:rPr>
              <w:t>0.4</w:t>
            </w:r>
            <w:r w:rsidR="0094386C">
              <w:rPr>
                <w:rFonts w:ascii="Calibri" w:hAnsi="Calibri" w:cs="Calibri"/>
                <w:sz w:val="22"/>
              </w:rPr>
              <w:t>160696</w:t>
            </w:r>
          </w:p>
        </w:tc>
        <w:tc>
          <w:tcPr>
            <w:tcW w:w="1164" w:type="dxa"/>
            <w:tcBorders>
              <w:top w:val="nil"/>
              <w:left w:val="nil"/>
              <w:bottom w:val="nil"/>
              <w:right w:val="nil"/>
            </w:tcBorders>
            <w:shd w:val="clear" w:color="auto" w:fill="auto"/>
            <w:noWrap/>
            <w:vAlign w:val="bottom"/>
            <w:hideMark/>
          </w:tcPr>
          <w:p w14:paraId="24B9259D" w14:textId="27D70A3E" w:rsidR="007A4D06" w:rsidRDefault="007A4D06" w:rsidP="0006282A">
            <w:pPr>
              <w:ind w:left="0" w:right="14"/>
              <w:rPr>
                <w:rFonts w:ascii="Calibri" w:hAnsi="Calibri" w:cs="Calibri"/>
                <w:sz w:val="22"/>
              </w:rPr>
            </w:pPr>
            <w:r>
              <w:rPr>
                <w:rFonts w:ascii="Calibri" w:hAnsi="Calibri" w:cs="Calibri"/>
                <w:sz w:val="22"/>
              </w:rPr>
              <w:t>0.01</w:t>
            </w:r>
            <w:r w:rsidR="0094386C">
              <w:rPr>
                <w:rFonts w:ascii="Calibri" w:hAnsi="Calibri" w:cs="Calibri"/>
                <w:sz w:val="22"/>
              </w:rPr>
              <w:t>110158</w:t>
            </w:r>
          </w:p>
        </w:tc>
        <w:tc>
          <w:tcPr>
            <w:tcW w:w="1053" w:type="dxa"/>
            <w:tcBorders>
              <w:top w:val="nil"/>
              <w:left w:val="nil"/>
              <w:bottom w:val="nil"/>
              <w:right w:val="nil"/>
            </w:tcBorders>
            <w:shd w:val="clear" w:color="auto" w:fill="auto"/>
            <w:noWrap/>
            <w:vAlign w:val="bottom"/>
            <w:hideMark/>
          </w:tcPr>
          <w:p w14:paraId="6DE4CE46" w14:textId="1EE64ED0" w:rsidR="007A4D06" w:rsidRDefault="007A4D06" w:rsidP="0006282A">
            <w:pPr>
              <w:ind w:left="0" w:right="14"/>
              <w:rPr>
                <w:rFonts w:ascii="Calibri" w:hAnsi="Calibri" w:cs="Calibri"/>
                <w:sz w:val="22"/>
              </w:rPr>
            </w:pPr>
            <w:r>
              <w:rPr>
                <w:rFonts w:ascii="Calibri" w:hAnsi="Calibri" w:cs="Calibri"/>
                <w:sz w:val="22"/>
              </w:rPr>
              <w:t>0.01</w:t>
            </w:r>
            <w:r w:rsidR="00572CB2">
              <w:rPr>
                <w:rFonts w:ascii="Calibri" w:hAnsi="Calibri" w:cs="Calibri"/>
                <w:sz w:val="22"/>
              </w:rPr>
              <w:t>1096</w:t>
            </w:r>
          </w:p>
        </w:tc>
      </w:tr>
      <w:tr w:rsidR="007A4D06" w14:paraId="06B0E46F" w14:textId="77777777" w:rsidTr="009938B0">
        <w:trPr>
          <w:trHeight w:val="288"/>
        </w:trPr>
        <w:tc>
          <w:tcPr>
            <w:tcW w:w="539" w:type="dxa"/>
            <w:tcBorders>
              <w:top w:val="nil"/>
              <w:left w:val="nil"/>
              <w:bottom w:val="nil"/>
              <w:right w:val="nil"/>
            </w:tcBorders>
            <w:shd w:val="clear" w:color="auto" w:fill="auto"/>
            <w:noWrap/>
            <w:vAlign w:val="bottom"/>
            <w:hideMark/>
          </w:tcPr>
          <w:p w14:paraId="565BDB25" w14:textId="77777777" w:rsidR="007A4D06" w:rsidRDefault="007A4D06" w:rsidP="0006282A">
            <w:pPr>
              <w:ind w:left="0" w:right="14"/>
              <w:rPr>
                <w:rFonts w:ascii="Calibri" w:hAnsi="Calibri" w:cs="Calibri"/>
                <w:sz w:val="22"/>
              </w:rPr>
            </w:pPr>
            <w:r>
              <w:rPr>
                <w:rFonts w:ascii="Calibri" w:hAnsi="Calibri" w:cs="Calibri"/>
                <w:sz w:val="22"/>
              </w:rPr>
              <w:t>5</w:t>
            </w:r>
          </w:p>
        </w:tc>
        <w:tc>
          <w:tcPr>
            <w:tcW w:w="719" w:type="dxa"/>
            <w:tcBorders>
              <w:top w:val="nil"/>
              <w:left w:val="nil"/>
              <w:bottom w:val="nil"/>
              <w:right w:val="nil"/>
            </w:tcBorders>
            <w:shd w:val="clear" w:color="auto" w:fill="auto"/>
            <w:noWrap/>
            <w:vAlign w:val="bottom"/>
            <w:hideMark/>
          </w:tcPr>
          <w:p w14:paraId="1CF30B10" w14:textId="77777777" w:rsidR="007A4D06" w:rsidRDefault="007A4D06" w:rsidP="0006282A">
            <w:pPr>
              <w:ind w:left="0" w:right="14"/>
              <w:rPr>
                <w:rFonts w:ascii="Calibri" w:hAnsi="Calibri" w:cs="Calibri"/>
                <w:sz w:val="22"/>
              </w:rPr>
            </w:pPr>
            <w:r>
              <w:rPr>
                <w:rFonts w:ascii="Calibri" w:hAnsi="Calibri" w:cs="Calibri"/>
                <w:sz w:val="22"/>
              </w:rPr>
              <w:t>4.75</w:t>
            </w:r>
          </w:p>
        </w:tc>
        <w:tc>
          <w:tcPr>
            <w:tcW w:w="1169" w:type="dxa"/>
            <w:tcBorders>
              <w:top w:val="nil"/>
              <w:left w:val="nil"/>
              <w:bottom w:val="nil"/>
              <w:right w:val="nil"/>
            </w:tcBorders>
            <w:shd w:val="clear" w:color="auto" w:fill="auto"/>
            <w:noWrap/>
            <w:vAlign w:val="bottom"/>
            <w:hideMark/>
          </w:tcPr>
          <w:p w14:paraId="32FC1884" w14:textId="77777777" w:rsidR="007A4D06" w:rsidRDefault="007A4D06" w:rsidP="0006282A">
            <w:pPr>
              <w:ind w:left="0" w:right="14"/>
              <w:rPr>
                <w:rFonts w:ascii="Calibri" w:hAnsi="Calibri" w:cs="Calibri"/>
                <w:sz w:val="22"/>
              </w:rPr>
            </w:pPr>
            <w:r>
              <w:rPr>
                <w:rFonts w:ascii="Calibri" w:hAnsi="Calibri" w:cs="Calibri"/>
                <w:sz w:val="22"/>
              </w:rPr>
              <w:t>0.210526</w:t>
            </w:r>
          </w:p>
        </w:tc>
        <w:tc>
          <w:tcPr>
            <w:tcW w:w="810" w:type="dxa"/>
            <w:tcBorders>
              <w:top w:val="nil"/>
              <w:left w:val="nil"/>
              <w:bottom w:val="nil"/>
              <w:right w:val="nil"/>
            </w:tcBorders>
            <w:shd w:val="clear" w:color="auto" w:fill="auto"/>
            <w:noWrap/>
            <w:vAlign w:val="bottom"/>
            <w:hideMark/>
          </w:tcPr>
          <w:p w14:paraId="0C45402C" w14:textId="77777777" w:rsidR="007A4D06" w:rsidRDefault="007A4D06" w:rsidP="0006282A">
            <w:pPr>
              <w:ind w:left="0" w:right="14"/>
              <w:rPr>
                <w:rFonts w:ascii="Calibri" w:hAnsi="Calibri" w:cs="Calibri"/>
                <w:sz w:val="22"/>
              </w:rPr>
            </w:pPr>
            <w:r>
              <w:rPr>
                <w:rFonts w:ascii="Calibri" w:hAnsi="Calibri" w:cs="Calibri"/>
                <w:sz w:val="22"/>
              </w:rPr>
              <w:t>-25.5</w:t>
            </w:r>
          </w:p>
        </w:tc>
        <w:tc>
          <w:tcPr>
            <w:tcW w:w="1170" w:type="dxa"/>
            <w:tcBorders>
              <w:top w:val="nil"/>
              <w:left w:val="nil"/>
              <w:bottom w:val="nil"/>
              <w:right w:val="nil"/>
            </w:tcBorders>
            <w:shd w:val="clear" w:color="auto" w:fill="auto"/>
            <w:noWrap/>
            <w:vAlign w:val="bottom"/>
            <w:hideMark/>
          </w:tcPr>
          <w:p w14:paraId="57BB7EA5" w14:textId="4F0200B3" w:rsidR="007A4D06" w:rsidRDefault="007A4D06" w:rsidP="0006282A">
            <w:pPr>
              <w:ind w:left="0" w:right="14"/>
              <w:rPr>
                <w:rFonts w:ascii="Calibri" w:hAnsi="Calibri" w:cs="Calibri"/>
                <w:sz w:val="22"/>
              </w:rPr>
            </w:pPr>
            <w:r>
              <w:rPr>
                <w:rFonts w:ascii="Calibri" w:hAnsi="Calibri" w:cs="Calibri"/>
                <w:sz w:val="22"/>
              </w:rPr>
              <w:t>1.0</w:t>
            </w:r>
            <w:r w:rsidR="008F09D0">
              <w:rPr>
                <w:rFonts w:ascii="Calibri" w:hAnsi="Calibri" w:cs="Calibri"/>
                <w:sz w:val="22"/>
              </w:rPr>
              <w:t>041544</w:t>
            </w:r>
          </w:p>
        </w:tc>
        <w:tc>
          <w:tcPr>
            <w:tcW w:w="1260" w:type="dxa"/>
            <w:tcBorders>
              <w:top w:val="nil"/>
              <w:left w:val="nil"/>
              <w:bottom w:val="nil"/>
              <w:right w:val="nil"/>
            </w:tcBorders>
            <w:shd w:val="clear" w:color="auto" w:fill="auto"/>
            <w:noWrap/>
            <w:vAlign w:val="bottom"/>
            <w:hideMark/>
          </w:tcPr>
          <w:p w14:paraId="4EF675A7" w14:textId="77777777" w:rsidR="007A4D06" w:rsidRDefault="007A4D06" w:rsidP="0006282A">
            <w:pPr>
              <w:ind w:left="0" w:right="14"/>
              <w:rPr>
                <w:rFonts w:ascii="Calibri" w:hAnsi="Calibri" w:cs="Calibri"/>
                <w:sz w:val="22"/>
              </w:rPr>
            </w:pPr>
            <w:r>
              <w:rPr>
                <w:rFonts w:ascii="Calibri" w:hAnsi="Calibri" w:cs="Calibri"/>
                <w:sz w:val="22"/>
              </w:rPr>
              <w:t>3.9547082</w:t>
            </w:r>
          </w:p>
        </w:tc>
        <w:tc>
          <w:tcPr>
            <w:tcW w:w="1170" w:type="dxa"/>
            <w:tcBorders>
              <w:top w:val="nil"/>
              <w:left w:val="nil"/>
              <w:bottom w:val="nil"/>
              <w:right w:val="nil"/>
            </w:tcBorders>
            <w:shd w:val="clear" w:color="auto" w:fill="auto"/>
            <w:noWrap/>
            <w:vAlign w:val="bottom"/>
            <w:hideMark/>
          </w:tcPr>
          <w:p w14:paraId="600C6F38" w14:textId="5A7DED68" w:rsidR="007A4D06" w:rsidRDefault="007A4D06" w:rsidP="0006282A">
            <w:pPr>
              <w:ind w:left="0" w:right="14"/>
              <w:rPr>
                <w:rFonts w:ascii="Calibri" w:hAnsi="Calibri" w:cs="Calibri"/>
                <w:sz w:val="22"/>
              </w:rPr>
            </w:pPr>
            <w:r>
              <w:rPr>
                <w:rFonts w:ascii="Calibri" w:hAnsi="Calibri" w:cs="Calibri"/>
                <w:sz w:val="22"/>
              </w:rPr>
              <w:t>0.04</w:t>
            </w:r>
            <w:r w:rsidR="008F09D0">
              <w:rPr>
                <w:rFonts w:ascii="Calibri" w:hAnsi="Calibri" w:cs="Calibri"/>
                <w:sz w:val="22"/>
              </w:rPr>
              <w:t>353271</w:t>
            </w:r>
          </w:p>
        </w:tc>
        <w:tc>
          <w:tcPr>
            <w:tcW w:w="1080" w:type="dxa"/>
            <w:tcBorders>
              <w:top w:val="nil"/>
              <w:left w:val="nil"/>
              <w:bottom w:val="nil"/>
              <w:right w:val="nil"/>
            </w:tcBorders>
            <w:shd w:val="clear" w:color="auto" w:fill="auto"/>
            <w:noWrap/>
            <w:vAlign w:val="bottom"/>
            <w:hideMark/>
          </w:tcPr>
          <w:p w14:paraId="5813923B" w14:textId="0BAF5C40" w:rsidR="007A4D06" w:rsidRDefault="007A4D06" w:rsidP="0006282A">
            <w:pPr>
              <w:ind w:left="0" w:right="14"/>
              <w:rPr>
                <w:rFonts w:ascii="Calibri" w:hAnsi="Calibri" w:cs="Calibri"/>
                <w:sz w:val="22"/>
              </w:rPr>
            </w:pPr>
            <w:r>
              <w:rPr>
                <w:rFonts w:ascii="Calibri" w:hAnsi="Calibri" w:cs="Calibri"/>
                <w:sz w:val="22"/>
              </w:rPr>
              <w:t>3.912</w:t>
            </w:r>
            <w:r w:rsidR="00886F83">
              <w:rPr>
                <w:rFonts w:ascii="Calibri" w:hAnsi="Calibri" w:cs="Calibri"/>
                <w:sz w:val="22"/>
              </w:rPr>
              <w:t>493</w:t>
            </w:r>
          </w:p>
        </w:tc>
        <w:tc>
          <w:tcPr>
            <w:tcW w:w="1053" w:type="dxa"/>
            <w:tcBorders>
              <w:top w:val="nil"/>
              <w:left w:val="nil"/>
              <w:bottom w:val="nil"/>
              <w:right w:val="nil"/>
            </w:tcBorders>
            <w:shd w:val="clear" w:color="auto" w:fill="auto"/>
            <w:noWrap/>
            <w:vAlign w:val="bottom"/>
            <w:hideMark/>
          </w:tcPr>
          <w:p w14:paraId="01DDC7F1" w14:textId="6EB8A4D2" w:rsidR="007A4D06" w:rsidRDefault="007A4D06" w:rsidP="0006282A">
            <w:pPr>
              <w:ind w:left="0" w:right="14"/>
              <w:rPr>
                <w:rFonts w:ascii="Calibri" w:hAnsi="Calibri" w:cs="Calibri"/>
                <w:sz w:val="22"/>
              </w:rPr>
            </w:pPr>
            <w:r>
              <w:rPr>
                <w:rFonts w:ascii="Calibri" w:hAnsi="Calibri" w:cs="Calibri"/>
                <w:sz w:val="22"/>
              </w:rPr>
              <w:t>0.255616</w:t>
            </w:r>
          </w:p>
        </w:tc>
        <w:tc>
          <w:tcPr>
            <w:tcW w:w="1164" w:type="dxa"/>
            <w:tcBorders>
              <w:top w:val="nil"/>
              <w:left w:val="nil"/>
              <w:bottom w:val="nil"/>
              <w:right w:val="nil"/>
            </w:tcBorders>
            <w:shd w:val="clear" w:color="auto" w:fill="auto"/>
            <w:noWrap/>
            <w:vAlign w:val="bottom"/>
            <w:hideMark/>
          </w:tcPr>
          <w:p w14:paraId="344C083F" w14:textId="432C8212" w:rsidR="007A4D06" w:rsidRDefault="007A4D06" w:rsidP="0006282A">
            <w:pPr>
              <w:ind w:left="0" w:right="14"/>
              <w:rPr>
                <w:rFonts w:ascii="Calibri" w:hAnsi="Calibri" w:cs="Calibri"/>
                <w:sz w:val="22"/>
              </w:rPr>
            </w:pPr>
            <w:r>
              <w:rPr>
                <w:rFonts w:ascii="Calibri" w:hAnsi="Calibri" w:cs="Calibri"/>
                <w:sz w:val="22"/>
              </w:rPr>
              <w:t>0.01</w:t>
            </w:r>
            <w:r w:rsidR="00F90D78">
              <w:rPr>
                <w:rFonts w:ascii="Calibri" w:hAnsi="Calibri" w:cs="Calibri"/>
                <w:sz w:val="22"/>
              </w:rPr>
              <w:t>11265</w:t>
            </w:r>
          </w:p>
        </w:tc>
        <w:tc>
          <w:tcPr>
            <w:tcW w:w="1164" w:type="dxa"/>
            <w:tcBorders>
              <w:top w:val="nil"/>
              <w:left w:val="nil"/>
              <w:bottom w:val="nil"/>
              <w:right w:val="nil"/>
            </w:tcBorders>
            <w:shd w:val="clear" w:color="auto" w:fill="auto"/>
            <w:noWrap/>
            <w:vAlign w:val="bottom"/>
            <w:hideMark/>
          </w:tcPr>
          <w:p w14:paraId="63E52C5B" w14:textId="2ABCBA1D" w:rsidR="007A4D06" w:rsidRDefault="007A4D06" w:rsidP="0006282A">
            <w:pPr>
              <w:ind w:left="0" w:right="14"/>
              <w:rPr>
                <w:rFonts w:ascii="Calibri" w:hAnsi="Calibri" w:cs="Calibri"/>
                <w:sz w:val="22"/>
              </w:rPr>
            </w:pPr>
            <w:r>
              <w:rPr>
                <w:rFonts w:ascii="Calibri" w:hAnsi="Calibri" w:cs="Calibri"/>
                <w:sz w:val="22"/>
              </w:rPr>
              <w:t>0.04</w:t>
            </w:r>
            <w:r w:rsidR="0094386C">
              <w:rPr>
                <w:rFonts w:ascii="Calibri" w:hAnsi="Calibri" w:cs="Calibri"/>
                <w:sz w:val="22"/>
              </w:rPr>
              <w:t>34605</w:t>
            </w:r>
          </w:p>
        </w:tc>
        <w:tc>
          <w:tcPr>
            <w:tcW w:w="1164" w:type="dxa"/>
            <w:tcBorders>
              <w:top w:val="nil"/>
              <w:left w:val="nil"/>
              <w:bottom w:val="nil"/>
              <w:right w:val="nil"/>
            </w:tcBorders>
            <w:shd w:val="clear" w:color="auto" w:fill="auto"/>
            <w:noWrap/>
            <w:vAlign w:val="bottom"/>
            <w:hideMark/>
          </w:tcPr>
          <w:p w14:paraId="69E39D3C" w14:textId="6927A6AE" w:rsidR="007A4D06" w:rsidRDefault="007A4D06" w:rsidP="0006282A">
            <w:pPr>
              <w:ind w:left="0" w:right="14"/>
              <w:rPr>
                <w:rFonts w:ascii="Calibri" w:hAnsi="Calibri" w:cs="Calibri"/>
                <w:sz w:val="22"/>
              </w:rPr>
            </w:pPr>
            <w:r>
              <w:rPr>
                <w:rFonts w:ascii="Calibri" w:hAnsi="Calibri" w:cs="Calibri"/>
                <w:sz w:val="22"/>
              </w:rPr>
              <w:t>0.01</w:t>
            </w:r>
            <w:r w:rsidR="0094386C">
              <w:rPr>
                <w:rFonts w:ascii="Calibri" w:hAnsi="Calibri" w:cs="Calibri"/>
                <w:sz w:val="22"/>
              </w:rPr>
              <w:t>110813</w:t>
            </w:r>
          </w:p>
        </w:tc>
        <w:tc>
          <w:tcPr>
            <w:tcW w:w="1053" w:type="dxa"/>
            <w:tcBorders>
              <w:top w:val="nil"/>
              <w:left w:val="nil"/>
              <w:bottom w:val="nil"/>
              <w:right w:val="nil"/>
            </w:tcBorders>
            <w:shd w:val="clear" w:color="auto" w:fill="auto"/>
            <w:noWrap/>
            <w:vAlign w:val="bottom"/>
            <w:hideMark/>
          </w:tcPr>
          <w:p w14:paraId="5C140281" w14:textId="23E86E09" w:rsidR="007A4D06" w:rsidRDefault="007A4D06" w:rsidP="0006282A">
            <w:pPr>
              <w:ind w:left="0" w:right="14"/>
              <w:rPr>
                <w:rFonts w:ascii="Calibri" w:hAnsi="Calibri" w:cs="Calibri"/>
                <w:sz w:val="22"/>
              </w:rPr>
            </w:pPr>
            <w:r>
              <w:rPr>
                <w:rFonts w:ascii="Calibri" w:hAnsi="Calibri" w:cs="Calibri"/>
                <w:sz w:val="22"/>
              </w:rPr>
              <w:t>0.01</w:t>
            </w:r>
            <w:r w:rsidR="00572CB2">
              <w:rPr>
                <w:rFonts w:ascii="Calibri" w:hAnsi="Calibri" w:cs="Calibri"/>
                <w:sz w:val="22"/>
              </w:rPr>
              <w:t>1132</w:t>
            </w:r>
          </w:p>
        </w:tc>
      </w:tr>
      <w:tr w:rsidR="007A4D06" w14:paraId="6A9C9753" w14:textId="77777777" w:rsidTr="009938B0">
        <w:trPr>
          <w:trHeight w:val="288"/>
        </w:trPr>
        <w:tc>
          <w:tcPr>
            <w:tcW w:w="539" w:type="dxa"/>
            <w:tcBorders>
              <w:top w:val="nil"/>
              <w:left w:val="nil"/>
              <w:bottom w:val="nil"/>
              <w:right w:val="nil"/>
            </w:tcBorders>
            <w:shd w:val="clear" w:color="auto" w:fill="auto"/>
            <w:noWrap/>
            <w:vAlign w:val="bottom"/>
            <w:hideMark/>
          </w:tcPr>
          <w:p w14:paraId="4B383A6F" w14:textId="77777777" w:rsidR="007A4D06" w:rsidRDefault="007A4D06" w:rsidP="0006282A">
            <w:pPr>
              <w:ind w:left="0" w:right="14"/>
              <w:rPr>
                <w:rFonts w:ascii="Calibri" w:hAnsi="Calibri" w:cs="Calibri"/>
                <w:sz w:val="22"/>
              </w:rPr>
            </w:pPr>
            <w:r>
              <w:rPr>
                <w:rFonts w:ascii="Calibri" w:hAnsi="Calibri" w:cs="Calibri"/>
                <w:sz w:val="22"/>
              </w:rPr>
              <w:t>10</w:t>
            </w:r>
          </w:p>
        </w:tc>
        <w:tc>
          <w:tcPr>
            <w:tcW w:w="719" w:type="dxa"/>
            <w:tcBorders>
              <w:top w:val="nil"/>
              <w:left w:val="nil"/>
              <w:bottom w:val="nil"/>
              <w:right w:val="nil"/>
            </w:tcBorders>
            <w:shd w:val="clear" w:color="auto" w:fill="auto"/>
            <w:noWrap/>
            <w:vAlign w:val="bottom"/>
            <w:hideMark/>
          </w:tcPr>
          <w:p w14:paraId="4726926F" w14:textId="77777777" w:rsidR="007A4D06" w:rsidRDefault="007A4D06" w:rsidP="0006282A">
            <w:pPr>
              <w:ind w:left="0" w:right="14"/>
              <w:rPr>
                <w:rFonts w:ascii="Calibri" w:hAnsi="Calibri" w:cs="Calibri"/>
                <w:sz w:val="22"/>
              </w:rPr>
            </w:pPr>
            <w:r>
              <w:rPr>
                <w:rFonts w:ascii="Calibri" w:hAnsi="Calibri" w:cs="Calibri"/>
                <w:sz w:val="22"/>
              </w:rPr>
              <w:t>3</w:t>
            </w:r>
          </w:p>
        </w:tc>
        <w:tc>
          <w:tcPr>
            <w:tcW w:w="1169" w:type="dxa"/>
            <w:tcBorders>
              <w:top w:val="nil"/>
              <w:left w:val="nil"/>
              <w:bottom w:val="nil"/>
              <w:right w:val="nil"/>
            </w:tcBorders>
            <w:shd w:val="clear" w:color="auto" w:fill="auto"/>
            <w:noWrap/>
            <w:vAlign w:val="bottom"/>
            <w:hideMark/>
          </w:tcPr>
          <w:p w14:paraId="2DCC8B8F" w14:textId="77777777" w:rsidR="007A4D06" w:rsidRDefault="007A4D06" w:rsidP="0006282A">
            <w:pPr>
              <w:ind w:left="0" w:right="14"/>
              <w:rPr>
                <w:rFonts w:ascii="Calibri" w:hAnsi="Calibri" w:cs="Calibri"/>
                <w:sz w:val="22"/>
              </w:rPr>
            </w:pPr>
            <w:r>
              <w:rPr>
                <w:rFonts w:ascii="Calibri" w:hAnsi="Calibri" w:cs="Calibri"/>
                <w:sz w:val="22"/>
              </w:rPr>
              <w:t>0.333333</w:t>
            </w:r>
          </w:p>
        </w:tc>
        <w:tc>
          <w:tcPr>
            <w:tcW w:w="810" w:type="dxa"/>
            <w:tcBorders>
              <w:top w:val="nil"/>
              <w:left w:val="nil"/>
              <w:bottom w:val="nil"/>
              <w:right w:val="nil"/>
            </w:tcBorders>
            <w:shd w:val="clear" w:color="auto" w:fill="auto"/>
            <w:noWrap/>
            <w:vAlign w:val="bottom"/>
            <w:hideMark/>
          </w:tcPr>
          <w:p w14:paraId="1B12C19F" w14:textId="77777777" w:rsidR="007A4D06" w:rsidRDefault="007A4D06" w:rsidP="0006282A">
            <w:pPr>
              <w:ind w:left="0" w:right="14"/>
              <w:rPr>
                <w:rFonts w:ascii="Calibri" w:hAnsi="Calibri" w:cs="Calibri"/>
                <w:sz w:val="22"/>
              </w:rPr>
            </w:pPr>
            <w:r>
              <w:rPr>
                <w:rFonts w:ascii="Calibri" w:hAnsi="Calibri" w:cs="Calibri"/>
                <w:sz w:val="22"/>
              </w:rPr>
              <w:t>-25.7</w:t>
            </w:r>
          </w:p>
        </w:tc>
        <w:tc>
          <w:tcPr>
            <w:tcW w:w="1170" w:type="dxa"/>
            <w:tcBorders>
              <w:top w:val="nil"/>
              <w:left w:val="nil"/>
              <w:bottom w:val="nil"/>
              <w:right w:val="nil"/>
            </w:tcBorders>
            <w:shd w:val="clear" w:color="auto" w:fill="auto"/>
            <w:noWrap/>
            <w:vAlign w:val="bottom"/>
            <w:hideMark/>
          </w:tcPr>
          <w:p w14:paraId="399AADFB" w14:textId="1B5AD4E1" w:rsidR="007A4D06" w:rsidRDefault="007A4D06" w:rsidP="0006282A">
            <w:pPr>
              <w:ind w:left="0" w:right="14"/>
              <w:rPr>
                <w:rFonts w:ascii="Calibri" w:hAnsi="Calibri" w:cs="Calibri"/>
                <w:sz w:val="22"/>
              </w:rPr>
            </w:pPr>
            <w:r>
              <w:rPr>
                <w:rFonts w:ascii="Calibri" w:hAnsi="Calibri" w:cs="Calibri"/>
                <w:sz w:val="22"/>
              </w:rPr>
              <w:t>1.0</w:t>
            </w:r>
            <w:r w:rsidR="008F09D0">
              <w:rPr>
                <w:rFonts w:ascii="Calibri" w:hAnsi="Calibri" w:cs="Calibri"/>
                <w:sz w:val="22"/>
              </w:rPr>
              <w:t>100189</w:t>
            </w:r>
          </w:p>
        </w:tc>
        <w:tc>
          <w:tcPr>
            <w:tcW w:w="1260" w:type="dxa"/>
            <w:tcBorders>
              <w:top w:val="nil"/>
              <w:left w:val="nil"/>
              <w:bottom w:val="nil"/>
              <w:right w:val="nil"/>
            </w:tcBorders>
            <w:shd w:val="clear" w:color="auto" w:fill="auto"/>
            <w:noWrap/>
            <w:vAlign w:val="bottom"/>
            <w:hideMark/>
          </w:tcPr>
          <w:p w14:paraId="7E113904" w14:textId="77777777" w:rsidR="007A4D06" w:rsidRDefault="007A4D06" w:rsidP="0006282A">
            <w:pPr>
              <w:ind w:left="0" w:right="14"/>
              <w:rPr>
                <w:rFonts w:ascii="Calibri" w:hAnsi="Calibri" w:cs="Calibri"/>
                <w:sz w:val="22"/>
              </w:rPr>
            </w:pPr>
            <w:r>
              <w:rPr>
                <w:rFonts w:ascii="Calibri" w:hAnsi="Calibri" w:cs="Calibri"/>
                <w:sz w:val="22"/>
              </w:rPr>
              <w:t>2.4977104</w:t>
            </w:r>
          </w:p>
        </w:tc>
        <w:tc>
          <w:tcPr>
            <w:tcW w:w="1170" w:type="dxa"/>
            <w:tcBorders>
              <w:top w:val="nil"/>
              <w:left w:val="nil"/>
              <w:bottom w:val="nil"/>
              <w:right w:val="nil"/>
            </w:tcBorders>
            <w:shd w:val="clear" w:color="auto" w:fill="auto"/>
            <w:noWrap/>
            <w:vAlign w:val="bottom"/>
            <w:hideMark/>
          </w:tcPr>
          <w:p w14:paraId="75C54F8D" w14:textId="26766AE9" w:rsidR="007A4D06" w:rsidRDefault="007A4D06" w:rsidP="0006282A">
            <w:pPr>
              <w:ind w:left="0" w:right="14"/>
              <w:rPr>
                <w:rFonts w:ascii="Calibri" w:hAnsi="Calibri" w:cs="Calibri"/>
                <w:sz w:val="22"/>
              </w:rPr>
            </w:pPr>
            <w:r>
              <w:rPr>
                <w:rFonts w:ascii="Calibri" w:hAnsi="Calibri" w:cs="Calibri"/>
                <w:sz w:val="22"/>
              </w:rPr>
              <w:t>0.0</w:t>
            </w:r>
            <w:r w:rsidR="008F09D0">
              <w:rPr>
                <w:rFonts w:ascii="Calibri" w:hAnsi="Calibri" w:cs="Calibri"/>
                <w:sz w:val="22"/>
              </w:rPr>
              <w:t>2748871</w:t>
            </w:r>
          </w:p>
        </w:tc>
        <w:tc>
          <w:tcPr>
            <w:tcW w:w="1080" w:type="dxa"/>
            <w:tcBorders>
              <w:top w:val="nil"/>
              <w:left w:val="nil"/>
              <w:bottom w:val="nil"/>
              <w:right w:val="nil"/>
            </w:tcBorders>
            <w:shd w:val="clear" w:color="auto" w:fill="auto"/>
            <w:noWrap/>
            <w:vAlign w:val="bottom"/>
            <w:hideMark/>
          </w:tcPr>
          <w:p w14:paraId="2D89D33A" w14:textId="3877E8DC" w:rsidR="007A4D06" w:rsidRDefault="007A4D06" w:rsidP="0006282A">
            <w:pPr>
              <w:ind w:left="0" w:right="14"/>
              <w:rPr>
                <w:rFonts w:ascii="Calibri" w:hAnsi="Calibri" w:cs="Calibri"/>
                <w:sz w:val="22"/>
              </w:rPr>
            </w:pPr>
            <w:r>
              <w:rPr>
                <w:rFonts w:ascii="Calibri" w:hAnsi="Calibri" w:cs="Calibri"/>
                <w:sz w:val="22"/>
              </w:rPr>
              <w:t>2.47</w:t>
            </w:r>
            <w:r w:rsidR="00886F83">
              <w:rPr>
                <w:rFonts w:ascii="Calibri" w:hAnsi="Calibri" w:cs="Calibri"/>
                <w:sz w:val="22"/>
              </w:rPr>
              <w:t>1054</w:t>
            </w:r>
          </w:p>
        </w:tc>
        <w:tc>
          <w:tcPr>
            <w:tcW w:w="1053" w:type="dxa"/>
            <w:tcBorders>
              <w:top w:val="nil"/>
              <w:left w:val="nil"/>
              <w:bottom w:val="nil"/>
              <w:right w:val="nil"/>
            </w:tcBorders>
            <w:shd w:val="clear" w:color="auto" w:fill="auto"/>
            <w:noWrap/>
            <w:vAlign w:val="bottom"/>
            <w:hideMark/>
          </w:tcPr>
          <w:p w14:paraId="1B792D6B" w14:textId="77777777" w:rsidR="007A4D06" w:rsidRDefault="007A4D06" w:rsidP="0006282A">
            <w:pPr>
              <w:ind w:left="0" w:right="14"/>
              <w:rPr>
                <w:rFonts w:ascii="Calibri" w:hAnsi="Calibri" w:cs="Calibri"/>
                <w:sz w:val="22"/>
              </w:rPr>
            </w:pPr>
            <w:r>
              <w:rPr>
                <w:rFonts w:ascii="Calibri" w:hAnsi="Calibri" w:cs="Calibri"/>
                <w:sz w:val="22"/>
              </w:rPr>
              <w:t>0.404725</w:t>
            </w:r>
          </w:p>
        </w:tc>
        <w:tc>
          <w:tcPr>
            <w:tcW w:w="1164" w:type="dxa"/>
            <w:tcBorders>
              <w:top w:val="nil"/>
              <w:left w:val="nil"/>
              <w:bottom w:val="nil"/>
              <w:right w:val="nil"/>
            </w:tcBorders>
            <w:shd w:val="clear" w:color="auto" w:fill="auto"/>
            <w:noWrap/>
            <w:vAlign w:val="bottom"/>
            <w:hideMark/>
          </w:tcPr>
          <w:p w14:paraId="12D01114" w14:textId="4F045928" w:rsidR="007A4D06" w:rsidRDefault="007A4D06" w:rsidP="0006282A">
            <w:pPr>
              <w:ind w:left="0" w:right="14"/>
              <w:rPr>
                <w:rFonts w:ascii="Calibri" w:hAnsi="Calibri" w:cs="Calibri"/>
                <w:sz w:val="22"/>
              </w:rPr>
            </w:pPr>
            <w:r>
              <w:rPr>
                <w:rFonts w:ascii="Calibri" w:hAnsi="Calibri" w:cs="Calibri"/>
                <w:sz w:val="22"/>
              </w:rPr>
              <w:t>0.01</w:t>
            </w:r>
            <w:r w:rsidR="00F90D78">
              <w:rPr>
                <w:rFonts w:ascii="Calibri" w:hAnsi="Calibri" w:cs="Calibri"/>
                <w:sz w:val="22"/>
              </w:rPr>
              <w:t>11243</w:t>
            </w:r>
          </w:p>
        </w:tc>
        <w:tc>
          <w:tcPr>
            <w:tcW w:w="1164" w:type="dxa"/>
            <w:tcBorders>
              <w:top w:val="nil"/>
              <w:left w:val="nil"/>
              <w:bottom w:val="nil"/>
              <w:right w:val="nil"/>
            </w:tcBorders>
            <w:shd w:val="clear" w:color="auto" w:fill="auto"/>
            <w:noWrap/>
            <w:vAlign w:val="bottom"/>
            <w:hideMark/>
          </w:tcPr>
          <w:p w14:paraId="532BF060" w14:textId="288B2804" w:rsidR="007A4D06" w:rsidRDefault="007A4D06" w:rsidP="0006282A">
            <w:pPr>
              <w:ind w:left="0" w:right="14"/>
              <w:rPr>
                <w:rFonts w:ascii="Calibri" w:hAnsi="Calibri" w:cs="Calibri"/>
                <w:sz w:val="22"/>
              </w:rPr>
            </w:pPr>
            <w:r>
              <w:rPr>
                <w:rFonts w:ascii="Calibri" w:hAnsi="Calibri" w:cs="Calibri"/>
                <w:sz w:val="22"/>
              </w:rPr>
              <w:t>0.02</w:t>
            </w:r>
            <w:r w:rsidR="0094386C">
              <w:rPr>
                <w:rFonts w:ascii="Calibri" w:hAnsi="Calibri" w:cs="Calibri"/>
                <w:sz w:val="22"/>
              </w:rPr>
              <w:t>74165</w:t>
            </w:r>
          </w:p>
        </w:tc>
        <w:tc>
          <w:tcPr>
            <w:tcW w:w="1164" w:type="dxa"/>
            <w:tcBorders>
              <w:top w:val="nil"/>
              <w:left w:val="nil"/>
              <w:bottom w:val="nil"/>
              <w:right w:val="nil"/>
            </w:tcBorders>
            <w:shd w:val="clear" w:color="auto" w:fill="auto"/>
            <w:noWrap/>
            <w:vAlign w:val="bottom"/>
            <w:hideMark/>
          </w:tcPr>
          <w:p w14:paraId="57B170FC" w14:textId="7650F817" w:rsidR="007A4D06" w:rsidRDefault="007A4D06" w:rsidP="0006282A">
            <w:pPr>
              <w:ind w:left="0" w:right="14"/>
              <w:rPr>
                <w:rFonts w:ascii="Calibri" w:hAnsi="Calibri" w:cs="Calibri"/>
                <w:sz w:val="22"/>
              </w:rPr>
            </w:pPr>
            <w:r>
              <w:rPr>
                <w:rFonts w:ascii="Calibri" w:hAnsi="Calibri" w:cs="Calibri"/>
                <w:sz w:val="22"/>
              </w:rPr>
              <w:t>0.01</w:t>
            </w:r>
            <w:r w:rsidR="0094386C">
              <w:rPr>
                <w:rFonts w:ascii="Calibri" w:hAnsi="Calibri" w:cs="Calibri"/>
                <w:sz w:val="22"/>
              </w:rPr>
              <w:t>109505</w:t>
            </w:r>
          </w:p>
        </w:tc>
        <w:tc>
          <w:tcPr>
            <w:tcW w:w="1053" w:type="dxa"/>
            <w:tcBorders>
              <w:top w:val="nil"/>
              <w:left w:val="nil"/>
              <w:bottom w:val="nil"/>
              <w:right w:val="nil"/>
            </w:tcBorders>
            <w:shd w:val="clear" w:color="auto" w:fill="auto"/>
            <w:noWrap/>
            <w:vAlign w:val="bottom"/>
            <w:hideMark/>
          </w:tcPr>
          <w:p w14:paraId="4D4852C8" w14:textId="4B231DFA" w:rsidR="007A4D06" w:rsidRDefault="007A4D06" w:rsidP="0006282A">
            <w:pPr>
              <w:ind w:left="0" w:right="14"/>
              <w:rPr>
                <w:rFonts w:ascii="Calibri" w:hAnsi="Calibri" w:cs="Calibri"/>
                <w:sz w:val="22"/>
              </w:rPr>
            </w:pPr>
            <w:r>
              <w:rPr>
                <w:rFonts w:ascii="Calibri" w:hAnsi="Calibri" w:cs="Calibri"/>
                <w:sz w:val="22"/>
              </w:rPr>
              <w:t>0.01</w:t>
            </w:r>
            <w:r w:rsidR="00572CB2">
              <w:rPr>
                <w:rFonts w:ascii="Calibri" w:hAnsi="Calibri" w:cs="Calibri"/>
                <w:sz w:val="22"/>
              </w:rPr>
              <w:t>1106</w:t>
            </w:r>
          </w:p>
        </w:tc>
      </w:tr>
      <w:tr w:rsidR="007A4D06" w14:paraId="18FC0C3E" w14:textId="77777777" w:rsidTr="009938B0">
        <w:trPr>
          <w:trHeight w:val="288"/>
        </w:trPr>
        <w:tc>
          <w:tcPr>
            <w:tcW w:w="539" w:type="dxa"/>
            <w:tcBorders>
              <w:top w:val="nil"/>
              <w:left w:val="nil"/>
              <w:bottom w:val="nil"/>
              <w:right w:val="nil"/>
            </w:tcBorders>
            <w:shd w:val="clear" w:color="auto" w:fill="auto"/>
            <w:noWrap/>
            <w:vAlign w:val="bottom"/>
            <w:hideMark/>
          </w:tcPr>
          <w:p w14:paraId="14662EBC" w14:textId="77777777" w:rsidR="007A4D06" w:rsidRDefault="007A4D06" w:rsidP="0006282A">
            <w:pPr>
              <w:ind w:left="0" w:right="14"/>
              <w:rPr>
                <w:rFonts w:ascii="Calibri" w:hAnsi="Calibri" w:cs="Calibri"/>
                <w:sz w:val="22"/>
              </w:rPr>
            </w:pPr>
            <w:r>
              <w:rPr>
                <w:rFonts w:ascii="Calibri" w:hAnsi="Calibri" w:cs="Calibri"/>
                <w:sz w:val="22"/>
              </w:rPr>
              <w:t>20</w:t>
            </w:r>
          </w:p>
        </w:tc>
        <w:tc>
          <w:tcPr>
            <w:tcW w:w="719" w:type="dxa"/>
            <w:tcBorders>
              <w:top w:val="nil"/>
              <w:left w:val="nil"/>
              <w:bottom w:val="nil"/>
              <w:right w:val="nil"/>
            </w:tcBorders>
            <w:shd w:val="clear" w:color="auto" w:fill="auto"/>
            <w:noWrap/>
            <w:vAlign w:val="bottom"/>
            <w:hideMark/>
          </w:tcPr>
          <w:p w14:paraId="2F1BA522" w14:textId="77777777" w:rsidR="007A4D06" w:rsidRDefault="007A4D06" w:rsidP="0006282A">
            <w:pPr>
              <w:ind w:left="0" w:right="14"/>
              <w:rPr>
                <w:rFonts w:ascii="Calibri" w:hAnsi="Calibri" w:cs="Calibri"/>
                <w:sz w:val="22"/>
              </w:rPr>
            </w:pPr>
            <w:r>
              <w:rPr>
                <w:rFonts w:ascii="Calibri" w:hAnsi="Calibri" w:cs="Calibri"/>
                <w:sz w:val="22"/>
              </w:rPr>
              <w:t>2.5</w:t>
            </w:r>
          </w:p>
        </w:tc>
        <w:tc>
          <w:tcPr>
            <w:tcW w:w="1169" w:type="dxa"/>
            <w:tcBorders>
              <w:top w:val="nil"/>
              <w:left w:val="nil"/>
              <w:bottom w:val="nil"/>
              <w:right w:val="nil"/>
            </w:tcBorders>
            <w:shd w:val="clear" w:color="auto" w:fill="auto"/>
            <w:noWrap/>
            <w:vAlign w:val="bottom"/>
            <w:hideMark/>
          </w:tcPr>
          <w:p w14:paraId="529AE417" w14:textId="77777777" w:rsidR="007A4D06" w:rsidRDefault="007A4D06" w:rsidP="0006282A">
            <w:pPr>
              <w:ind w:left="0" w:right="14"/>
              <w:rPr>
                <w:rFonts w:ascii="Calibri" w:hAnsi="Calibri" w:cs="Calibri"/>
                <w:sz w:val="22"/>
              </w:rPr>
            </w:pPr>
            <w:r>
              <w:rPr>
                <w:rFonts w:ascii="Calibri" w:hAnsi="Calibri" w:cs="Calibri"/>
                <w:sz w:val="22"/>
              </w:rPr>
              <w:t>0.4</w:t>
            </w:r>
          </w:p>
        </w:tc>
        <w:tc>
          <w:tcPr>
            <w:tcW w:w="810" w:type="dxa"/>
            <w:tcBorders>
              <w:top w:val="nil"/>
              <w:left w:val="nil"/>
              <w:bottom w:val="nil"/>
              <w:right w:val="nil"/>
            </w:tcBorders>
            <w:shd w:val="clear" w:color="auto" w:fill="auto"/>
            <w:noWrap/>
            <w:vAlign w:val="bottom"/>
            <w:hideMark/>
          </w:tcPr>
          <w:p w14:paraId="1B2D1EEC" w14:textId="77777777" w:rsidR="007A4D06" w:rsidRDefault="007A4D06" w:rsidP="0006282A">
            <w:pPr>
              <w:ind w:left="0" w:right="14"/>
              <w:rPr>
                <w:rFonts w:ascii="Calibri" w:hAnsi="Calibri" w:cs="Calibri"/>
                <w:sz w:val="22"/>
              </w:rPr>
            </w:pPr>
            <w:r>
              <w:rPr>
                <w:rFonts w:ascii="Calibri" w:hAnsi="Calibri" w:cs="Calibri"/>
                <w:sz w:val="22"/>
              </w:rPr>
              <w:t>-24.7</w:t>
            </w:r>
          </w:p>
        </w:tc>
        <w:tc>
          <w:tcPr>
            <w:tcW w:w="1170" w:type="dxa"/>
            <w:tcBorders>
              <w:top w:val="nil"/>
              <w:left w:val="nil"/>
              <w:bottom w:val="nil"/>
              <w:right w:val="nil"/>
            </w:tcBorders>
            <w:shd w:val="clear" w:color="auto" w:fill="auto"/>
            <w:noWrap/>
            <w:vAlign w:val="bottom"/>
            <w:hideMark/>
          </w:tcPr>
          <w:p w14:paraId="2D081209" w14:textId="1136C1F4" w:rsidR="007A4D06" w:rsidRDefault="007A4D06" w:rsidP="0006282A">
            <w:pPr>
              <w:ind w:left="0" w:right="14"/>
              <w:rPr>
                <w:rFonts w:ascii="Calibri" w:hAnsi="Calibri" w:cs="Calibri"/>
                <w:sz w:val="22"/>
              </w:rPr>
            </w:pPr>
            <w:r>
              <w:rPr>
                <w:rFonts w:ascii="Calibri" w:hAnsi="Calibri" w:cs="Calibri"/>
                <w:sz w:val="22"/>
              </w:rPr>
              <w:t>1.</w:t>
            </w:r>
            <w:r w:rsidR="008F09D0">
              <w:rPr>
                <w:rFonts w:ascii="Calibri" w:hAnsi="Calibri" w:cs="Calibri"/>
                <w:sz w:val="22"/>
              </w:rPr>
              <w:t>1013188</w:t>
            </w:r>
          </w:p>
        </w:tc>
        <w:tc>
          <w:tcPr>
            <w:tcW w:w="1260" w:type="dxa"/>
            <w:tcBorders>
              <w:top w:val="nil"/>
              <w:left w:val="nil"/>
              <w:bottom w:val="nil"/>
              <w:right w:val="nil"/>
            </w:tcBorders>
            <w:shd w:val="clear" w:color="auto" w:fill="auto"/>
            <w:noWrap/>
            <w:vAlign w:val="bottom"/>
            <w:hideMark/>
          </w:tcPr>
          <w:p w14:paraId="29A8B5FE" w14:textId="77777777" w:rsidR="007A4D06" w:rsidRDefault="007A4D06" w:rsidP="0006282A">
            <w:pPr>
              <w:ind w:left="0" w:right="14"/>
              <w:rPr>
                <w:rFonts w:ascii="Calibri" w:hAnsi="Calibri" w:cs="Calibri"/>
                <w:sz w:val="22"/>
              </w:rPr>
            </w:pPr>
            <w:r>
              <w:rPr>
                <w:rFonts w:ascii="Calibri" w:hAnsi="Calibri" w:cs="Calibri"/>
                <w:sz w:val="22"/>
              </w:rPr>
              <w:t>2.0814254</w:t>
            </w:r>
          </w:p>
        </w:tc>
        <w:tc>
          <w:tcPr>
            <w:tcW w:w="1170" w:type="dxa"/>
            <w:tcBorders>
              <w:top w:val="nil"/>
              <w:left w:val="nil"/>
              <w:bottom w:val="nil"/>
              <w:right w:val="nil"/>
            </w:tcBorders>
            <w:shd w:val="clear" w:color="auto" w:fill="auto"/>
            <w:noWrap/>
            <w:vAlign w:val="bottom"/>
            <w:hideMark/>
          </w:tcPr>
          <w:p w14:paraId="485A9921" w14:textId="768585FD" w:rsidR="007A4D06" w:rsidRDefault="007A4D06" w:rsidP="0006282A">
            <w:pPr>
              <w:ind w:left="0" w:right="14"/>
              <w:rPr>
                <w:rFonts w:ascii="Calibri" w:hAnsi="Calibri" w:cs="Calibri"/>
                <w:sz w:val="22"/>
              </w:rPr>
            </w:pPr>
            <w:r>
              <w:rPr>
                <w:rFonts w:ascii="Calibri" w:hAnsi="Calibri" w:cs="Calibri"/>
                <w:sz w:val="22"/>
              </w:rPr>
              <w:t>0.022</w:t>
            </w:r>
            <w:r w:rsidR="008F09D0">
              <w:rPr>
                <w:rFonts w:ascii="Calibri" w:hAnsi="Calibri" w:cs="Calibri"/>
                <w:sz w:val="22"/>
              </w:rPr>
              <w:t>93077</w:t>
            </w:r>
          </w:p>
        </w:tc>
        <w:tc>
          <w:tcPr>
            <w:tcW w:w="1080" w:type="dxa"/>
            <w:tcBorders>
              <w:top w:val="nil"/>
              <w:left w:val="nil"/>
              <w:bottom w:val="nil"/>
              <w:right w:val="nil"/>
            </w:tcBorders>
            <w:shd w:val="clear" w:color="auto" w:fill="auto"/>
            <w:noWrap/>
            <w:vAlign w:val="bottom"/>
            <w:hideMark/>
          </w:tcPr>
          <w:p w14:paraId="56B1683F" w14:textId="36CE6AC9" w:rsidR="007A4D06" w:rsidRDefault="007A4D06" w:rsidP="0006282A">
            <w:pPr>
              <w:ind w:left="0" w:right="14"/>
              <w:rPr>
                <w:rFonts w:ascii="Calibri" w:hAnsi="Calibri" w:cs="Calibri"/>
                <w:sz w:val="22"/>
              </w:rPr>
            </w:pPr>
            <w:r>
              <w:rPr>
                <w:rFonts w:ascii="Calibri" w:hAnsi="Calibri" w:cs="Calibri"/>
                <w:sz w:val="22"/>
              </w:rPr>
              <w:t>2.05</w:t>
            </w:r>
            <w:r w:rsidR="00886F83">
              <w:rPr>
                <w:rFonts w:ascii="Calibri" w:hAnsi="Calibri" w:cs="Calibri"/>
                <w:sz w:val="22"/>
              </w:rPr>
              <w:t>9119</w:t>
            </w:r>
          </w:p>
        </w:tc>
        <w:tc>
          <w:tcPr>
            <w:tcW w:w="1053" w:type="dxa"/>
            <w:tcBorders>
              <w:top w:val="nil"/>
              <w:left w:val="nil"/>
              <w:bottom w:val="nil"/>
              <w:right w:val="nil"/>
            </w:tcBorders>
            <w:shd w:val="clear" w:color="auto" w:fill="auto"/>
            <w:noWrap/>
            <w:vAlign w:val="bottom"/>
            <w:hideMark/>
          </w:tcPr>
          <w:p w14:paraId="6EF909E2" w14:textId="77777777" w:rsidR="007A4D06" w:rsidRDefault="007A4D06" w:rsidP="0006282A">
            <w:pPr>
              <w:ind w:left="0" w:right="14"/>
              <w:rPr>
                <w:rFonts w:ascii="Calibri" w:hAnsi="Calibri" w:cs="Calibri"/>
                <w:sz w:val="22"/>
              </w:rPr>
            </w:pPr>
            <w:r>
              <w:rPr>
                <w:rFonts w:ascii="Calibri" w:hAnsi="Calibri" w:cs="Calibri"/>
                <w:sz w:val="22"/>
              </w:rPr>
              <w:t>0.485676</w:t>
            </w:r>
          </w:p>
        </w:tc>
        <w:tc>
          <w:tcPr>
            <w:tcW w:w="1164" w:type="dxa"/>
            <w:tcBorders>
              <w:top w:val="nil"/>
              <w:left w:val="nil"/>
              <w:bottom w:val="nil"/>
              <w:right w:val="nil"/>
            </w:tcBorders>
            <w:shd w:val="clear" w:color="auto" w:fill="auto"/>
            <w:noWrap/>
            <w:vAlign w:val="bottom"/>
            <w:hideMark/>
          </w:tcPr>
          <w:p w14:paraId="62FD0A80" w14:textId="23C811D4" w:rsidR="007A4D06" w:rsidRDefault="007A4D06" w:rsidP="0006282A">
            <w:pPr>
              <w:ind w:left="0" w:right="14"/>
              <w:rPr>
                <w:rFonts w:ascii="Calibri" w:hAnsi="Calibri" w:cs="Calibri"/>
                <w:sz w:val="22"/>
              </w:rPr>
            </w:pPr>
            <w:r>
              <w:rPr>
                <w:rFonts w:ascii="Calibri" w:hAnsi="Calibri" w:cs="Calibri"/>
                <w:sz w:val="22"/>
              </w:rPr>
              <w:t>0.0</w:t>
            </w:r>
            <w:r w:rsidR="00F90D78">
              <w:rPr>
                <w:rFonts w:ascii="Calibri" w:hAnsi="Calibri" w:cs="Calibri"/>
                <w:sz w:val="22"/>
              </w:rPr>
              <w:t>111358</w:t>
            </w:r>
          </w:p>
        </w:tc>
        <w:tc>
          <w:tcPr>
            <w:tcW w:w="1164" w:type="dxa"/>
            <w:tcBorders>
              <w:top w:val="nil"/>
              <w:left w:val="nil"/>
              <w:bottom w:val="nil"/>
              <w:right w:val="nil"/>
            </w:tcBorders>
            <w:shd w:val="clear" w:color="auto" w:fill="auto"/>
            <w:noWrap/>
            <w:vAlign w:val="bottom"/>
            <w:hideMark/>
          </w:tcPr>
          <w:p w14:paraId="2088C3D1" w14:textId="3F5F005F" w:rsidR="007A4D06" w:rsidRDefault="007A4D06" w:rsidP="0006282A">
            <w:pPr>
              <w:ind w:left="0" w:right="14"/>
              <w:rPr>
                <w:rFonts w:ascii="Calibri" w:hAnsi="Calibri" w:cs="Calibri"/>
                <w:sz w:val="22"/>
              </w:rPr>
            </w:pPr>
            <w:r>
              <w:rPr>
                <w:rFonts w:ascii="Calibri" w:hAnsi="Calibri" w:cs="Calibri"/>
                <w:sz w:val="22"/>
              </w:rPr>
              <w:t>0.022</w:t>
            </w:r>
            <w:r w:rsidR="0094386C">
              <w:rPr>
                <w:rFonts w:ascii="Calibri" w:hAnsi="Calibri" w:cs="Calibri"/>
                <w:sz w:val="22"/>
              </w:rPr>
              <w:t>8585</w:t>
            </w:r>
          </w:p>
        </w:tc>
        <w:tc>
          <w:tcPr>
            <w:tcW w:w="1164" w:type="dxa"/>
            <w:tcBorders>
              <w:top w:val="nil"/>
              <w:left w:val="nil"/>
              <w:bottom w:val="nil"/>
              <w:right w:val="nil"/>
            </w:tcBorders>
            <w:shd w:val="clear" w:color="auto" w:fill="auto"/>
            <w:noWrap/>
            <w:vAlign w:val="bottom"/>
            <w:hideMark/>
          </w:tcPr>
          <w:p w14:paraId="39CCF14F" w14:textId="3C757221" w:rsidR="007A4D06" w:rsidRDefault="007A4D06" w:rsidP="0006282A">
            <w:pPr>
              <w:ind w:left="0" w:right="14"/>
              <w:rPr>
                <w:rFonts w:ascii="Calibri" w:hAnsi="Calibri" w:cs="Calibri"/>
                <w:sz w:val="22"/>
              </w:rPr>
            </w:pPr>
            <w:r>
              <w:rPr>
                <w:rFonts w:ascii="Calibri" w:hAnsi="Calibri" w:cs="Calibri"/>
                <w:sz w:val="22"/>
              </w:rPr>
              <w:t>0.01</w:t>
            </w:r>
            <w:r w:rsidR="0094386C">
              <w:rPr>
                <w:rFonts w:ascii="Calibri" w:hAnsi="Calibri" w:cs="Calibri"/>
                <w:sz w:val="22"/>
              </w:rPr>
              <w:t>110075</w:t>
            </w:r>
          </w:p>
        </w:tc>
        <w:tc>
          <w:tcPr>
            <w:tcW w:w="1053" w:type="dxa"/>
            <w:tcBorders>
              <w:top w:val="nil"/>
              <w:left w:val="nil"/>
              <w:bottom w:val="nil"/>
              <w:right w:val="nil"/>
            </w:tcBorders>
            <w:shd w:val="clear" w:color="auto" w:fill="auto"/>
            <w:noWrap/>
            <w:vAlign w:val="bottom"/>
            <w:hideMark/>
          </w:tcPr>
          <w:p w14:paraId="06522903" w14:textId="15C2D078" w:rsidR="007A4D06" w:rsidRDefault="007A4D06" w:rsidP="0006282A">
            <w:pPr>
              <w:ind w:left="0" w:right="14"/>
              <w:rPr>
                <w:rFonts w:ascii="Calibri" w:hAnsi="Calibri" w:cs="Calibri"/>
                <w:sz w:val="22"/>
              </w:rPr>
            </w:pPr>
            <w:r>
              <w:rPr>
                <w:rFonts w:ascii="Calibri" w:hAnsi="Calibri" w:cs="Calibri"/>
                <w:sz w:val="22"/>
              </w:rPr>
              <w:t>0.01</w:t>
            </w:r>
            <w:r w:rsidR="00572CB2">
              <w:rPr>
                <w:rFonts w:ascii="Calibri" w:hAnsi="Calibri" w:cs="Calibri"/>
                <w:sz w:val="22"/>
              </w:rPr>
              <w:t>1099</w:t>
            </w:r>
          </w:p>
        </w:tc>
      </w:tr>
      <w:tr w:rsidR="007A4D06" w14:paraId="37A68D9F" w14:textId="77777777" w:rsidTr="009938B0">
        <w:trPr>
          <w:trHeight w:val="288"/>
        </w:trPr>
        <w:tc>
          <w:tcPr>
            <w:tcW w:w="539" w:type="dxa"/>
            <w:tcBorders>
              <w:top w:val="nil"/>
              <w:left w:val="nil"/>
              <w:bottom w:val="nil"/>
              <w:right w:val="nil"/>
            </w:tcBorders>
            <w:shd w:val="clear" w:color="auto" w:fill="auto"/>
            <w:noWrap/>
            <w:vAlign w:val="bottom"/>
            <w:hideMark/>
          </w:tcPr>
          <w:p w14:paraId="186E6A30" w14:textId="77777777" w:rsidR="007A4D06" w:rsidRDefault="007A4D06" w:rsidP="0006282A">
            <w:pPr>
              <w:ind w:left="0" w:right="14"/>
              <w:rPr>
                <w:rFonts w:ascii="Calibri" w:hAnsi="Calibri" w:cs="Calibri"/>
                <w:sz w:val="22"/>
              </w:rPr>
            </w:pPr>
            <w:r>
              <w:rPr>
                <w:rFonts w:ascii="Calibri" w:hAnsi="Calibri" w:cs="Calibri"/>
                <w:sz w:val="22"/>
              </w:rPr>
              <w:t>30</w:t>
            </w:r>
          </w:p>
        </w:tc>
        <w:tc>
          <w:tcPr>
            <w:tcW w:w="719" w:type="dxa"/>
            <w:tcBorders>
              <w:top w:val="nil"/>
              <w:left w:val="nil"/>
              <w:bottom w:val="nil"/>
              <w:right w:val="nil"/>
            </w:tcBorders>
            <w:shd w:val="clear" w:color="auto" w:fill="auto"/>
            <w:noWrap/>
            <w:vAlign w:val="bottom"/>
            <w:hideMark/>
          </w:tcPr>
          <w:p w14:paraId="5EEC67BC" w14:textId="77777777" w:rsidR="007A4D06" w:rsidRDefault="007A4D06" w:rsidP="0006282A">
            <w:pPr>
              <w:ind w:left="0" w:right="14"/>
              <w:rPr>
                <w:rFonts w:ascii="Calibri" w:hAnsi="Calibri" w:cs="Calibri"/>
                <w:sz w:val="22"/>
              </w:rPr>
            </w:pPr>
            <w:r>
              <w:rPr>
                <w:rFonts w:ascii="Calibri" w:hAnsi="Calibri" w:cs="Calibri"/>
                <w:sz w:val="22"/>
              </w:rPr>
              <w:t>2</w:t>
            </w:r>
          </w:p>
        </w:tc>
        <w:tc>
          <w:tcPr>
            <w:tcW w:w="1169" w:type="dxa"/>
            <w:tcBorders>
              <w:top w:val="nil"/>
              <w:left w:val="nil"/>
              <w:bottom w:val="nil"/>
              <w:right w:val="nil"/>
            </w:tcBorders>
            <w:shd w:val="clear" w:color="auto" w:fill="auto"/>
            <w:noWrap/>
            <w:vAlign w:val="bottom"/>
            <w:hideMark/>
          </w:tcPr>
          <w:p w14:paraId="2E548F42" w14:textId="77777777" w:rsidR="007A4D06" w:rsidRDefault="007A4D06" w:rsidP="0006282A">
            <w:pPr>
              <w:ind w:left="0" w:right="14"/>
              <w:rPr>
                <w:rFonts w:ascii="Calibri" w:hAnsi="Calibri" w:cs="Calibri"/>
                <w:sz w:val="22"/>
              </w:rPr>
            </w:pPr>
            <w:r>
              <w:rPr>
                <w:rFonts w:ascii="Calibri" w:hAnsi="Calibri" w:cs="Calibri"/>
                <w:sz w:val="22"/>
              </w:rPr>
              <w:t>0.5</w:t>
            </w:r>
          </w:p>
        </w:tc>
        <w:tc>
          <w:tcPr>
            <w:tcW w:w="810" w:type="dxa"/>
            <w:tcBorders>
              <w:top w:val="nil"/>
              <w:left w:val="nil"/>
              <w:bottom w:val="nil"/>
              <w:right w:val="nil"/>
            </w:tcBorders>
            <w:shd w:val="clear" w:color="auto" w:fill="auto"/>
            <w:noWrap/>
            <w:vAlign w:val="bottom"/>
            <w:hideMark/>
          </w:tcPr>
          <w:p w14:paraId="7D08A965" w14:textId="77777777" w:rsidR="007A4D06" w:rsidRDefault="007A4D06" w:rsidP="0006282A">
            <w:pPr>
              <w:ind w:left="0" w:right="14"/>
              <w:rPr>
                <w:rFonts w:ascii="Calibri" w:hAnsi="Calibri" w:cs="Calibri"/>
                <w:sz w:val="22"/>
              </w:rPr>
            </w:pPr>
            <w:r>
              <w:rPr>
                <w:rFonts w:ascii="Calibri" w:hAnsi="Calibri" w:cs="Calibri"/>
                <w:sz w:val="22"/>
              </w:rPr>
              <w:t>-24.2</w:t>
            </w:r>
          </w:p>
        </w:tc>
        <w:tc>
          <w:tcPr>
            <w:tcW w:w="1170" w:type="dxa"/>
            <w:tcBorders>
              <w:top w:val="nil"/>
              <w:left w:val="nil"/>
              <w:bottom w:val="nil"/>
              <w:right w:val="nil"/>
            </w:tcBorders>
            <w:shd w:val="clear" w:color="auto" w:fill="auto"/>
            <w:noWrap/>
            <w:vAlign w:val="bottom"/>
            <w:hideMark/>
          </w:tcPr>
          <w:p w14:paraId="50578066" w14:textId="727C8F37" w:rsidR="007A4D06" w:rsidRDefault="007A4D06" w:rsidP="0006282A">
            <w:pPr>
              <w:ind w:left="0" w:right="14"/>
              <w:rPr>
                <w:rFonts w:ascii="Calibri" w:hAnsi="Calibri" w:cs="Calibri"/>
                <w:sz w:val="22"/>
              </w:rPr>
            </w:pPr>
            <w:r>
              <w:rPr>
                <w:rFonts w:ascii="Calibri" w:hAnsi="Calibri" w:cs="Calibri"/>
                <w:sz w:val="22"/>
              </w:rPr>
              <w:t>1.</w:t>
            </w:r>
            <w:r w:rsidR="008F09D0">
              <w:rPr>
                <w:rFonts w:ascii="Calibri" w:hAnsi="Calibri" w:cs="Calibri"/>
                <w:sz w:val="22"/>
              </w:rPr>
              <w:t>1018834</w:t>
            </w:r>
          </w:p>
        </w:tc>
        <w:tc>
          <w:tcPr>
            <w:tcW w:w="1260" w:type="dxa"/>
            <w:tcBorders>
              <w:top w:val="nil"/>
              <w:left w:val="nil"/>
              <w:bottom w:val="nil"/>
              <w:right w:val="nil"/>
            </w:tcBorders>
            <w:shd w:val="clear" w:color="auto" w:fill="auto"/>
            <w:noWrap/>
            <w:vAlign w:val="bottom"/>
            <w:hideMark/>
          </w:tcPr>
          <w:p w14:paraId="47E5BADF" w14:textId="77777777" w:rsidR="007A4D06" w:rsidRDefault="007A4D06" w:rsidP="0006282A">
            <w:pPr>
              <w:ind w:left="0" w:right="14"/>
              <w:rPr>
                <w:rFonts w:ascii="Calibri" w:hAnsi="Calibri" w:cs="Calibri"/>
                <w:sz w:val="22"/>
              </w:rPr>
            </w:pPr>
            <w:r>
              <w:rPr>
                <w:rFonts w:ascii="Calibri" w:hAnsi="Calibri" w:cs="Calibri"/>
                <w:sz w:val="22"/>
              </w:rPr>
              <w:t>1.6651403</w:t>
            </w:r>
          </w:p>
        </w:tc>
        <w:tc>
          <w:tcPr>
            <w:tcW w:w="1170" w:type="dxa"/>
            <w:tcBorders>
              <w:top w:val="nil"/>
              <w:left w:val="nil"/>
              <w:bottom w:val="nil"/>
              <w:right w:val="nil"/>
            </w:tcBorders>
            <w:shd w:val="clear" w:color="auto" w:fill="auto"/>
            <w:noWrap/>
            <w:vAlign w:val="bottom"/>
            <w:hideMark/>
          </w:tcPr>
          <w:p w14:paraId="533ED37A" w14:textId="4D0FEE94" w:rsidR="007A4D06" w:rsidRDefault="007A4D06" w:rsidP="0006282A">
            <w:pPr>
              <w:ind w:left="0" w:right="14"/>
              <w:rPr>
                <w:rFonts w:ascii="Calibri" w:hAnsi="Calibri" w:cs="Calibri"/>
                <w:sz w:val="22"/>
              </w:rPr>
            </w:pPr>
            <w:r>
              <w:rPr>
                <w:rFonts w:ascii="Calibri" w:hAnsi="Calibri" w:cs="Calibri"/>
                <w:sz w:val="22"/>
              </w:rPr>
              <w:t>0.01</w:t>
            </w:r>
            <w:r w:rsidR="008F09D0">
              <w:rPr>
                <w:rFonts w:ascii="Calibri" w:hAnsi="Calibri" w:cs="Calibri"/>
                <w:sz w:val="22"/>
              </w:rPr>
              <w:t>835402</w:t>
            </w:r>
          </w:p>
        </w:tc>
        <w:tc>
          <w:tcPr>
            <w:tcW w:w="1080" w:type="dxa"/>
            <w:tcBorders>
              <w:top w:val="nil"/>
              <w:left w:val="nil"/>
              <w:bottom w:val="nil"/>
              <w:right w:val="nil"/>
            </w:tcBorders>
            <w:shd w:val="clear" w:color="auto" w:fill="auto"/>
            <w:noWrap/>
            <w:vAlign w:val="bottom"/>
            <w:hideMark/>
          </w:tcPr>
          <w:p w14:paraId="2C43E0B0" w14:textId="77166BF1" w:rsidR="007A4D06" w:rsidRDefault="007A4D06" w:rsidP="0006282A">
            <w:pPr>
              <w:ind w:left="0" w:right="14"/>
              <w:rPr>
                <w:rFonts w:ascii="Calibri" w:hAnsi="Calibri" w:cs="Calibri"/>
                <w:sz w:val="22"/>
              </w:rPr>
            </w:pPr>
            <w:r>
              <w:rPr>
                <w:rFonts w:ascii="Calibri" w:hAnsi="Calibri" w:cs="Calibri"/>
                <w:sz w:val="22"/>
              </w:rPr>
              <w:t>1.647</w:t>
            </w:r>
            <w:r w:rsidR="00886F83">
              <w:rPr>
                <w:rFonts w:ascii="Calibri" w:hAnsi="Calibri" w:cs="Calibri"/>
                <w:sz w:val="22"/>
              </w:rPr>
              <w:t>341</w:t>
            </w:r>
          </w:p>
        </w:tc>
        <w:tc>
          <w:tcPr>
            <w:tcW w:w="1053" w:type="dxa"/>
            <w:tcBorders>
              <w:top w:val="nil"/>
              <w:left w:val="nil"/>
              <w:bottom w:val="nil"/>
              <w:right w:val="nil"/>
            </w:tcBorders>
            <w:shd w:val="clear" w:color="auto" w:fill="auto"/>
            <w:noWrap/>
            <w:vAlign w:val="bottom"/>
            <w:hideMark/>
          </w:tcPr>
          <w:p w14:paraId="430F92F5" w14:textId="77777777" w:rsidR="007A4D06" w:rsidRDefault="007A4D06" w:rsidP="0006282A">
            <w:pPr>
              <w:ind w:left="0" w:right="14"/>
              <w:rPr>
                <w:rFonts w:ascii="Calibri" w:hAnsi="Calibri" w:cs="Calibri"/>
                <w:sz w:val="22"/>
              </w:rPr>
            </w:pPr>
            <w:r>
              <w:rPr>
                <w:rFonts w:ascii="Calibri" w:hAnsi="Calibri" w:cs="Calibri"/>
                <w:sz w:val="22"/>
              </w:rPr>
              <w:t>0.607098</w:t>
            </w:r>
          </w:p>
        </w:tc>
        <w:tc>
          <w:tcPr>
            <w:tcW w:w="1164" w:type="dxa"/>
            <w:tcBorders>
              <w:top w:val="nil"/>
              <w:left w:val="nil"/>
              <w:bottom w:val="nil"/>
              <w:right w:val="nil"/>
            </w:tcBorders>
            <w:shd w:val="clear" w:color="auto" w:fill="auto"/>
            <w:noWrap/>
            <w:vAlign w:val="bottom"/>
            <w:hideMark/>
          </w:tcPr>
          <w:p w14:paraId="4785A4BC" w14:textId="55B77207" w:rsidR="007A4D06" w:rsidRDefault="007A4D06" w:rsidP="0006282A">
            <w:pPr>
              <w:ind w:left="0" w:right="14"/>
              <w:rPr>
                <w:rFonts w:ascii="Calibri" w:hAnsi="Calibri" w:cs="Calibri"/>
                <w:sz w:val="22"/>
              </w:rPr>
            </w:pPr>
            <w:r>
              <w:rPr>
                <w:rFonts w:ascii="Calibri" w:hAnsi="Calibri" w:cs="Calibri"/>
                <w:sz w:val="22"/>
              </w:rPr>
              <w:t>0.01</w:t>
            </w:r>
            <w:r w:rsidR="00F90D78">
              <w:rPr>
                <w:rFonts w:ascii="Calibri" w:hAnsi="Calibri" w:cs="Calibri"/>
                <w:sz w:val="22"/>
              </w:rPr>
              <w:t>11416</w:t>
            </w:r>
          </w:p>
        </w:tc>
        <w:tc>
          <w:tcPr>
            <w:tcW w:w="1164" w:type="dxa"/>
            <w:tcBorders>
              <w:top w:val="nil"/>
              <w:left w:val="nil"/>
              <w:bottom w:val="nil"/>
              <w:right w:val="nil"/>
            </w:tcBorders>
            <w:shd w:val="clear" w:color="auto" w:fill="auto"/>
            <w:noWrap/>
            <w:vAlign w:val="bottom"/>
            <w:hideMark/>
          </w:tcPr>
          <w:p w14:paraId="6D0D9111" w14:textId="09AED86E" w:rsidR="007A4D06" w:rsidRDefault="007A4D06" w:rsidP="0006282A">
            <w:pPr>
              <w:ind w:left="0" w:right="14"/>
              <w:rPr>
                <w:rFonts w:ascii="Calibri" w:hAnsi="Calibri" w:cs="Calibri"/>
                <w:sz w:val="22"/>
              </w:rPr>
            </w:pPr>
            <w:r>
              <w:rPr>
                <w:rFonts w:ascii="Calibri" w:hAnsi="Calibri" w:cs="Calibri"/>
                <w:sz w:val="22"/>
              </w:rPr>
              <w:t>0.01</w:t>
            </w:r>
            <w:r w:rsidR="0094386C">
              <w:rPr>
                <w:rFonts w:ascii="Calibri" w:hAnsi="Calibri" w:cs="Calibri"/>
                <w:sz w:val="22"/>
              </w:rPr>
              <w:t>82818</w:t>
            </w:r>
          </w:p>
        </w:tc>
        <w:tc>
          <w:tcPr>
            <w:tcW w:w="1164" w:type="dxa"/>
            <w:tcBorders>
              <w:top w:val="nil"/>
              <w:left w:val="nil"/>
              <w:bottom w:val="nil"/>
              <w:right w:val="nil"/>
            </w:tcBorders>
            <w:shd w:val="clear" w:color="auto" w:fill="auto"/>
            <w:noWrap/>
            <w:vAlign w:val="bottom"/>
            <w:hideMark/>
          </w:tcPr>
          <w:p w14:paraId="3C833209" w14:textId="559DAEF0" w:rsidR="007A4D06" w:rsidRDefault="007A4D06" w:rsidP="0006282A">
            <w:pPr>
              <w:ind w:left="0" w:right="14"/>
              <w:rPr>
                <w:rFonts w:ascii="Calibri" w:hAnsi="Calibri" w:cs="Calibri"/>
                <w:sz w:val="22"/>
              </w:rPr>
            </w:pPr>
            <w:r>
              <w:rPr>
                <w:rFonts w:ascii="Calibri" w:hAnsi="Calibri" w:cs="Calibri"/>
                <w:sz w:val="22"/>
              </w:rPr>
              <w:t>0.0</w:t>
            </w:r>
            <w:r w:rsidR="0094386C">
              <w:rPr>
                <w:rFonts w:ascii="Calibri" w:hAnsi="Calibri" w:cs="Calibri"/>
                <w:sz w:val="22"/>
              </w:rPr>
              <w:t>1109776</w:t>
            </w:r>
          </w:p>
        </w:tc>
        <w:tc>
          <w:tcPr>
            <w:tcW w:w="1053" w:type="dxa"/>
            <w:tcBorders>
              <w:top w:val="nil"/>
              <w:left w:val="nil"/>
              <w:bottom w:val="nil"/>
              <w:right w:val="nil"/>
            </w:tcBorders>
            <w:shd w:val="clear" w:color="auto" w:fill="auto"/>
            <w:noWrap/>
            <w:vAlign w:val="bottom"/>
            <w:hideMark/>
          </w:tcPr>
          <w:p w14:paraId="10235CAA" w14:textId="33E29033" w:rsidR="007A4D06" w:rsidRDefault="007A4D06" w:rsidP="0006282A">
            <w:pPr>
              <w:ind w:left="0" w:right="14"/>
              <w:rPr>
                <w:rFonts w:ascii="Calibri" w:hAnsi="Calibri" w:cs="Calibri"/>
                <w:sz w:val="22"/>
              </w:rPr>
            </w:pPr>
            <w:r>
              <w:rPr>
                <w:rFonts w:ascii="Calibri" w:hAnsi="Calibri" w:cs="Calibri"/>
                <w:sz w:val="22"/>
              </w:rPr>
              <w:t>0.01</w:t>
            </w:r>
            <w:r w:rsidR="00572CB2">
              <w:rPr>
                <w:rFonts w:ascii="Calibri" w:hAnsi="Calibri" w:cs="Calibri"/>
                <w:sz w:val="22"/>
              </w:rPr>
              <w:t>1099</w:t>
            </w:r>
          </w:p>
        </w:tc>
      </w:tr>
    </w:tbl>
    <w:p w14:paraId="0B93D885" w14:textId="77777777" w:rsidR="007A4D06" w:rsidRPr="00495CBB" w:rsidRDefault="007A4D06" w:rsidP="0006282A">
      <w:pPr>
        <w:spacing w:line="240" w:lineRule="auto"/>
        <w:ind w:left="0" w:right="14" w:hanging="14"/>
        <w:rPr>
          <w:rFonts w:ascii="Times New Roman" w:hAnsi="Times New Roman" w:cs="Times New Roman"/>
        </w:rPr>
      </w:pPr>
      <w:r w:rsidRPr="001F366F">
        <w:rPr>
          <w:vertAlign w:val="superscript"/>
        </w:rPr>
        <w:tab/>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rPr>
        <w:tab/>
        <w:t>1/C conc vs. ðC</w:t>
      </w:r>
      <w:r w:rsidRPr="00495CBB">
        <w:rPr>
          <w:rFonts w:ascii="Times New Roman" w:hAnsi="Times New Roman" w:cs="Times New Roman"/>
        </w:rPr>
        <w:tab/>
      </w:r>
      <w:r w:rsidRPr="00495CBB">
        <w:rPr>
          <w:rFonts w:ascii="Times New Roman" w:hAnsi="Times New Roman" w:cs="Times New Roman"/>
        </w:rPr>
        <w:tab/>
        <w:t xml:space="preserve">1/C vs. </w:t>
      </w:r>
      <w:r w:rsidRPr="00495CBB">
        <w:rPr>
          <w:rFonts w:ascii="Times New Roman" w:hAnsi="Times New Roman" w:cs="Times New Roman"/>
          <w:vertAlign w:val="superscript"/>
        </w:rPr>
        <w:t>13</w:t>
      </w:r>
      <w:r w:rsidRPr="00495CBB">
        <w:rPr>
          <w:rFonts w:ascii="Times New Roman" w:hAnsi="Times New Roman" w:cs="Times New Roman"/>
        </w:rPr>
        <w:t>C:</w:t>
      </w:r>
      <w:r w:rsidRPr="00495CBB">
        <w:rPr>
          <w:rFonts w:ascii="Times New Roman" w:hAnsi="Times New Roman" w:cs="Times New Roman"/>
          <w:vertAlign w:val="superscript"/>
        </w:rPr>
        <w:t>12</w:t>
      </w:r>
      <w:r w:rsidRPr="00495CBB">
        <w:rPr>
          <w:rFonts w:ascii="Times New Roman" w:hAnsi="Times New Roman" w:cs="Times New Roman"/>
        </w:rPr>
        <w:t xml:space="preserve">C </w:t>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rPr>
        <w:tab/>
        <w:t>1/</w:t>
      </w:r>
      <w:r w:rsidRPr="00495CBB">
        <w:rPr>
          <w:rFonts w:ascii="Times New Roman" w:hAnsi="Times New Roman" w:cs="Times New Roman"/>
          <w:vertAlign w:val="superscript"/>
        </w:rPr>
        <w:t>12</w:t>
      </w:r>
      <w:r w:rsidRPr="00495CBB">
        <w:rPr>
          <w:rFonts w:ascii="Times New Roman" w:hAnsi="Times New Roman" w:cs="Times New Roman"/>
        </w:rPr>
        <w:t xml:space="preserve">C vs. </w:t>
      </w:r>
      <w:r w:rsidRPr="00495CBB">
        <w:rPr>
          <w:rFonts w:ascii="Times New Roman" w:hAnsi="Times New Roman" w:cs="Times New Roman"/>
          <w:vertAlign w:val="superscript"/>
        </w:rPr>
        <w:t>13</w:t>
      </w:r>
      <w:r w:rsidRPr="00495CBB">
        <w:rPr>
          <w:rFonts w:ascii="Times New Roman" w:hAnsi="Times New Roman" w:cs="Times New Roman"/>
        </w:rPr>
        <w:t>C:</w:t>
      </w:r>
      <w:r w:rsidRPr="00495CBB">
        <w:rPr>
          <w:rFonts w:ascii="Times New Roman" w:hAnsi="Times New Roman" w:cs="Times New Roman"/>
          <w:vertAlign w:val="superscript"/>
        </w:rPr>
        <w:t>12</w:t>
      </w:r>
      <w:r w:rsidRPr="00495CBB">
        <w:rPr>
          <w:rFonts w:ascii="Times New Roman" w:hAnsi="Times New Roman" w:cs="Times New Roman"/>
        </w:rPr>
        <w:t>C</w:t>
      </w:r>
      <w:r w:rsidRPr="00495CBB">
        <w:rPr>
          <w:rFonts w:ascii="Times New Roman" w:hAnsi="Times New Roman" w:cs="Times New Roman"/>
        </w:rPr>
        <w:tab/>
      </w:r>
    </w:p>
    <w:p w14:paraId="41E60BEE" w14:textId="6E17441D" w:rsidR="007A4D06" w:rsidRPr="00495CBB" w:rsidRDefault="007A4D06" w:rsidP="0006282A">
      <w:pPr>
        <w:spacing w:line="240" w:lineRule="auto"/>
        <w:ind w:left="0" w:right="14" w:hanging="14"/>
        <w:rPr>
          <w:rFonts w:ascii="Times New Roman" w:hAnsi="Times New Roman" w:cs="Times New Roman"/>
        </w:rPr>
      </w:pPr>
      <w:r w:rsidRPr="00495CBB">
        <w:rPr>
          <w:rFonts w:ascii="Times New Roman" w:hAnsi="Times New Roman" w:cs="Times New Roman"/>
        </w:rPr>
        <w:t xml:space="preserve">all depths </w:t>
      </w:r>
      <w:r w:rsidRPr="00495CBB">
        <w:rPr>
          <w:rFonts w:ascii="Times New Roman" w:hAnsi="Times New Roman" w:cs="Times New Roman"/>
          <w:vertAlign w:val="superscript"/>
        </w:rPr>
        <w:t>12</w:t>
      </w:r>
      <w:r w:rsidRPr="00495CBB">
        <w:rPr>
          <w:rFonts w:ascii="Times New Roman" w:hAnsi="Times New Roman" w:cs="Times New Roman"/>
        </w:rPr>
        <w:t xml:space="preserve">C vs. </w:t>
      </w:r>
      <w:r w:rsidRPr="00495CBB">
        <w:rPr>
          <w:rFonts w:ascii="Times New Roman" w:hAnsi="Times New Roman" w:cs="Times New Roman"/>
          <w:vertAlign w:val="superscript"/>
        </w:rPr>
        <w:t>13</w:t>
      </w:r>
      <w:r w:rsidRPr="00495CBB">
        <w:rPr>
          <w:rFonts w:ascii="Times New Roman" w:hAnsi="Times New Roman" w:cs="Times New Roman"/>
        </w:rPr>
        <w:t>C</w:t>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i/>
          <w:iCs/>
        </w:rPr>
        <w:t>y</w:t>
      </w:r>
      <w:r w:rsidRPr="00495CBB">
        <w:rPr>
          <w:rFonts w:ascii="Times New Roman" w:hAnsi="Times New Roman" w:cs="Times New Roman"/>
        </w:rPr>
        <w:t xml:space="preserve"> = 6.5259</w:t>
      </w:r>
      <w:r w:rsidRPr="00495CBB">
        <w:rPr>
          <w:rFonts w:ascii="Times New Roman" w:hAnsi="Times New Roman" w:cs="Times New Roman"/>
          <w:i/>
          <w:iCs/>
        </w:rPr>
        <w:t>x</w:t>
      </w:r>
      <w:r w:rsidRPr="00495CBB">
        <w:rPr>
          <w:rFonts w:ascii="Times New Roman" w:hAnsi="Times New Roman" w:cs="Times New Roman"/>
        </w:rPr>
        <w:t xml:space="preserve"> -27.433</w:t>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i/>
          <w:iCs/>
        </w:rPr>
        <w:t>y</w:t>
      </w:r>
      <w:r w:rsidRPr="00495CBB">
        <w:rPr>
          <w:rFonts w:ascii="Times New Roman" w:hAnsi="Times New Roman" w:cs="Times New Roman"/>
        </w:rPr>
        <w:t xml:space="preserve"> = 0.0</w:t>
      </w:r>
      <w:r w:rsidR="009D227F">
        <w:rPr>
          <w:rFonts w:ascii="Times New Roman" w:hAnsi="Times New Roman" w:cs="Times New Roman"/>
        </w:rPr>
        <w:t>0007534</w:t>
      </w:r>
      <w:r w:rsidRPr="00495CBB">
        <w:rPr>
          <w:rFonts w:ascii="Times New Roman" w:hAnsi="Times New Roman" w:cs="Times New Roman"/>
          <w:i/>
          <w:iCs/>
        </w:rPr>
        <w:t>x</w:t>
      </w:r>
      <w:r w:rsidRPr="00495CBB">
        <w:rPr>
          <w:rFonts w:ascii="Times New Roman" w:hAnsi="Times New Roman" w:cs="Times New Roman"/>
        </w:rPr>
        <w:t xml:space="preserve"> + 0.01</w:t>
      </w:r>
      <w:r w:rsidR="009D227F">
        <w:rPr>
          <w:rFonts w:ascii="Times New Roman" w:hAnsi="Times New Roman" w:cs="Times New Roman"/>
        </w:rPr>
        <w:t>110428</w:t>
      </w:r>
      <w:r w:rsidRPr="00495CBB">
        <w:rPr>
          <w:rFonts w:ascii="Times New Roman" w:hAnsi="Times New Roman" w:cs="Times New Roman"/>
        </w:rPr>
        <w:tab/>
      </w:r>
      <w:r w:rsidRPr="00495CBB">
        <w:rPr>
          <w:rFonts w:ascii="Times New Roman" w:hAnsi="Times New Roman" w:cs="Times New Roman"/>
          <w:i/>
          <w:iCs/>
        </w:rPr>
        <w:t>y</w:t>
      </w:r>
      <w:r w:rsidRPr="00495CBB">
        <w:rPr>
          <w:rFonts w:ascii="Times New Roman" w:hAnsi="Times New Roman" w:cs="Times New Roman"/>
        </w:rPr>
        <w:t xml:space="preserve"> = 0.000</w:t>
      </w:r>
      <w:r w:rsidR="009D227F">
        <w:rPr>
          <w:rFonts w:ascii="Times New Roman" w:hAnsi="Times New Roman" w:cs="Times New Roman"/>
        </w:rPr>
        <w:t>0</w:t>
      </w:r>
      <w:r w:rsidRPr="00495CBB">
        <w:rPr>
          <w:rFonts w:ascii="Times New Roman" w:hAnsi="Times New Roman" w:cs="Times New Roman"/>
        </w:rPr>
        <w:t>6</w:t>
      </w:r>
      <w:r w:rsidR="009D227F">
        <w:rPr>
          <w:rFonts w:ascii="Times New Roman" w:hAnsi="Times New Roman" w:cs="Times New Roman"/>
        </w:rPr>
        <w:t>205</w:t>
      </w:r>
      <w:r w:rsidRPr="00495CBB">
        <w:rPr>
          <w:rFonts w:ascii="Times New Roman" w:hAnsi="Times New Roman" w:cs="Times New Roman"/>
          <w:i/>
          <w:iCs/>
        </w:rPr>
        <w:t>x</w:t>
      </w:r>
      <w:r w:rsidRPr="00495CBB">
        <w:rPr>
          <w:rFonts w:ascii="Times New Roman" w:hAnsi="Times New Roman" w:cs="Times New Roman"/>
        </w:rPr>
        <w:t xml:space="preserve"> +0.01</w:t>
      </w:r>
      <w:r w:rsidR="009D227F">
        <w:rPr>
          <w:rFonts w:ascii="Times New Roman" w:hAnsi="Times New Roman" w:cs="Times New Roman"/>
        </w:rPr>
        <w:t>10428</w:t>
      </w:r>
    </w:p>
    <w:p w14:paraId="31648A58" w14:textId="2ABF1334" w:rsidR="007A4D06" w:rsidRPr="00495CBB" w:rsidRDefault="007A4D06" w:rsidP="0006282A">
      <w:pPr>
        <w:spacing w:line="240" w:lineRule="auto"/>
        <w:ind w:left="0" w:right="14" w:hanging="14"/>
        <w:rPr>
          <w:rFonts w:ascii="Times New Roman" w:hAnsi="Times New Roman" w:cs="Times New Roman"/>
        </w:rPr>
      </w:pPr>
      <w:r w:rsidRPr="00495CBB">
        <w:rPr>
          <w:rFonts w:ascii="Times New Roman" w:hAnsi="Times New Roman" w:cs="Times New Roman"/>
          <w:i/>
          <w:iCs/>
        </w:rPr>
        <w:t>y</w:t>
      </w:r>
      <w:r w:rsidRPr="00495CBB">
        <w:rPr>
          <w:rFonts w:ascii="Times New Roman" w:hAnsi="Times New Roman" w:cs="Times New Roman"/>
        </w:rPr>
        <w:t xml:space="preserve"> = 0.01</w:t>
      </w:r>
      <w:r w:rsidR="00516ECB">
        <w:rPr>
          <w:rFonts w:ascii="Times New Roman" w:hAnsi="Times New Roman" w:cs="Times New Roman"/>
        </w:rPr>
        <w:t>110161</w:t>
      </w:r>
      <w:r w:rsidRPr="00495CBB">
        <w:rPr>
          <w:rFonts w:ascii="Times New Roman" w:hAnsi="Times New Roman" w:cs="Times New Roman"/>
          <w:i/>
          <w:iCs/>
        </w:rPr>
        <w:t>x</w:t>
      </w:r>
      <w:r w:rsidRPr="00495CBB">
        <w:rPr>
          <w:rFonts w:ascii="Times New Roman" w:hAnsi="Times New Roman" w:cs="Times New Roman"/>
        </w:rPr>
        <w:t xml:space="preserve"> + 0.0000</w:t>
      </w:r>
      <w:r w:rsidR="00516ECB">
        <w:rPr>
          <w:rFonts w:ascii="Times New Roman" w:hAnsi="Times New Roman" w:cs="Times New Roman"/>
        </w:rPr>
        <w:t>7223</w:t>
      </w:r>
      <w:r w:rsidRPr="00495CBB">
        <w:rPr>
          <w:rFonts w:ascii="Times New Roman" w:hAnsi="Times New Roman" w:cs="Times New Roman"/>
        </w:rPr>
        <w:tab/>
        <w:t>r</w:t>
      </w:r>
      <w:r w:rsidRPr="00495CBB">
        <w:rPr>
          <w:rFonts w:ascii="Times New Roman" w:hAnsi="Times New Roman" w:cs="Times New Roman"/>
          <w:vertAlign w:val="superscript"/>
        </w:rPr>
        <w:t>2</w:t>
      </w:r>
      <w:r w:rsidRPr="00495CBB">
        <w:rPr>
          <w:rFonts w:ascii="Times New Roman" w:hAnsi="Times New Roman" w:cs="Times New Roman"/>
        </w:rPr>
        <w:t xml:space="preserve"> = 0.91073043        </w:t>
      </w:r>
      <w:r w:rsidRPr="00495CBB">
        <w:rPr>
          <w:rFonts w:ascii="Times New Roman" w:hAnsi="Times New Roman" w:cs="Times New Roman"/>
        </w:rPr>
        <w:tab/>
      </w:r>
      <w:r w:rsidRPr="00495CBB">
        <w:rPr>
          <w:rFonts w:ascii="Times New Roman" w:hAnsi="Times New Roman" w:cs="Times New Roman"/>
        </w:rPr>
        <w:tab/>
        <w:t>r</w:t>
      </w:r>
      <w:r w:rsidRPr="00495CBB">
        <w:rPr>
          <w:rFonts w:ascii="Times New Roman" w:hAnsi="Times New Roman" w:cs="Times New Roman"/>
          <w:vertAlign w:val="superscript"/>
        </w:rPr>
        <w:t>2</w:t>
      </w:r>
      <w:r w:rsidRPr="00495CBB">
        <w:rPr>
          <w:rFonts w:ascii="Times New Roman" w:hAnsi="Times New Roman" w:cs="Times New Roman"/>
        </w:rPr>
        <w:t xml:space="preserve"> = 0.91073</w:t>
      </w:r>
      <w:r w:rsidR="009D227F">
        <w:rPr>
          <w:rFonts w:ascii="Times New Roman" w:hAnsi="Times New Roman" w:cs="Times New Roman"/>
        </w:rPr>
        <w:t>182</w:t>
      </w:r>
      <w:r w:rsidRPr="00495CBB">
        <w:rPr>
          <w:rFonts w:ascii="Times New Roman" w:hAnsi="Times New Roman" w:cs="Times New Roman"/>
        </w:rPr>
        <w:t xml:space="preserve">        </w:t>
      </w:r>
      <w:r w:rsidRPr="00495CBB">
        <w:rPr>
          <w:rFonts w:ascii="Times New Roman" w:hAnsi="Times New Roman" w:cs="Times New Roman"/>
        </w:rPr>
        <w:tab/>
      </w:r>
      <w:r w:rsidRPr="00495CBB">
        <w:rPr>
          <w:rFonts w:ascii="Times New Roman" w:hAnsi="Times New Roman" w:cs="Times New Roman"/>
        </w:rPr>
        <w:tab/>
      </w:r>
      <w:r w:rsidRPr="00495CBB">
        <w:rPr>
          <w:rFonts w:ascii="Times New Roman" w:hAnsi="Times New Roman" w:cs="Times New Roman"/>
        </w:rPr>
        <w:tab/>
        <w:t>r</w:t>
      </w:r>
      <w:r w:rsidRPr="00495CBB">
        <w:rPr>
          <w:rFonts w:ascii="Times New Roman" w:hAnsi="Times New Roman" w:cs="Times New Roman"/>
          <w:vertAlign w:val="superscript"/>
        </w:rPr>
        <w:t>2</w:t>
      </w:r>
      <w:r w:rsidRPr="00495CBB">
        <w:rPr>
          <w:rFonts w:ascii="Times New Roman" w:hAnsi="Times New Roman" w:cs="Times New Roman"/>
        </w:rPr>
        <w:t xml:space="preserve"> = 0.9107315         </w:t>
      </w:r>
    </w:p>
    <w:p w14:paraId="791C267C" w14:textId="77777777" w:rsidR="007A4D06" w:rsidRPr="00495CBB" w:rsidRDefault="007A4D06" w:rsidP="0006282A">
      <w:pPr>
        <w:spacing w:line="240" w:lineRule="auto"/>
        <w:ind w:left="0" w:right="14" w:hanging="14"/>
        <w:rPr>
          <w:rFonts w:ascii="Times New Roman" w:hAnsi="Times New Roman" w:cs="Times New Roman"/>
        </w:rPr>
      </w:pPr>
      <w:r w:rsidRPr="00495CBB">
        <w:rPr>
          <w:rFonts w:ascii="Times New Roman" w:hAnsi="Times New Roman" w:cs="Times New Roman"/>
        </w:rPr>
        <w:tab/>
      </w:r>
      <w:r w:rsidRPr="00495CBB">
        <w:rPr>
          <w:rFonts w:ascii="Times New Roman" w:hAnsi="Times New Roman" w:cs="Times New Roman"/>
        </w:rPr>
        <w:tab/>
        <w:t>r</w:t>
      </w:r>
      <w:r w:rsidRPr="00495CBB">
        <w:rPr>
          <w:rFonts w:ascii="Times New Roman" w:hAnsi="Times New Roman" w:cs="Times New Roman"/>
          <w:vertAlign w:val="superscript"/>
        </w:rPr>
        <w:t>2</w:t>
      </w:r>
      <w:r w:rsidRPr="00495CBB">
        <w:rPr>
          <w:rFonts w:ascii="Times New Roman" w:hAnsi="Times New Roman" w:cs="Times New Roman"/>
        </w:rPr>
        <w:t xml:space="preserve"> = 0.99999999</w:t>
      </w:r>
    </w:p>
    <w:p w14:paraId="1B69701F" w14:textId="77777777" w:rsidR="007A4D06" w:rsidRPr="00495CBB" w:rsidRDefault="007A4D06" w:rsidP="0006282A">
      <w:pPr>
        <w:spacing w:line="240" w:lineRule="auto"/>
        <w:ind w:left="0" w:right="14" w:hanging="14"/>
        <w:rPr>
          <w:rFonts w:ascii="Times New Roman" w:hAnsi="Times New Roman" w:cs="Times New Roman"/>
        </w:rPr>
      </w:pPr>
      <w:r w:rsidRPr="00495CBB">
        <w:rPr>
          <w:rFonts w:ascii="Times New Roman" w:hAnsi="Times New Roman" w:cs="Times New Roman"/>
        </w:rPr>
        <w:t xml:space="preserve">exclude surface </w:t>
      </w:r>
      <w:r w:rsidRPr="00495CBB">
        <w:rPr>
          <w:rFonts w:ascii="Times New Roman" w:hAnsi="Times New Roman" w:cs="Times New Roman"/>
          <w:vertAlign w:val="superscript"/>
        </w:rPr>
        <w:t>12</w:t>
      </w:r>
      <w:r w:rsidRPr="00495CBB">
        <w:rPr>
          <w:rFonts w:ascii="Times New Roman" w:hAnsi="Times New Roman" w:cs="Times New Roman"/>
        </w:rPr>
        <w:t xml:space="preserve">C vs. </w:t>
      </w:r>
      <w:r w:rsidRPr="00495CBB">
        <w:rPr>
          <w:rFonts w:ascii="Times New Roman" w:hAnsi="Times New Roman" w:cs="Times New Roman"/>
          <w:vertAlign w:val="superscript"/>
        </w:rPr>
        <w:t>13</w:t>
      </w:r>
      <w:r w:rsidRPr="00495CBB">
        <w:rPr>
          <w:rFonts w:ascii="Times New Roman" w:hAnsi="Times New Roman" w:cs="Times New Roman"/>
        </w:rPr>
        <w:t>C</w:t>
      </w:r>
    </w:p>
    <w:p w14:paraId="36FF0A63" w14:textId="77777777" w:rsidR="007A4D06" w:rsidRPr="00495CBB" w:rsidRDefault="007A4D06" w:rsidP="0006282A">
      <w:pPr>
        <w:spacing w:line="240" w:lineRule="auto"/>
        <w:ind w:left="0" w:right="14" w:hanging="14"/>
        <w:rPr>
          <w:rFonts w:ascii="Times New Roman" w:hAnsi="Times New Roman" w:cs="Times New Roman"/>
        </w:rPr>
      </w:pPr>
      <w:r w:rsidRPr="00495CBB">
        <w:rPr>
          <w:rFonts w:ascii="Times New Roman" w:hAnsi="Times New Roman" w:cs="Times New Roman"/>
          <w:i/>
          <w:iCs/>
        </w:rPr>
        <w:t>y</w:t>
      </w:r>
      <w:r w:rsidRPr="00495CBB">
        <w:rPr>
          <w:rFonts w:ascii="Times New Roman" w:hAnsi="Times New Roman" w:cs="Times New Roman"/>
        </w:rPr>
        <w:t xml:space="preserve"> = 0.01087859</w:t>
      </w:r>
      <w:r w:rsidRPr="00495CBB">
        <w:rPr>
          <w:rFonts w:ascii="Times New Roman" w:hAnsi="Times New Roman" w:cs="Times New Roman"/>
          <w:i/>
          <w:iCs/>
        </w:rPr>
        <w:t>x</w:t>
      </w:r>
      <w:r w:rsidRPr="00495CBB">
        <w:rPr>
          <w:rFonts w:ascii="Times New Roman" w:hAnsi="Times New Roman" w:cs="Times New Roman"/>
        </w:rPr>
        <w:t xml:space="preserve"> + 0.00003443</w:t>
      </w:r>
    </w:p>
    <w:p w14:paraId="713E497C" w14:textId="458C7ABA" w:rsidR="007A4D06" w:rsidRPr="00495CBB" w:rsidRDefault="007A4D06" w:rsidP="0006282A">
      <w:pPr>
        <w:spacing w:line="240" w:lineRule="auto"/>
        <w:ind w:left="0" w:right="14" w:hanging="14"/>
        <w:rPr>
          <w:rFonts w:ascii="Times New Roman" w:hAnsi="Times New Roman" w:cs="Times New Roman"/>
        </w:rPr>
        <w:sectPr w:rsidR="007A4D06" w:rsidRPr="00495CBB" w:rsidSect="007F6D0A">
          <w:footerReference w:type="default" r:id="rId24"/>
          <w:pgSz w:w="16839" w:h="11907" w:orient="landscape" w:code="9"/>
          <w:pgMar w:top="1440" w:right="1440" w:bottom="1440" w:left="1440" w:header="720" w:footer="720" w:gutter="0"/>
          <w:cols w:space="720"/>
          <w:docGrid w:linePitch="360"/>
        </w:sectPr>
      </w:pPr>
      <w:r w:rsidRPr="00495CBB">
        <w:rPr>
          <w:rFonts w:ascii="Times New Roman" w:hAnsi="Times New Roman" w:cs="Times New Roman"/>
        </w:rPr>
        <w:tab/>
      </w:r>
      <w:r w:rsidRPr="00495CBB">
        <w:rPr>
          <w:rFonts w:ascii="Times New Roman" w:hAnsi="Times New Roman" w:cs="Times New Roman"/>
        </w:rPr>
        <w:tab/>
        <w:t>r</w:t>
      </w:r>
      <w:r w:rsidRPr="00495CBB">
        <w:rPr>
          <w:rFonts w:ascii="Times New Roman" w:hAnsi="Times New Roman" w:cs="Times New Roman"/>
          <w:vertAlign w:val="superscript"/>
        </w:rPr>
        <w:t>2</w:t>
      </w:r>
      <w:r w:rsidRPr="00495CBB">
        <w:rPr>
          <w:rFonts w:ascii="Times New Roman" w:hAnsi="Times New Roman" w:cs="Times New Roman"/>
        </w:rPr>
        <w:t xml:space="preserve"> = 0.9999</w:t>
      </w:r>
      <w:r w:rsidR="009D227F">
        <w:rPr>
          <w:rFonts w:ascii="Times New Roman" w:hAnsi="Times New Roman" w:cs="Times New Roman"/>
        </w:rPr>
        <w:t>991</w:t>
      </w:r>
    </w:p>
    <w:p w14:paraId="75E87A82" w14:textId="1F372A53" w:rsidR="008F1AAC" w:rsidRDefault="008F1AAC" w:rsidP="00CE21F5">
      <w:pPr>
        <w:pStyle w:val="Figurecaption"/>
        <w:spacing w:before="0" w:after="3" w:line="473" w:lineRule="auto"/>
        <w:ind w:right="14"/>
        <w:jc w:val="both"/>
      </w:pPr>
      <w:r w:rsidRPr="00916DB2">
        <w:rPr>
          <w:noProof/>
        </w:rPr>
        <w:lastRenderedPageBreak/>
        <w:drawing>
          <wp:inline distT="0" distB="0" distL="0" distR="0" wp14:anchorId="225F7DE8" wp14:editId="446DF942">
            <wp:extent cx="4476190" cy="2752381"/>
            <wp:effectExtent l="0" t="0" r="635" b="0"/>
            <wp:docPr id="1755277796" name="Picture 1" descr="A graph of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77796" name="Picture 1" descr="A graph of numbers and lines&#10;&#10;Description automatically generated"/>
                    <pic:cNvPicPr/>
                  </pic:nvPicPr>
                  <pic:blipFill>
                    <a:blip r:embed="rId25"/>
                    <a:stretch>
                      <a:fillRect/>
                    </a:stretch>
                  </pic:blipFill>
                  <pic:spPr>
                    <a:xfrm>
                      <a:off x="0" y="0"/>
                      <a:ext cx="4476190" cy="2752381"/>
                    </a:xfrm>
                    <a:prstGeom prst="rect">
                      <a:avLst/>
                    </a:prstGeom>
                  </pic:spPr>
                </pic:pic>
              </a:graphicData>
            </a:graphic>
          </wp:inline>
        </w:drawing>
      </w:r>
    </w:p>
    <w:p w14:paraId="6303DE0F" w14:textId="53BC3274" w:rsidR="007A4D06" w:rsidRPr="00CE21F5" w:rsidRDefault="007A4D06" w:rsidP="00CE21F5">
      <w:pPr>
        <w:pStyle w:val="Figurecaption"/>
        <w:spacing w:before="0" w:after="3" w:line="473" w:lineRule="auto"/>
        <w:ind w:right="14"/>
        <w:jc w:val="both"/>
        <w:rPr>
          <w:noProof/>
          <w:lang w:val="en-US"/>
        </w:rPr>
      </w:pPr>
      <w:r>
        <w:t xml:space="preserve">Figure </w:t>
      </w:r>
      <w:r w:rsidR="00DD7267">
        <w:t>S2</w:t>
      </w:r>
      <w:r>
        <w:t xml:space="preserve">b. Observed </w:t>
      </w:r>
      <w:r w:rsidRPr="00327C16">
        <w:rPr>
          <w:vertAlign w:val="superscript"/>
        </w:rPr>
        <w:t>13</w:t>
      </w:r>
      <w:r>
        <w:t>C:</w:t>
      </w:r>
      <w:r w:rsidRPr="00327C16">
        <w:rPr>
          <w:vertAlign w:val="superscript"/>
        </w:rPr>
        <w:t>12</w:t>
      </w:r>
      <w:r>
        <w:t xml:space="preserve">C ratios and </w:t>
      </w:r>
      <w:r>
        <w:rPr>
          <w:noProof/>
          <w:lang w:val="en-US"/>
        </w:rPr>
        <w:t>five</w:t>
      </w:r>
      <w:r w:rsidRPr="00023D70">
        <w:rPr>
          <w:noProof/>
          <w:lang w:val="en-US"/>
        </w:rPr>
        <w:t xml:space="preserve"> different source estimates plotted vs. depth</w:t>
      </w:r>
      <w:r>
        <w:rPr>
          <w:noProof/>
          <w:lang w:val="en-US"/>
        </w:rPr>
        <w:t xml:space="preserve"> </w:t>
      </w:r>
      <w:r>
        <w:t>for a representative soil profile on the eastern slope, Mount Gongga, of the Tibetan Plateau</w:t>
      </w:r>
      <w:r w:rsidRPr="00023D70">
        <w:rPr>
          <w:noProof/>
          <w:lang w:val="en-US"/>
        </w:rPr>
        <w:t xml:space="preserve">. The </w:t>
      </w:r>
      <w:r>
        <w:rPr>
          <w:noProof/>
          <w:lang w:val="en-US"/>
        </w:rPr>
        <w:t>five</w:t>
      </w:r>
      <w:r w:rsidRPr="00023D70">
        <w:rPr>
          <w:noProof/>
          <w:lang w:val="en-US"/>
        </w:rPr>
        <w:t xml:space="preserve"> sources are the the </w:t>
      </w:r>
      <w:r>
        <w:rPr>
          <w:noProof/>
          <w:vertAlign w:val="superscript"/>
          <w:lang w:val="en-US"/>
        </w:rPr>
        <w:t>12</w:t>
      </w:r>
      <w:r>
        <w:rPr>
          <w:noProof/>
          <w:lang w:val="en-US"/>
        </w:rPr>
        <w:t>C</w:t>
      </w:r>
      <w:r w:rsidRPr="00023D70">
        <w:rPr>
          <w:noProof/>
          <w:lang w:val="en-US"/>
        </w:rPr>
        <w:t xml:space="preserve"> vs. </w:t>
      </w:r>
      <w:r>
        <w:rPr>
          <w:noProof/>
          <w:vertAlign w:val="superscript"/>
          <w:lang w:val="en-US"/>
        </w:rPr>
        <w:t>12</w:t>
      </w:r>
      <w:r>
        <w:rPr>
          <w:noProof/>
          <w:lang w:val="en-US"/>
        </w:rPr>
        <w:t>C</w:t>
      </w:r>
      <w:r w:rsidRPr="00023D70">
        <w:rPr>
          <w:noProof/>
          <w:lang w:val="en-US"/>
        </w:rPr>
        <w:t xml:space="preserve"> slope</w:t>
      </w:r>
      <w:r>
        <w:rPr>
          <w:noProof/>
          <w:lang w:val="en-US"/>
        </w:rPr>
        <w:t>,</w:t>
      </w:r>
      <w:r w:rsidRPr="00023D70">
        <w:rPr>
          <w:i/>
          <w:iCs/>
          <w:noProof/>
          <w:lang w:val="en-US"/>
        </w:rPr>
        <w:t xml:space="preserve"> y</w:t>
      </w:r>
      <w:r w:rsidRPr="00023D70">
        <w:rPr>
          <w:noProof/>
          <w:lang w:val="en-US"/>
        </w:rPr>
        <w:t xml:space="preserve">-intercept corrected ratios, </w:t>
      </w:r>
      <w:r>
        <w:rPr>
          <w:noProof/>
          <w:lang w:val="en-US"/>
        </w:rPr>
        <w:t>both traditional 1/total C (mg/g units) and 1/</w:t>
      </w:r>
      <w:r>
        <w:rPr>
          <w:noProof/>
          <w:vertAlign w:val="superscript"/>
          <w:lang w:val="en-US"/>
        </w:rPr>
        <w:t>12</w:t>
      </w:r>
      <w:r>
        <w:rPr>
          <w:noProof/>
          <w:lang w:val="en-US"/>
        </w:rPr>
        <w:t xml:space="preserve">C (mmole/g units) mixing line </w:t>
      </w:r>
      <w:r w:rsidRPr="00B55737">
        <w:rPr>
          <w:i/>
          <w:iCs/>
          <w:noProof/>
          <w:lang w:val="en-US"/>
        </w:rPr>
        <w:t>y</w:t>
      </w:r>
      <w:r>
        <w:rPr>
          <w:noProof/>
          <w:lang w:val="en-US"/>
        </w:rPr>
        <w:t>-intercepts, and spline smoothed cubic derivatives</w:t>
      </w:r>
      <w:r w:rsidRPr="00023D70">
        <w:rPr>
          <w:noProof/>
          <w:lang w:val="en-US"/>
        </w:rPr>
        <w:t xml:space="preserve">. The numbers </w:t>
      </w:r>
      <w:r>
        <w:rPr>
          <w:noProof/>
          <w:lang w:val="en-US"/>
        </w:rPr>
        <w:t xml:space="preserve">in parentheses </w:t>
      </w:r>
      <w:r w:rsidRPr="00023D70">
        <w:rPr>
          <w:noProof/>
          <w:lang w:val="en-US"/>
        </w:rPr>
        <w:t xml:space="preserve">adjacent to </w:t>
      </w:r>
      <w:r>
        <w:rPr>
          <w:noProof/>
          <w:lang w:val="en-US"/>
        </w:rPr>
        <w:t>derivative</w:t>
      </w:r>
      <w:r w:rsidRPr="00023D70">
        <w:rPr>
          <w:noProof/>
          <w:lang w:val="en-US"/>
        </w:rPr>
        <w:t xml:space="preserve"> ratio points indicate the </w:t>
      </w:r>
      <w:r>
        <w:rPr>
          <w:noProof/>
          <w:lang w:val="en-US"/>
        </w:rPr>
        <w:t>corresponding ð values</w:t>
      </w:r>
      <w:r w:rsidRPr="00023D70">
        <w:rPr>
          <w:noProof/>
          <w:lang w:val="en-US"/>
        </w:rPr>
        <w:t xml:space="preserve"> at a given depth</w:t>
      </w:r>
      <w:r>
        <w:rPr>
          <w:noProof/>
          <w:lang w:val="en-US"/>
        </w:rPr>
        <w:t>.</w:t>
      </w:r>
      <w:r w:rsidR="0064495C">
        <w:rPr>
          <w:noProof/>
          <w:lang w:val="en-US"/>
        </w:rPr>
        <w:t xml:space="preserve"> </w:t>
      </w:r>
      <w:r w:rsidR="0064495C" w:rsidRPr="00495CBB">
        <w:t>Note that the ð</w:t>
      </w:r>
      <w:r w:rsidR="0064495C" w:rsidRPr="00495CBB">
        <w:rPr>
          <w:vertAlign w:val="superscript"/>
        </w:rPr>
        <w:t>13</w:t>
      </w:r>
      <w:r w:rsidR="0064495C" w:rsidRPr="00495CBB">
        <w:t>C and carbon concentration values at depth zero are for the surface leaf litter.</w:t>
      </w:r>
      <w:r w:rsidRPr="00023D70">
        <w:rPr>
          <w:noProof/>
          <w:lang w:val="en-US"/>
        </w:rPr>
        <w:t xml:space="preserve"> </w:t>
      </w:r>
      <w:r>
        <w:rPr>
          <w:noProof/>
          <w:lang w:val="en-US"/>
        </w:rPr>
        <w:t xml:space="preserve">Data after </w:t>
      </w:r>
      <w:r>
        <w:t>Wang et al. (2015)</w:t>
      </w:r>
      <w:r>
        <w:rPr>
          <w:noProof/>
          <w:lang w:val="en-US"/>
        </w:rPr>
        <w:t>.</w:t>
      </w:r>
    </w:p>
    <w:p w14:paraId="6D60BE94" w14:textId="67E8BD50" w:rsidR="007A4D06" w:rsidRDefault="00916DB2" w:rsidP="0006282A">
      <w:pPr>
        <w:ind w:left="0" w:right="14"/>
      </w:pPr>
      <w:r w:rsidRPr="00916DB2">
        <w:rPr>
          <w:noProof/>
        </w:rPr>
        <w:drawing>
          <wp:inline distT="0" distB="0" distL="0" distR="0" wp14:anchorId="66B39448" wp14:editId="124C6F6B">
            <wp:extent cx="4580952" cy="2742857"/>
            <wp:effectExtent l="0" t="0" r="0" b="635"/>
            <wp:docPr id="552112122" name="Picture 1" descr="A graph of a graph with number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12122" name="Picture 1" descr="A graph of a graph with numbers and points&#10;&#10;Description automatically generated with medium confidence"/>
                    <pic:cNvPicPr/>
                  </pic:nvPicPr>
                  <pic:blipFill>
                    <a:blip r:embed="rId26"/>
                    <a:stretch>
                      <a:fillRect/>
                    </a:stretch>
                  </pic:blipFill>
                  <pic:spPr>
                    <a:xfrm>
                      <a:off x="0" y="0"/>
                      <a:ext cx="4580952" cy="2742857"/>
                    </a:xfrm>
                    <a:prstGeom prst="rect">
                      <a:avLst/>
                    </a:prstGeom>
                  </pic:spPr>
                </pic:pic>
              </a:graphicData>
            </a:graphic>
          </wp:inline>
        </w:drawing>
      </w:r>
    </w:p>
    <w:p w14:paraId="3C560020" w14:textId="4D3E2F64" w:rsidR="007A4D06" w:rsidRPr="00CC3A2C" w:rsidRDefault="007A4D06" w:rsidP="00CC3A2C">
      <w:pPr>
        <w:pStyle w:val="Figurecaption"/>
        <w:spacing w:before="0" w:after="3" w:line="473" w:lineRule="auto"/>
        <w:ind w:right="14"/>
        <w:jc w:val="both"/>
        <w:rPr>
          <w:lang w:val="en-US"/>
        </w:rPr>
      </w:pPr>
      <w:r>
        <w:lastRenderedPageBreak/>
        <w:t xml:space="preserve">Figure </w:t>
      </w:r>
      <w:r w:rsidR="00DD7267">
        <w:t>S2</w:t>
      </w:r>
      <w:r>
        <w:t xml:space="preserve">c. </w:t>
      </w:r>
      <w:r>
        <w:rPr>
          <w:lang w:val="en-US"/>
        </w:rPr>
        <w:t xml:space="preserve">The relationship between ln total C and both observed and </w:t>
      </w:r>
      <w:r>
        <w:rPr>
          <w:i/>
          <w:iCs/>
          <w:lang w:val="en-US"/>
        </w:rPr>
        <w:t>y</w:t>
      </w:r>
      <w:r>
        <w:rPr>
          <w:lang w:val="en-US"/>
        </w:rPr>
        <w:t xml:space="preserve">-intercept corrected </w:t>
      </w:r>
      <w:r>
        <w:rPr>
          <w:vertAlign w:val="superscript"/>
          <w:lang w:val="en-US"/>
        </w:rPr>
        <w:t>13</w:t>
      </w:r>
      <w:r>
        <w:rPr>
          <w:lang w:val="en-US"/>
        </w:rPr>
        <w:t>C:</w:t>
      </w:r>
      <w:r>
        <w:rPr>
          <w:vertAlign w:val="superscript"/>
          <w:lang w:val="en-US"/>
        </w:rPr>
        <w:t>12</w:t>
      </w:r>
      <w:r>
        <w:rPr>
          <w:lang w:val="en-US"/>
        </w:rPr>
        <w:t xml:space="preserve">C ratios </w:t>
      </w:r>
      <w:r>
        <w:t>for a representative soil profile on the eastern slope, Mount Gongga, of the Tibetan Plateau</w:t>
      </w:r>
      <w:r w:rsidRPr="00023D70">
        <w:rPr>
          <w:noProof/>
          <w:lang w:val="en-US"/>
        </w:rPr>
        <w:t xml:space="preserve">. </w:t>
      </w:r>
      <w:r>
        <w:rPr>
          <w:lang w:val="en-US"/>
        </w:rPr>
        <w:t xml:space="preserve">The slope for the observed ratios </w:t>
      </w:r>
      <w:r w:rsidRPr="00DD2C1A">
        <w:rPr>
          <w:lang w:val="en-US"/>
        </w:rPr>
        <w:t>defines the Ra</w:t>
      </w:r>
      <w:r>
        <w:rPr>
          <w:lang w:val="en-US"/>
        </w:rPr>
        <w:t>y</w:t>
      </w:r>
      <w:r w:rsidRPr="00DD2C1A">
        <w:rPr>
          <w:lang w:val="en-US"/>
        </w:rPr>
        <w:t xml:space="preserve">leigh fractionation factor in </w:t>
      </w:r>
      <w:r>
        <w:rPr>
          <w:lang w:val="en-US"/>
        </w:rPr>
        <w:t>isotopic ratio rather than delta units</w:t>
      </w:r>
      <w:r w:rsidRPr="00DD2C1A">
        <w:rPr>
          <w:lang w:val="en-US"/>
        </w:rPr>
        <w:t xml:space="preserve"> </w:t>
      </w:r>
      <w:r>
        <w:rPr>
          <w:lang w:val="en-US"/>
        </w:rPr>
        <w:t xml:space="preserve">but still </w:t>
      </w:r>
      <w:r w:rsidRPr="00DD2C1A">
        <w:rPr>
          <w:lang w:val="en-US"/>
        </w:rPr>
        <w:t xml:space="preserve">explains the increase in </w:t>
      </w:r>
      <w:r w:rsidRPr="00DD2C1A">
        <w:rPr>
          <w:vertAlign w:val="superscript"/>
          <w:lang w:val="en-US"/>
        </w:rPr>
        <w:t>1</w:t>
      </w:r>
      <w:r>
        <w:rPr>
          <w:vertAlign w:val="superscript"/>
          <w:lang w:val="en-US"/>
        </w:rPr>
        <w:t>3</w:t>
      </w:r>
      <w:r>
        <w:rPr>
          <w:lang w:val="en-US"/>
        </w:rPr>
        <w:t>C</w:t>
      </w:r>
      <w:r w:rsidRPr="00DD2C1A">
        <w:rPr>
          <w:lang w:val="en-US"/>
        </w:rPr>
        <w:t xml:space="preserve"> enrichment with declining organic matter and the covarying decline in total </w:t>
      </w:r>
      <w:r>
        <w:rPr>
          <w:lang w:val="en-US"/>
        </w:rPr>
        <w:t>C</w:t>
      </w:r>
      <w:r w:rsidRPr="00DD2C1A">
        <w:rPr>
          <w:lang w:val="en-US"/>
        </w:rPr>
        <w:t>.</w:t>
      </w:r>
      <w:r>
        <w:rPr>
          <w:lang w:val="en-US"/>
        </w:rPr>
        <w:t xml:space="preserve"> </w:t>
      </w:r>
      <w:r w:rsidRPr="00DD2C1A">
        <w:rPr>
          <w:lang w:val="en-US"/>
        </w:rPr>
        <w:t xml:space="preserve">Data after </w:t>
      </w:r>
      <w:r>
        <w:t>Wang et al. (2015)</w:t>
      </w:r>
      <w:r>
        <w:rPr>
          <w:noProof/>
          <w:lang w:val="en-US"/>
        </w:rPr>
        <w:t>.</w:t>
      </w:r>
    </w:p>
    <w:p w14:paraId="7C048B67" w14:textId="181DFA18" w:rsidR="007A4D06" w:rsidRDefault="005B3774" w:rsidP="0006282A">
      <w:pPr>
        <w:ind w:left="0" w:right="14"/>
      </w:pPr>
      <w:r w:rsidRPr="005B3774">
        <w:rPr>
          <w:noProof/>
        </w:rPr>
        <w:drawing>
          <wp:inline distT="0" distB="0" distL="0" distR="0" wp14:anchorId="5110247D" wp14:editId="7354AAF8">
            <wp:extent cx="4580952" cy="2752381"/>
            <wp:effectExtent l="0" t="0" r="0" b="0"/>
            <wp:docPr id="1856682587"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82587" name="Picture 1" descr="A graph of a function&#10;&#10;Description automatically generated with medium confidence"/>
                    <pic:cNvPicPr/>
                  </pic:nvPicPr>
                  <pic:blipFill>
                    <a:blip r:embed="rId27"/>
                    <a:stretch>
                      <a:fillRect/>
                    </a:stretch>
                  </pic:blipFill>
                  <pic:spPr>
                    <a:xfrm>
                      <a:off x="0" y="0"/>
                      <a:ext cx="4580952" cy="2752381"/>
                    </a:xfrm>
                    <a:prstGeom prst="rect">
                      <a:avLst/>
                    </a:prstGeom>
                  </pic:spPr>
                </pic:pic>
              </a:graphicData>
            </a:graphic>
          </wp:inline>
        </w:drawing>
      </w:r>
    </w:p>
    <w:p w14:paraId="0C468314" w14:textId="1C7F89FA" w:rsidR="007A4D06" w:rsidRPr="00391C2D" w:rsidRDefault="007A4D06" w:rsidP="00391C2D">
      <w:pPr>
        <w:pStyle w:val="Figurecaption"/>
        <w:spacing w:before="0" w:after="3" w:line="473" w:lineRule="auto"/>
        <w:ind w:right="14"/>
        <w:jc w:val="both"/>
        <w:rPr>
          <w:lang w:val="en-US"/>
        </w:rPr>
      </w:pPr>
      <w:r>
        <w:t xml:space="preserve">Figure </w:t>
      </w:r>
      <w:r w:rsidR="00DD7267">
        <w:t>S2</w:t>
      </w:r>
      <w:r>
        <w:t xml:space="preserve">d. </w:t>
      </w:r>
      <w:r>
        <w:rPr>
          <w:lang w:val="en-US"/>
        </w:rPr>
        <w:t xml:space="preserve">The relationship between total C and </w:t>
      </w:r>
      <w:r w:rsidRPr="00866F3D">
        <w:rPr>
          <w:lang w:val="en-US"/>
        </w:rPr>
        <w:t>discrimination factors</w:t>
      </w:r>
      <w:r>
        <w:rPr>
          <w:lang w:val="en-US"/>
        </w:rPr>
        <w:t xml:space="preserve"> in</w:t>
      </w:r>
      <w:r w:rsidRPr="00866F3D">
        <w:rPr>
          <w:vertAlign w:val="superscript"/>
          <w:lang w:val="en-US"/>
        </w:rPr>
        <w:t xml:space="preserve"> </w:t>
      </w:r>
      <w:r>
        <w:rPr>
          <w:vertAlign w:val="superscript"/>
          <w:lang w:val="en-US"/>
        </w:rPr>
        <w:t>13</w:t>
      </w:r>
      <w:r>
        <w:rPr>
          <w:lang w:val="en-US"/>
        </w:rPr>
        <w:t>C:</w:t>
      </w:r>
      <w:r>
        <w:rPr>
          <w:vertAlign w:val="superscript"/>
          <w:lang w:val="en-US"/>
        </w:rPr>
        <w:t>12</w:t>
      </w:r>
      <w:r>
        <w:rPr>
          <w:lang w:val="en-US"/>
        </w:rPr>
        <w:t xml:space="preserve">C ratio units </w:t>
      </w:r>
      <w:r>
        <w:t xml:space="preserve">for a representative soil profile on the eastern slope, Mount Gongga, of the Tibetan </w:t>
      </w:r>
      <w:r w:rsidR="003D07A6">
        <w:t>Plateau</w:t>
      </w:r>
      <w:r w:rsidR="003D07A6" w:rsidRPr="00023D70">
        <w:rPr>
          <w:noProof/>
          <w:lang w:val="en-US"/>
        </w:rPr>
        <w:t>.</w:t>
      </w:r>
      <w:r>
        <w:rPr>
          <w:lang w:val="en-US"/>
        </w:rPr>
        <w:t xml:space="preserve"> Changing discrimination factors were calculated in two different ways: 1) as the difference between </w:t>
      </w:r>
      <w:r w:rsidRPr="00866F3D">
        <w:rPr>
          <w:i/>
          <w:iCs/>
          <w:lang w:val="en-US"/>
        </w:rPr>
        <w:t>y</w:t>
      </w:r>
      <w:r>
        <w:rPr>
          <w:lang w:val="en-US"/>
        </w:rPr>
        <w:t xml:space="preserve">-intercept corrected ratio sources (presented in Figure </w:t>
      </w:r>
      <w:r w:rsidR="00DD7267">
        <w:rPr>
          <w:lang w:val="en-US"/>
        </w:rPr>
        <w:t>S2</w:t>
      </w:r>
      <w:r w:rsidR="002A61D1">
        <w:rPr>
          <w:lang w:val="en-US"/>
        </w:rPr>
        <w:t>b</w:t>
      </w:r>
      <w:r>
        <w:rPr>
          <w:lang w:val="en-US"/>
        </w:rPr>
        <w:t xml:space="preserve">) and observed ratios, and 2) as the difference between </w:t>
      </w:r>
      <w:r w:rsidRPr="00123EFA">
        <w:rPr>
          <w:lang w:val="en-US"/>
        </w:rPr>
        <w:t>derivative derived</w:t>
      </w:r>
      <w:r>
        <w:rPr>
          <w:lang w:val="en-US"/>
        </w:rPr>
        <w:t xml:space="preserve"> ratio sources (also presented in Figure </w:t>
      </w:r>
      <w:r w:rsidR="00DD7267">
        <w:rPr>
          <w:lang w:val="en-US"/>
        </w:rPr>
        <w:t>S2</w:t>
      </w:r>
      <w:r w:rsidR="002A61D1">
        <w:rPr>
          <w:lang w:val="en-US"/>
        </w:rPr>
        <w:t>b</w:t>
      </w:r>
      <w:r>
        <w:rPr>
          <w:lang w:val="en-US"/>
        </w:rPr>
        <w:t xml:space="preserve">) and observed ratios. The constant Rayleigh discrimination factor derived from the slope in Figure </w:t>
      </w:r>
      <w:r w:rsidR="0085128A">
        <w:rPr>
          <w:lang w:val="en-US"/>
        </w:rPr>
        <w:t>S</w:t>
      </w:r>
      <w:r>
        <w:rPr>
          <w:lang w:val="en-US"/>
        </w:rPr>
        <w:t>2</w:t>
      </w:r>
      <w:r w:rsidR="00CE1B7A">
        <w:rPr>
          <w:lang w:val="en-US"/>
        </w:rPr>
        <w:t>c</w:t>
      </w:r>
      <w:r>
        <w:rPr>
          <w:lang w:val="en-US"/>
        </w:rPr>
        <w:t xml:space="preserve"> is also presented. </w:t>
      </w:r>
      <w:r w:rsidRPr="00DD2C1A">
        <w:rPr>
          <w:lang w:val="en-US"/>
        </w:rPr>
        <w:t xml:space="preserve">Data after </w:t>
      </w:r>
      <w:r>
        <w:t>Wang et al. (2015)</w:t>
      </w:r>
      <w:r>
        <w:rPr>
          <w:noProof/>
          <w:lang w:val="en-US"/>
        </w:rPr>
        <w:t>.</w:t>
      </w:r>
    </w:p>
    <w:p w14:paraId="081F592E" w14:textId="21E73F71" w:rsidR="007A4D06" w:rsidRDefault="005B3774" w:rsidP="0006282A">
      <w:pPr>
        <w:ind w:left="0" w:right="14"/>
      </w:pPr>
      <w:r w:rsidRPr="005B3774">
        <w:rPr>
          <w:noProof/>
        </w:rPr>
        <w:lastRenderedPageBreak/>
        <w:drawing>
          <wp:inline distT="0" distB="0" distL="0" distR="0" wp14:anchorId="3F799E8E" wp14:editId="37C47285">
            <wp:extent cx="4580952" cy="2752381"/>
            <wp:effectExtent l="0" t="0" r="0" b="0"/>
            <wp:docPr id="1488700012"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00012" name="Picture 1" descr="A graph of a function&#10;&#10;Description automatically generated with medium confidence"/>
                    <pic:cNvPicPr/>
                  </pic:nvPicPr>
                  <pic:blipFill>
                    <a:blip r:embed="rId28"/>
                    <a:stretch>
                      <a:fillRect/>
                    </a:stretch>
                  </pic:blipFill>
                  <pic:spPr>
                    <a:xfrm>
                      <a:off x="0" y="0"/>
                      <a:ext cx="4580952" cy="2752381"/>
                    </a:xfrm>
                    <a:prstGeom prst="rect">
                      <a:avLst/>
                    </a:prstGeom>
                  </pic:spPr>
                </pic:pic>
              </a:graphicData>
            </a:graphic>
          </wp:inline>
        </w:drawing>
      </w:r>
    </w:p>
    <w:p w14:paraId="35ACF50E" w14:textId="67E87618" w:rsidR="007A4D06" w:rsidRDefault="007A4D06" w:rsidP="0006282A">
      <w:pPr>
        <w:ind w:left="0" w:right="14"/>
        <w:rPr>
          <w:noProof/>
        </w:rPr>
      </w:pPr>
      <w:r>
        <w:t xml:space="preserve">Figure </w:t>
      </w:r>
      <w:r w:rsidR="00DD7267">
        <w:t>S2</w:t>
      </w:r>
      <w:r>
        <w:t xml:space="preserve">e. The relationship between </w:t>
      </w:r>
      <w:r w:rsidR="00916DB2">
        <w:t xml:space="preserve">soil depth and </w:t>
      </w:r>
      <w:r w:rsidRPr="00866F3D">
        <w:t>discrimination factors</w:t>
      </w:r>
      <w:r>
        <w:t xml:space="preserve"> in</w:t>
      </w:r>
      <w:r w:rsidRPr="00866F3D">
        <w:rPr>
          <w:vertAlign w:val="superscript"/>
        </w:rPr>
        <w:t xml:space="preserve"> </w:t>
      </w:r>
      <w:r>
        <w:rPr>
          <w:vertAlign w:val="superscript"/>
        </w:rPr>
        <w:t>13</w:t>
      </w:r>
      <w:r>
        <w:t>C:</w:t>
      </w:r>
      <w:r>
        <w:rPr>
          <w:vertAlign w:val="superscript"/>
        </w:rPr>
        <w:t>12</w:t>
      </w:r>
      <w:r>
        <w:t>C ratio units for a representative soil profile on the eastern slope, Mount Gongga, of the Tibetan Plateau</w:t>
      </w:r>
      <w:r w:rsidRPr="00023D70">
        <w:rPr>
          <w:noProof/>
        </w:rPr>
        <w:t>.</w:t>
      </w:r>
      <w:r>
        <w:t xml:space="preserve"> Discrimination factors were calculated in two different ways: 1) as the difference between </w:t>
      </w:r>
      <w:r w:rsidRPr="00866F3D">
        <w:rPr>
          <w:i/>
          <w:iCs/>
        </w:rPr>
        <w:t>y</w:t>
      </w:r>
      <w:r>
        <w:t xml:space="preserve">-intercept corrected ratio sources (presented in Figure </w:t>
      </w:r>
      <w:r w:rsidR="00DD7267">
        <w:t>S2</w:t>
      </w:r>
      <w:r w:rsidR="00CE1B7A">
        <w:t>b</w:t>
      </w:r>
      <w:r>
        <w:t xml:space="preserve">) and observed ratios, and 2) as the difference between </w:t>
      </w:r>
      <w:r w:rsidRPr="00123EFA">
        <w:t>derivative derived</w:t>
      </w:r>
      <w:r>
        <w:t xml:space="preserve"> ratio sources (also presented in Figure </w:t>
      </w:r>
      <w:r w:rsidR="00DD7267">
        <w:t>S2</w:t>
      </w:r>
      <w:r w:rsidR="00CE1B7A">
        <w:t>b</w:t>
      </w:r>
      <w:r>
        <w:t xml:space="preserve">) and observed ratios. </w:t>
      </w:r>
      <w:r w:rsidRPr="00DD2C1A">
        <w:t xml:space="preserve">Data after </w:t>
      </w:r>
      <w:r>
        <w:t>Wang et al. (2015)</w:t>
      </w:r>
      <w:r>
        <w:rPr>
          <w:noProof/>
        </w:rPr>
        <w:t>.</w:t>
      </w:r>
    </w:p>
    <w:p w14:paraId="4741EE88" w14:textId="77777777" w:rsidR="007A4D06" w:rsidRDefault="007A4D06" w:rsidP="0006282A">
      <w:pPr>
        <w:ind w:left="0" w:right="14"/>
        <w:rPr>
          <w:noProof/>
        </w:rPr>
      </w:pPr>
      <w:r>
        <w:rPr>
          <w:noProof/>
        </w:rPr>
        <w:t>-</w:t>
      </w:r>
    </w:p>
    <w:p w14:paraId="7F73FA8B" w14:textId="68FD69DE" w:rsidR="00CE1B7A" w:rsidRDefault="007A4D06" w:rsidP="0006282A">
      <w:pPr>
        <w:ind w:left="0" w:right="14"/>
      </w:pPr>
      <w:r>
        <w:tab/>
      </w:r>
      <w:r w:rsidR="00A446B3">
        <w:tab/>
      </w:r>
      <w:r w:rsidR="00D96BA3">
        <w:t>As previously stated</w:t>
      </w:r>
      <w:r w:rsidR="008B1647">
        <w:t xml:space="preserve"> for the Mobius (2013) sediment example</w:t>
      </w:r>
      <w:r w:rsidR="00D96BA3">
        <w:t xml:space="preserve"> t</w:t>
      </w:r>
      <w:r>
        <w:t>here are two possible conclusions: 1) Fractionation factors are not constant but decrease with increasing depth.</w:t>
      </w:r>
      <w:r w:rsidRPr="00760889">
        <w:t xml:space="preserve"> </w:t>
      </w:r>
      <w:r>
        <w:t xml:space="preserve">It is possible that </w:t>
      </w:r>
      <w:r w:rsidR="00341BD1">
        <w:t xml:space="preserve">at the deeper </w:t>
      </w:r>
      <w:r>
        <w:t>depth</w:t>
      </w:r>
      <w:r w:rsidR="00341BD1">
        <w:t>s,</w:t>
      </w:r>
      <w:r>
        <w:t xml:space="preserve"> the carbon in soil layers is older and therefore more enriched in </w:t>
      </w:r>
      <w:r w:rsidRPr="00AD5BCA">
        <w:rPr>
          <w:vertAlign w:val="superscript"/>
        </w:rPr>
        <w:t>13</w:t>
      </w:r>
      <w:r>
        <w:t xml:space="preserve">C as depleted </w:t>
      </w:r>
      <w:r w:rsidRPr="00760889">
        <w:rPr>
          <w:vertAlign w:val="superscript"/>
        </w:rPr>
        <w:t>13</w:t>
      </w:r>
      <w:r>
        <w:t xml:space="preserve">C is </w:t>
      </w:r>
      <w:r w:rsidR="00CE1B7A">
        <w:t xml:space="preserve">increasingly </w:t>
      </w:r>
      <w:r>
        <w:t>preferentially removed.</w:t>
      </w:r>
      <w:r w:rsidR="00CE1B7A">
        <w:t xml:space="preserve"> </w:t>
      </w:r>
      <w:r w:rsidR="00D96BA3">
        <w:t>This is unlikely. A better alternate explanation</w:t>
      </w:r>
      <w:r w:rsidR="004331AE">
        <w:t xml:space="preserve"> </w:t>
      </w:r>
      <w:r>
        <w:t xml:space="preserve">(2) is that there is no fractionation, rather the patterns revealed are as expected for a system that has a relatively constant </w:t>
      </w:r>
      <w:r w:rsidRPr="00026CD8">
        <w:rPr>
          <w:vertAlign w:val="superscript"/>
        </w:rPr>
        <w:t>1</w:t>
      </w:r>
      <w:r>
        <w:rPr>
          <w:vertAlign w:val="superscript"/>
        </w:rPr>
        <w:t>3</w:t>
      </w:r>
      <w:r>
        <w:t>C:</w:t>
      </w:r>
      <w:r w:rsidRPr="00026CD8">
        <w:rPr>
          <w:vertAlign w:val="superscript"/>
        </w:rPr>
        <w:t>1</w:t>
      </w:r>
      <w:r>
        <w:rPr>
          <w:vertAlign w:val="superscript"/>
        </w:rPr>
        <w:t>2</w:t>
      </w:r>
      <w:r>
        <w:t xml:space="preserve">C loss ratio </w:t>
      </w:r>
      <w:r w:rsidR="00341BD1">
        <w:t>at deeper</w:t>
      </w:r>
      <w:r>
        <w:t xml:space="preserve"> depth</w:t>
      </w:r>
      <w:r w:rsidR="00341BD1">
        <w:t>s</w:t>
      </w:r>
      <w:r>
        <w:t xml:space="preserve"> even though the substrate varies in </w:t>
      </w:r>
      <w:r w:rsidRPr="00026CD8">
        <w:rPr>
          <w:vertAlign w:val="superscript"/>
        </w:rPr>
        <w:t>1</w:t>
      </w:r>
      <w:r>
        <w:rPr>
          <w:vertAlign w:val="superscript"/>
        </w:rPr>
        <w:t>3</w:t>
      </w:r>
      <w:r>
        <w:t>C:</w:t>
      </w:r>
      <w:r w:rsidRPr="00026CD8">
        <w:rPr>
          <w:vertAlign w:val="superscript"/>
        </w:rPr>
        <w:t>1</w:t>
      </w:r>
      <w:r>
        <w:rPr>
          <w:vertAlign w:val="superscript"/>
        </w:rPr>
        <w:t>2</w:t>
      </w:r>
      <w:r>
        <w:t xml:space="preserve">C ratio. </w:t>
      </w:r>
      <w:r w:rsidR="00341BD1">
        <w:t>T</w:t>
      </w:r>
      <w:r w:rsidR="008F4F0A">
        <w:t xml:space="preserve">he more enriched substrate in deeper, older and smaller </w:t>
      </w:r>
      <w:r w:rsidR="00677C63">
        <w:t>amount</w:t>
      </w:r>
      <w:r w:rsidR="000A2323">
        <w:t>s</w:t>
      </w:r>
      <w:r w:rsidR="00677C63">
        <w:t xml:space="preserve"> of </w:t>
      </w:r>
      <w:r w:rsidR="008F4F0A">
        <w:t xml:space="preserve">organic matter </w:t>
      </w:r>
      <w:r w:rsidR="00677C63">
        <w:t>that</w:t>
      </w:r>
      <w:r w:rsidR="008F4F0A">
        <w:t xml:space="preserve"> results from a constant </w:t>
      </w:r>
      <w:r w:rsidR="000A2323">
        <w:t xml:space="preserve">depleted </w:t>
      </w:r>
      <w:r w:rsidR="008F4F0A" w:rsidRPr="008F4F0A">
        <w:rPr>
          <w:vertAlign w:val="superscript"/>
        </w:rPr>
        <w:t>13</w:t>
      </w:r>
      <w:r w:rsidR="008F4F0A">
        <w:t>C:</w:t>
      </w:r>
      <w:r w:rsidR="008F4F0A" w:rsidRPr="008F4F0A">
        <w:rPr>
          <w:vertAlign w:val="superscript"/>
        </w:rPr>
        <w:t>12</w:t>
      </w:r>
      <w:r w:rsidR="008F4F0A">
        <w:t xml:space="preserve">C loss ratio </w:t>
      </w:r>
      <w:r w:rsidR="00677C63">
        <w:t xml:space="preserve">would </w:t>
      </w:r>
      <w:r w:rsidR="008F4F0A">
        <w:t xml:space="preserve">create a situation where the differences between </w:t>
      </w:r>
      <w:r w:rsidR="008F4F0A">
        <w:lastRenderedPageBreak/>
        <w:t xml:space="preserve">observed </w:t>
      </w:r>
      <w:r w:rsidR="008F4F0A" w:rsidRPr="00677C63">
        <w:rPr>
          <w:vertAlign w:val="superscript"/>
        </w:rPr>
        <w:t>13</w:t>
      </w:r>
      <w:r w:rsidR="008F4F0A">
        <w:t>C:</w:t>
      </w:r>
      <w:r w:rsidR="008F4F0A" w:rsidRPr="00677C63">
        <w:rPr>
          <w:vertAlign w:val="superscript"/>
        </w:rPr>
        <w:t>12</w:t>
      </w:r>
      <w:r w:rsidR="008F4F0A">
        <w:t xml:space="preserve">C ratios and a constant source </w:t>
      </w:r>
      <w:r w:rsidR="00677C63">
        <w:t xml:space="preserve">will </w:t>
      </w:r>
      <w:r w:rsidR="008F4F0A">
        <w:t xml:space="preserve">increase </w:t>
      </w:r>
      <w:r w:rsidR="008B1647">
        <w:t xml:space="preserve">over time </w:t>
      </w:r>
      <w:r w:rsidR="008F4F0A">
        <w:t>with</w:t>
      </w:r>
      <w:r w:rsidR="00D82CAA">
        <w:t xml:space="preserve"> decreasing</w:t>
      </w:r>
      <w:r w:rsidR="008F4F0A">
        <w:t xml:space="preserve"> C concentration</w:t>
      </w:r>
      <w:r w:rsidR="00194043">
        <w:t xml:space="preserve"> and increasing age that is associated with </w:t>
      </w:r>
      <w:r w:rsidR="000A2323">
        <w:t xml:space="preserve">increasing </w:t>
      </w:r>
      <w:r w:rsidR="00677C63">
        <w:t>soil depth</w:t>
      </w:r>
      <w:r w:rsidR="008F4F0A">
        <w:t>.</w:t>
      </w:r>
    </w:p>
    <w:p w14:paraId="069DE317" w14:textId="0DF83398" w:rsidR="005A7B14" w:rsidRDefault="00CE1B7A" w:rsidP="0006282A">
      <w:pPr>
        <w:ind w:left="0" w:right="14"/>
      </w:pPr>
      <w:r>
        <w:tab/>
      </w:r>
      <w:r>
        <w:tab/>
      </w:r>
      <w:r w:rsidR="007A4D06">
        <w:t xml:space="preserve">Alternate mechanisms may explain more enriched </w:t>
      </w:r>
      <w:r w:rsidR="007A4D06" w:rsidRPr="00537AD9">
        <w:rPr>
          <w:vertAlign w:val="superscript"/>
        </w:rPr>
        <w:t>13</w:t>
      </w:r>
      <w:r w:rsidR="007A4D06">
        <w:t>C:</w:t>
      </w:r>
      <w:r w:rsidR="007A4D06" w:rsidRPr="00537AD9">
        <w:rPr>
          <w:vertAlign w:val="superscript"/>
        </w:rPr>
        <w:t>12</w:t>
      </w:r>
      <w:r w:rsidR="007A4D06">
        <w:t xml:space="preserve">C and </w:t>
      </w:r>
      <w:r w:rsidR="007A4D06" w:rsidRPr="00C90053">
        <w:rPr>
          <w:vertAlign w:val="superscript"/>
        </w:rPr>
        <w:t>15</w:t>
      </w:r>
      <w:r w:rsidR="007A4D06">
        <w:t>N:</w:t>
      </w:r>
      <w:r w:rsidR="007A4D06" w:rsidRPr="00C90053">
        <w:rPr>
          <w:vertAlign w:val="superscript"/>
        </w:rPr>
        <w:t>14</w:t>
      </w:r>
      <w:r w:rsidR="007A4D06">
        <w:t xml:space="preserve">N for older organic matter, rather than standard </w:t>
      </w:r>
      <w:r>
        <w:t xml:space="preserve">constant </w:t>
      </w:r>
      <w:r w:rsidR="007A4D06">
        <w:t xml:space="preserve">fractionation explanations. </w:t>
      </w:r>
      <w:r w:rsidR="00882D60">
        <w:t>However</w:t>
      </w:r>
      <w:r w:rsidR="004F40AA">
        <w:t>,</w:t>
      </w:r>
      <w:r w:rsidR="00882D60">
        <w:t xml:space="preserve"> two</w:t>
      </w:r>
      <w:r w:rsidR="004F40AA">
        <w:t xml:space="preserve"> </w:t>
      </w:r>
      <w:r w:rsidR="00882D60">
        <w:t xml:space="preserve">examples do not justify a change in thinking. </w:t>
      </w:r>
      <w:r w:rsidR="007A4D06">
        <w:t xml:space="preserve">How important these alternate mechanisms are is beyond our scope. </w:t>
      </w:r>
      <w:r w:rsidR="00882D60">
        <w:t>T</w:t>
      </w:r>
      <w:r w:rsidR="007A4D06">
        <w:t>he above exercise does demonstrate how supplementing traditional fractionation studies with loss analyses provides more insight.</w:t>
      </w:r>
    </w:p>
    <w:p w14:paraId="260C2868" w14:textId="79E712E0" w:rsidR="00271714" w:rsidRPr="00BB17F9" w:rsidRDefault="00A84C57" w:rsidP="0006282A">
      <w:pPr>
        <w:pStyle w:val="Heading1"/>
        <w:tabs>
          <w:tab w:val="center" w:pos="1505"/>
        </w:tabs>
        <w:spacing w:line="264" w:lineRule="auto"/>
        <w:ind w:left="-14" w:firstLine="0"/>
        <w:jc w:val="both"/>
        <w:rPr>
          <w:rFonts w:ascii="Times New Roman" w:hAnsi="Times New Roman" w:cs="Times New Roman"/>
          <w:sz w:val="24"/>
          <w:szCs w:val="24"/>
        </w:rPr>
      </w:pPr>
      <w:r w:rsidRPr="00BB17F9">
        <w:rPr>
          <w:rFonts w:ascii="Times New Roman" w:hAnsi="Times New Roman" w:cs="Times New Roman"/>
          <w:sz w:val="24"/>
          <w:szCs w:val="24"/>
        </w:rPr>
        <w:t>5</w:t>
      </w:r>
      <w:r w:rsidR="00BB17F9">
        <w:rPr>
          <w:rFonts w:ascii="Times New Roman" w:hAnsi="Times New Roman" w:cs="Times New Roman"/>
          <w:sz w:val="24"/>
          <w:szCs w:val="24"/>
        </w:rPr>
        <w:t xml:space="preserve">      </w:t>
      </w:r>
      <w:r w:rsidR="00207CAB" w:rsidRPr="00BB17F9">
        <w:rPr>
          <w:rFonts w:ascii="Times New Roman" w:hAnsi="Times New Roman" w:cs="Times New Roman"/>
          <w:sz w:val="24"/>
          <w:szCs w:val="24"/>
        </w:rPr>
        <w:t>Discussion</w:t>
      </w:r>
    </w:p>
    <w:p w14:paraId="2F23584A" w14:textId="7978E3C4" w:rsidR="00206AC8" w:rsidRDefault="00CC49F0" w:rsidP="0006282A">
      <w:pPr>
        <w:pStyle w:val="Paragraph"/>
        <w:spacing w:before="0" w:after="3" w:line="473" w:lineRule="auto"/>
        <w:ind w:right="14"/>
        <w:jc w:val="both"/>
        <w:rPr>
          <w:lang w:val="en-US"/>
        </w:rPr>
      </w:pPr>
      <w:r w:rsidRPr="00DD2C1A">
        <w:rPr>
          <w:lang w:val="en-US"/>
        </w:rPr>
        <w:t>Isotopic preferences (fractionation or discrimination factors) are derived from isotopic ratios.</w:t>
      </w:r>
      <w:r>
        <w:rPr>
          <w:lang w:val="en-US"/>
        </w:rPr>
        <w:t xml:space="preserve"> </w:t>
      </w:r>
      <w:r w:rsidR="003D07A6">
        <w:rPr>
          <w:lang w:val="en-US"/>
        </w:rPr>
        <w:t>Thus,</w:t>
      </w:r>
      <w:r>
        <w:rPr>
          <w:lang w:val="en-US"/>
        </w:rPr>
        <w:t xml:space="preserve"> these calculated values are subject to the same limitations </w:t>
      </w:r>
      <w:r w:rsidR="00FB5A45">
        <w:rPr>
          <w:lang w:val="en-US"/>
        </w:rPr>
        <w:t>as</w:t>
      </w:r>
      <w:r>
        <w:rPr>
          <w:lang w:val="en-US"/>
        </w:rPr>
        <w:t xml:space="preserve"> ratio-based expressions. T</w:t>
      </w:r>
      <w:r w:rsidRPr="00DD2C1A">
        <w:rPr>
          <w:lang w:val="en-US"/>
        </w:rPr>
        <w:t xml:space="preserve">otal N differences confound the interpretation of </w:t>
      </w:r>
      <w:r w:rsidRPr="00950B64">
        <w:rPr>
          <w:vertAlign w:val="superscript"/>
          <w:lang w:val="en-US"/>
        </w:rPr>
        <w:t>15</w:t>
      </w:r>
      <w:r w:rsidRPr="00DD2C1A">
        <w:rPr>
          <w:lang w:val="en-US"/>
        </w:rPr>
        <w:t>N fractionation studies in sediments</w:t>
      </w:r>
      <w:r w:rsidR="008F78D5">
        <w:rPr>
          <w:lang w:val="en-US"/>
        </w:rPr>
        <w:t>.</w:t>
      </w:r>
      <w:r w:rsidRPr="00DD2C1A">
        <w:rPr>
          <w:lang w:val="en-US"/>
        </w:rPr>
        <w:t xml:space="preserve"> </w:t>
      </w:r>
      <w:r>
        <w:rPr>
          <w:lang w:val="en-US"/>
        </w:rPr>
        <w:t xml:space="preserve">Total C confounds </w:t>
      </w:r>
      <w:r w:rsidRPr="00AB705E">
        <w:rPr>
          <w:vertAlign w:val="superscript"/>
          <w:lang w:val="en-US"/>
        </w:rPr>
        <w:t>13</w:t>
      </w:r>
      <w:r>
        <w:rPr>
          <w:lang w:val="en-US"/>
        </w:rPr>
        <w:t>C:</w:t>
      </w:r>
      <w:r w:rsidRPr="00AB705E">
        <w:rPr>
          <w:vertAlign w:val="superscript"/>
          <w:lang w:val="en-US"/>
        </w:rPr>
        <w:t>12</w:t>
      </w:r>
      <w:r>
        <w:rPr>
          <w:lang w:val="en-US"/>
        </w:rPr>
        <w:t xml:space="preserve">C fractionation studies in soils. </w:t>
      </w:r>
      <w:r w:rsidRPr="00DD2C1A">
        <w:rPr>
          <w:lang w:val="en-US"/>
        </w:rPr>
        <w:t>Although fractionation phenomen</w:t>
      </w:r>
      <w:r>
        <w:rPr>
          <w:lang w:val="en-US"/>
        </w:rPr>
        <w:t>a</w:t>
      </w:r>
      <w:r w:rsidRPr="00DD2C1A">
        <w:rPr>
          <w:lang w:val="en-US"/>
        </w:rPr>
        <w:t xml:space="preserve"> may occur, total element</w:t>
      </w:r>
      <w:r>
        <w:rPr>
          <w:lang w:val="en-US"/>
        </w:rPr>
        <w:t>-</w:t>
      </w:r>
      <w:r w:rsidRPr="00DD2C1A">
        <w:rPr>
          <w:lang w:val="en-US"/>
        </w:rPr>
        <w:t xml:space="preserve">driven changes in isotopic ratios make traditional fractionation evaluations, such as those conducted </w:t>
      </w:r>
      <w:r>
        <w:rPr>
          <w:lang w:val="en-US"/>
        </w:rPr>
        <w:t xml:space="preserve">for N with </w:t>
      </w:r>
      <w:r w:rsidRPr="00DD2C1A">
        <w:rPr>
          <w:lang w:val="en-US"/>
        </w:rPr>
        <w:t>the A</w:t>
      </w:r>
      <w:r>
        <w:rPr>
          <w:lang w:val="en-US"/>
        </w:rPr>
        <w:t>e</w:t>
      </w:r>
      <w:r w:rsidRPr="00DD2C1A">
        <w:rPr>
          <w:lang w:val="en-US"/>
        </w:rPr>
        <w:t xml:space="preserve">gean Sea </w:t>
      </w:r>
      <w:r>
        <w:rPr>
          <w:lang w:val="en-US"/>
        </w:rPr>
        <w:t xml:space="preserve">and for C from soil profiles from the Tibetan plateau </w:t>
      </w:r>
      <w:r w:rsidRPr="00DD2C1A">
        <w:rPr>
          <w:lang w:val="en-US"/>
        </w:rPr>
        <w:t>data</w:t>
      </w:r>
      <w:r>
        <w:rPr>
          <w:lang w:val="en-US"/>
        </w:rPr>
        <w:t xml:space="preserve"> </w:t>
      </w:r>
      <w:r w:rsidRPr="00DD2C1A">
        <w:rPr>
          <w:lang w:val="en-US"/>
        </w:rPr>
        <w:t>suspect.</w:t>
      </w:r>
      <w:r w:rsidR="00206AC8">
        <w:t xml:space="preserve"> </w:t>
      </w:r>
      <w:r w:rsidR="00E16B11">
        <w:t xml:space="preserve">Apparent fractionation can have alternate explanations. There may not be a constant microbial preference for lighter common isotopes defined by a </w:t>
      </w:r>
      <w:r w:rsidR="00446E90">
        <w:t xml:space="preserve">constant </w:t>
      </w:r>
      <w:r w:rsidR="00E16B11">
        <w:t xml:space="preserve">fractionation factor. Rather, significant Rayleigh fractionation factors could be caused by relatively constant </w:t>
      </w:r>
      <w:r w:rsidR="00E16B11" w:rsidRPr="003671D9">
        <w:rPr>
          <w:vertAlign w:val="superscript"/>
        </w:rPr>
        <w:t>15</w:t>
      </w:r>
      <w:r w:rsidR="00E16B11">
        <w:t>N:</w:t>
      </w:r>
      <w:r w:rsidR="00E16B11" w:rsidRPr="003671D9">
        <w:rPr>
          <w:vertAlign w:val="superscript"/>
        </w:rPr>
        <w:t>14</w:t>
      </w:r>
      <w:r w:rsidR="00E16B11">
        <w:t xml:space="preserve">N or </w:t>
      </w:r>
      <w:r w:rsidR="00E16B11" w:rsidRPr="00026CD8">
        <w:rPr>
          <w:vertAlign w:val="superscript"/>
        </w:rPr>
        <w:t>1</w:t>
      </w:r>
      <w:r w:rsidR="00E16B11">
        <w:rPr>
          <w:vertAlign w:val="superscript"/>
        </w:rPr>
        <w:t>3</w:t>
      </w:r>
      <w:r w:rsidR="00E16B11">
        <w:t>C:</w:t>
      </w:r>
      <w:r w:rsidR="00E16B11" w:rsidRPr="00026CD8">
        <w:rPr>
          <w:vertAlign w:val="superscript"/>
        </w:rPr>
        <w:t>1</w:t>
      </w:r>
      <w:r w:rsidR="00E16B11">
        <w:rPr>
          <w:vertAlign w:val="superscript"/>
        </w:rPr>
        <w:t>2</w:t>
      </w:r>
      <w:r w:rsidR="00E16B11">
        <w:t>C loss ratios even though substrate isotopic ratios vary with depth.</w:t>
      </w:r>
      <w:r w:rsidR="00206AC8">
        <w:rPr>
          <w:lang w:val="en-US"/>
        </w:rPr>
        <w:t xml:space="preserve"> </w:t>
      </w:r>
    </w:p>
    <w:p w14:paraId="7EB29E47" w14:textId="009C8D6F" w:rsidR="00CC49F0" w:rsidRPr="00DD2C1A" w:rsidRDefault="00206AC8" w:rsidP="0006282A">
      <w:pPr>
        <w:pStyle w:val="Paragraph"/>
        <w:spacing w:before="0" w:after="3" w:line="473" w:lineRule="auto"/>
        <w:ind w:right="14"/>
        <w:jc w:val="both"/>
        <w:rPr>
          <w:lang w:val="en-US"/>
        </w:rPr>
      </w:pPr>
      <w:r>
        <w:rPr>
          <w:lang w:val="en-US"/>
        </w:rPr>
        <w:tab/>
      </w:r>
      <w:r w:rsidR="00DC1E30">
        <w:rPr>
          <w:lang w:val="en-US"/>
        </w:rPr>
        <w:t xml:space="preserve">Constant sources revealed by denominator vs. numerator </w:t>
      </w:r>
      <w:r w:rsidR="005E72DB">
        <w:rPr>
          <w:lang w:val="en-US"/>
        </w:rPr>
        <w:t xml:space="preserve">slopes for linear functions or mixing lines do not reveal whether total net N </w:t>
      </w:r>
      <w:r w:rsidR="00303B5A">
        <w:rPr>
          <w:lang w:val="en-US"/>
        </w:rPr>
        <w:t xml:space="preserve">or C </w:t>
      </w:r>
      <w:r w:rsidR="005E72DB">
        <w:rPr>
          <w:lang w:val="en-US"/>
        </w:rPr>
        <w:t xml:space="preserve">change in the system increases or decreases. A Rayleigh fractionation factor (a simple ln total N or C vs observed ratios) could be calculated for either a system with decreasing or increasing total N. A fractionation factor calculated from a system with increasing N makes no since because there is not a decomposing substrate. In the Mobius (2013) and Wang et al. (2015) studies the declining total </w:t>
      </w:r>
      <w:r w:rsidR="00981B17">
        <w:rPr>
          <w:lang w:val="en-US"/>
        </w:rPr>
        <w:t xml:space="preserve">element assumption is likely met. Mobius </w:t>
      </w:r>
      <w:r w:rsidR="00882D60">
        <w:rPr>
          <w:lang w:val="en-US"/>
        </w:rPr>
        <w:t xml:space="preserve">(2013) </w:t>
      </w:r>
      <w:r w:rsidR="00981B17">
        <w:rPr>
          <w:lang w:val="en-US"/>
        </w:rPr>
        <w:t xml:space="preserve">purposely selected a system where long-term N losses were suspected. </w:t>
      </w:r>
      <w:r w:rsidR="00981B17">
        <w:rPr>
          <w:lang w:val="en-US"/>
        </w:rPr>
        <w:lastRenderedPageBreak/>
        <w:t xml:space="preserve">Declining C </w:t>
      </w:r>
      <w:r w:rsidR="00303F4E">
        <w:rPr>
          <w:lang w:val="en-US"/>
        </w:rPr>
        <w:t>in</w:t>
      </w:r>
      <w:r w:rsidR="00981B17">
        <w:rPr>
          <w:lang w:val="en-US"/>
        </w:rPr>
        <w:t xml:space="preserve"> deeper layers i</w:t>
      </w:r>
      <w:r w:rsidR="00303F4E">
        <w:rPr>
          <w:lang w:val="en-US"/>
        </w:rPr>
        <w:t>n</w:t>
      </w:r>
      <w:r w:rsidR="00981B17">
        <w:rPr>
          <w:lang w:val="en-US"/>
        </w:rPr>
        <w:t xml:space="preserve"> a soil system is also likely </w:t>
      </w:r>
      <w:r w:rsidR="00303F4E">
        <w:rPr>
          <w:lang w:val="en-US"/>
        </w:rPr>
        <w:t xml:space="preserve">due to increased long-term losses </w:t>
      </w:r>
      <w:r w:rsidR="00981B17">
        <w:rPr>
          <w:lang w:val="en-US"/>
        </w:rPr>
        <w:t>(Liu et al. 2020).</w:t>
      </w:r>
      <w:r w:rsidR="00CC49F0" w:rsidRPr="00DD2C1A">
        <w:rPr>
          <w:lang w:val="en-US"/>
        </w:rPr>
        <w:t xml:space="preserve"> </w:t>
      </w:r>
    </w:p>
    <w:p w14:paraId="0DADA6D3" w14:textId="61AC10BC" w:rsidR="005A7B14" w:rsidRPr="00CC49F0" w:rsidRDefault="00CC49F0" w:rsidP="0006282A">
      <w:pPr>
        <w:pStyle w:val="Newparagraph"/>
        <w:spacing w:after="3" w:line="473" w:lineRule="auto"/>
        <w:ind w:right="14"/>
        <w:jc w:val="both"/>
        <w:rPr>
          <w:lang w:val="en-US"/>
        </w:rPr>
      </w:pPr>
      <w:r>
        <w:rPr>
          <w:lang w:val="en-US"/>
        </w:rPr>
        <w:t xml:space="preserve">Including </w:t>
      </w:r>
      <w:r w:rsidRPr="00DD2C1A">
        <w:rPr>
          <w:lang w:val="en-US"/>
        </w:rPr>
        <w:t xml:space="preserve">source </w:t>
      </w:r>
      <w:r>
        <w:rPr>
          <w:lang w:val="en-US"/>
        </w:rPr>
        <w:t xml:space="preserve">analyses </w:t>
      </w:r>
      <w:r w:rsidRPr="00DD2C1A">
        <w:rPr>
          <w:lang w:val="en-US"/>
        </w:rPr>
        <w:t>provide</w:t>
      </w:r>
      <w:r>
        <w:rPr>
          <w:lang w:val="en-US"/>
        </w:rPr>
        <w:t>s</w:t>
      </w:r>
      <w:r w:rsidRPr="00DD2C1A">
        <w:rPr>
          <w:lang w:val="en-US"/>
        </w:rPr>
        <w:t xml:space="preserve"> </w:t>
      </w:r>
      <w:r w:rsidR="00A42309">
        <w:rPr>
          <w:lang w:val="en-US"/>
        </w:rPr>
        <w:t>more</w:t>
      </w:r>
      <w:r w:rsidRPr="00DD2C1A">
        <w:rPr>
          <w:lang w:val="en-US"/>
        </w:rPr>
        <w:t xml:space="preserve"> information tha</w:t>
      </w:r>
      <w:r>
        <w:rPr>
          <w:lang w:val="en-US"/>
        </w:rPr>
        <w:t>n</w:t>
      </w:r>
      <w:r w:rsidRPr="00DD2C1A">
        <w:rPr>
          <w:lang w:val="en-US"/>
        </w:rPr>
        <w:t xml:space="preserve"> traditional ratio-based isotopic </w:t>
      </w:r>
      <w:r w:rsidR="00A42309">
        <w:rPr>
          <w:lang w:val="en-US"/>
        </w:rPr>
        <w:t xml:space="preserve">fractionation </w:t>
      </w:r>
      <w:r w:rsidRPr="00DD2C1A">
        <w:rPr>
          <w:lang w:val="en-US"/>
        </w:rPr>
        <w:t>assessments</w:t>
      </w:r>
      <w:r w:rsidR="00A42309">
        <w:rPr>
          <w:lang w:val="en-US"/>
        </w:rPr>
        <w:t xml:space="preserve"> alone</w:t>
      </w:r>
      <w:r w:rsidRPr="00DD2C1A">
        <w:rPr>
          <w:lang w:val="en-US"/>
        </w:rPr>
        <w:t>. There is certainly no harm in conducting both ratio-based inferences and source evaluations.</w:t>
      </w:r>
      <w:r>
        <w:rPr>
          <w:lang w:val="en-US"/>
        </w:rPr>
        <w:t xml:space="preserve"> </w:t>
      </w:r>
      <w:r w:rsidRPr="00DD2C1A">
        <w:rPr>
          <w:lang w:val="en-US"/>
        </w:rPr>
        <w:t xml:space="preserve">The consequences of relying solely on ratio-based expressions have wide application. Mathematical principles suggest there is no reason to expect that isotopic ratios would somehow be immune to ratio issues that have been discussed in the literature for over 100 years. </w:t>
      </w:r>
      <w:r>
        <w:rPr>
          <w:lang w:val="en-US"/>
        </w:rPr>
        <w:t xml:space="preserve">Fractionation factors calculated from </w:t>
      </w:r>
      <w:r w:rsidR="00A42309">
        <w:rPr>
          <w:lang w:val="en-US"/>
        </w:rPr>
        <w:t xml:space="preserve">confounded </w:t>
      </w:r>
      <w:r>
        <w:rPr>
          <w:lang w:val="en-US"/>
        </w:rPr>
        <w:t xml:space="preserve">observed isotopic ratios are </w:t>
      </w:r>
      <w:r w:rsidR="00560BB9">
        <w:rPr>
          <w:lang w:val="en-US"/>
        </w:rPr>
        <w:t>subject to error</w:t>
      </w:r>
      <w:r>
        <w:rPr>
          <w:lang w:val="en-US"/>
        </w:rPr>
        <w:t xml:space="preserve">. </w:t>
      </w:r>
      <w:r w:rsidRPr="00DD2C1A">
        <w:rPr>
          <w:lang w:val="en-US"/>
        </w:rPr>
        <w:t>Real isotopic datasets confirm what one would expect.</w:t>
      </w:r>
    </w:p>
    <w:p w14:paraId="2B1E5EB2" w14:textId="40B683AE" w:rsidR="00207CAB" w:rsidRPr="00BB17F9" w:rsidRDefault="00A84C57" w:rsidP="0006282A">
      <w:pPr>
        <w:pStyle w:val="Heading1"/>
        <w:tabs>
          <w:tab w:val="center" w:pos="1627"/>
        </w:tabs>
        <w:ind w:left="-15" w:firstLine="0"/>
        <w:jc w:val="both"/>
        <w:rPr>
          <w:rFonts w:ascii="Times New Roman" w:hAnsi="Times New Roman" w:cs="Times New Roman"/>
          <w:sz w:val="24"/>
          <w:szCs w:val="24"/>
        </w:rPr>
      </w:pPr>
      <w:r w:rsidRPr="00BB17F9">
        <w:rPr>
          <w:rFonts w:ascii="Times New Roman" w:hAnsi="Times New Roman" w:cs="Times New Roman"/>
          <w:sz w:val="24"/>
          <w:szCs w:val="24"/>
        </w:rPr>
        <w:t>6</w:t>
      </w:r>
      <w:r w:rsidR="00207CAB" w:rsidRPr="00BB17F9">
        <w:rPr>
          <w:rFonts w:ascii="Times New Roman" w:hAnsi="Times New Roman" w:cs="Times New Roman"/>
          <w:sz w:val="24"/>
          <w:szCs w:val="24"/>
        </w:rPr>
        <w:t xml:space="preserve">      Conclusion</w:t>
      </w:r>
    </w:p>
    <w:p w14:paraId="6AAA59DF" w14:textId="58CB3953" w:rsidR="00CC49F0" w:rsidRPr="00DD2C1A" w:rsidRDefault="00CC49F0" w:rsidP="0006282A">
      <w:pPr>
        <w:pStyle w:val="Paragraph"/>
        <w:spacing w:before="0"/>
        <w:jc w:val="both"/>
        <w:rPr>
          <w:lang w:val="en-US"/>
        </w:rPr>
      </w:pPr>
      <w:r w:rsidRPr="00DD2C1A">
        <w:rPr>
          <w:lang w:val="en-US"/>
        </w:rPr>
        <w:t>We have supplemented our discussion of mathematical theory</w:t>
      </w:r>
      <w:r w:rsidR="00C433F0">
        <w:rPr>
          <w:lang w:val="en-US"/>
        </w:rPr>
        <w:t>,</w:t>
      </w:r>
      <w:r w:rsidRPr="00DD2C1A">
        <w:rPr>
          <w:lang w:val="en-US"/>
        </w:rPr>
        <w:t xml:space="preserve"> theoretical examples and simulations (</w:t>
      </w:r>
      <w:r w:rsidR="00BF0C07">
        <w:rPr>
          <w:lang w:val="en-US"/>
        </w:rPr>
        <w:t>M</w:t>
      </w:r>
      <w:r w:rsidR="005A41E3">
        <w:rPr>
          <w:lang w:val="en-US"/>
        </w:rPr>
        <w:t>oots</w:t>
      </w:r>
      <w:r w:rsidR="00BF0C07">
        <w:rPr>
          <w:lang w:val="en-US"/>
        </w:rPr>
        <w:t xml:space="preserve"> et al. </w:t>
      </w:r>
      <w:r w:rsidRPr="00DD2C1A">
        <w:rPr>
          <w:lang w:val="en-US"/>
        </w:rPr>
        <w:t>202</w:t>
      </w:r>
      <w:r w:rsidR="005A41E3">
        <w:rPr>
          <w:lang w:val="en-US"/>
        </w:rPr>
        <w:t>4</w:t>
      </w:r>
      <w:r w:rsidR="00F14030">
        <w:rPr>
          <w:lang w:val="en-US"/>
        </w:rPr>
        <w:t>a</w:t>
      </w:r>
      <w:r w:rsidRPr="00DD2C1A">
        <w:rPr>
          <w:lang w:val="en-US"/>
        </w:rPr>
        <w:t xml:space="preserve">), with </w:t>
      </w:r>
      <w:r w:rsidR="002815D1">
        <w:rPr>
          <w:lang w:val="en-US"/>
        </w:rPr>
        <w:t xml:space="preserve">re-analyses of </w:t>
      </w:r>
      <w:r w:rsidR="00DD02C3">
        <w:rPr>
          <w:lang w:val="en-US"/>
        </w:rPr>
        <w:t>N and C</w:t>
      </w:r>
      <w:r w:rsidRPr="00DD2C1A">
        <w:rPr>
          <w:lang w:val="en-US"/>
        </w:rPr>
        <w:t xml:space="preserve"> isotope datasets</w:t>
      </w:r>
      <w:r w:rsidR="002815D1">
        <w:rPr>
          <w:lang w:val="en-US"/>
        </w:rPr>
        <w:t xml:space="preserve"> dealing with fractionation evaluations</w:t>
      </w:r>
      <w:r w:rsidR="00DD02C3">
        <w:rPr>
          <w:lang w:val="en-US"/>
        </w:rPr>
        <w:t>.</w:t>
      </w:r>
      <w:r>
        <w:rPr>
          <w:lang w:val="en-US"/>
        </w:rPr>
        <w:t xml:space="preserve"> </w:t>
      </w:r>
      <w:r w:rsidR="002815D1">
        <w:rPr>
          <w:lang w:val="en-US"/>
        </w:rPr>
        <w:t>Ratio-based</w:t>
      </w:r>
      <w:r>
        <w:rPr>
          <w:lang w:val="en-US"/>
        </w:rPr>
        <w:t xml:space="preserve"> isotopic </w:t>
      </w:r>
      <w:r w:rsidR="00CF1A70">
        <w:rPr>
          <w:lang w:val="en-US"/>
        </w:rPr>
        <w:t>expression</w:t>
      </w:r>
      <w:r>
        <w:rPr>
          <w:lang w:val="en-US"/>
        </w:rPr>
        <w:t xml:space="preserve">s will likely cause interpretation difficulties </w:t>
      </w:r>
      <w:r w:rsidR="002815D1">
        <w:rPr>
          <w:lang w:val="en-US"/>
        </w:rPr>
        <w:t xml:space="preserve">in </w:t>
      </w:r>
      <w:r>
        <w:rPr>
          <w:lang w:val="en-US"/>
        </w:rPr>
        <w:t xml:space="preserve">fractionation </w:t>
      </w:r>
      <w:r w:rsidR="002815D1">
        <w:rPr>
          <w:lang w:val="en-US"/>
        </w:rPr>
        <w:t>studies since fractionation factors are</w:t>
      </w:r>
      <w:r>
        <w:rPr>
          <w:lang w:val="en-US"/>
        </w:rPr>
        <w:t xml:space="preserve"> directly calculated from </w:t>
      </w:r>
      <w:r w:rsidR="002815D1">
        <w:rPr>
          <w:lang w:val="en-US"/>
        </w:rPr>
        <w:t>confounded</w:t>
      </w:r>
      <w:r>
        <w:rPr>
          <w:lang w:val="en-US"/>
        </w:rPr>
        <w:t xml:space="preserve"> ratios. </w:t>
      </w:r>
      <w:r w:rsidR="00DD02C3">
        <w:rPr>
          <w:lang w:val="en-US"/>
        </w:rPr>
        <w:t>For both C and N re-evaluations</w:t>
      </w:r>
      <w:r w:rsidRPr="00DD2C1A">
        <w:rPr>
          <w:lang w:val="en-US"/>
        </w:rPr>
        <w:t xml:space="preserve"> theoretical predictions and expectations </w:t>
      </w:r>
      <w:r>
        <w:rPr>
          <w:lang w:val="en-US"/>
        </w:rPr>
        <w:t>are</w:t>
      </w:r>
      <w:r w:rsidRPr="00DD2C1A">
        <w:rPr>
          <w:lang w:val="en-US"/>
        </w:rPr>
        <w:t xml:space="preserve"> demonstrated</w:t>
      </w:r>
      <w:r w:rsidR="00DD02C3">
        <w:rPr>
          <w:lang w:val="en-US"/>
        </w:rPr>
        <w:t>.</w:t>
      </w:r>
    </w:p>
    <w:p w14:paraId="2E3EFB5C" w14:textId="77777777" w:rsidR="00EC1CCD" w:rsidRDefault="00EC1CCD" w:rsidP="0006282A">
      <w:pPr>
        <w:pStyle w:val="Newparagraph"/>
        <w:jc w:val="both"/>
        <w:rPr>
          <w:lang w:val="en-US" w:eastAsia="ja-JP"/>
        </w:rPr>
      </w:pPr>
      <w:r>
        <w:rPr>
          <w:lang w:val="en-US" w:eastAsia="ja-JP"/>
        </w:rPr>
        <w:t xml:space="preserve">Rayleigh factors are influenced by total isotope concentrations and the type of relationship between isotopic ratio denominator and numerator. Perfectly linear denominator vs. numerator functions with non-zero </w:t>
      </w:r>
      <w:r w:rsidRPr="00F42963">
        <w:rPr>
          <w:i/>
          <w:iCs/>
          <w:lang w:val="en-US" w:eastAsia="ja-JP"/>
        </w:rPr>
        <w:t>y</w:t>
      </w:r>
      <w:r>
        <w:rPr>
          <w:lang w:val="en-US" w:eastAsia="ja-JP"/>
        </w:rPr>
        <w:t xml:space="preserve">-intercepts (constant sources) can produce discrimination factors when no fractionation exists. Convex polynomial functions with negative </w:t>
      </w:r>
      <w:r w:rsidRPr="00E00DD8">
        <w:rPr>
          <w:i/>
          <w:iCs/>
          <w:lang w:val="en-US" w:eastAsia="ja-JP"/>
        </w:rPr>
        <w:t>y</w:t>
      </w:r>
      <w:r>
        <w:rPr>
          <w:lang w:val="en-US" w:eastAsia="ja-JP"/>
        </w:rPr>
        <w:t xml:space="preserve">-intercepts and concave polynomial functions with positive </w:t>
      </w:r>
      <w:r w:rsidRPr="00E00DD8">
        <w:rPr>
          <w:i/>
          <w:iCs/>
          <w:lang w:val="en-US" w:eastAsia="ja-JP"/>
        </w:rPr>
        <w:t>y</w:t>
      </w:r>
      <w:r>
        <w:rPr>
          <w:lang w:val="en-US" w:eastAsia="ja-JP"/>
        </w:rPr>
        <w:t xml:space="preserve">-intercepts can produce statistically significant Rayleigh fractionation slopes. Convex polynomial functions with positive </w:t>
      </w:r>
      <w:r w:rsidRPr="00E00DD8">
        <w:rPr>
          <w:i/>
          <w:iCs/>
          <w:lang w:val="en-US" w:eastAsia="ja-JP"/>
        </w:rPr>
        <w:t>y</w:t>
      </w:r>
      <w:r>
        <w:rPr>
          <w:lang w:val="en-US" w:eastAsia="ja-JP"/>
        </w:rPr>
        <w:t xml:space="preserve">-intercepts, and concave polynomial functions with negative </w:t>
      </w:r>
      <w:r w:rsidRPr="00E00DD8">
        <w:rPr>
          <w:i/>
          <w:iCs/>
          <w:lang w:val="en-US" w:eastAsia="ja-JP"/>
        </w:rPr>
        <w:t>y</w:t>
      </w:r>
      <w:r>
        <w:rPr>
          <w:lang w:val="en-US" w:eastAsia="ja-JP"/>
        </w:rPr>
        <w:t xml:space="preserve">-intercepts often do not. The fact that backgrounds determine whether Rayleigh fractionation occurs for curvilinear functions rather than effects of changing sources is troubling. </w:t>
      </w:r>
    </w:p>
    <w:p w14:paraId="49966C29" w14:textId="3C875119" w:rsidR="00CC49F0" w:rsidRDefault="00CC49F0" w:rsidP="0006282A">
      <w:pPr>
        <w:pStyle w:val="Newparagraph"/>
        <w:jc w:val="both"/>
        <w:rPr>
          <w:lang w:val="en-US"/>
        </w:rPr>
      </w:pPr>
      <w:r w:rsidRPr="00DD2C1A">
        <w:rPr>
          <w:lang w:val="en-US"/>
        </w:rPr>
        <w:lastRenderedPageBreak/>
        <w:t xml:space="preserve">Traditional Keeling plots, other forms of mixing diagrams, or an analysis of the relationship between ratio denominator and numerator concentrations or content should be evaluated for isotopic datasets. Source evaluations (relatively rare in the isotopic literature, even when total element concentrations are </w:t>
      </w:r>
      <w:r>
        <w:rPr>
          <w:lang w:val="en-US"/>
        </w:rPr>
        <w:t>measured</w:t>
      </w:r>
      <w:r w:rsidRPr="00DD2C1A">
        <w:rPr>
          <w:lang w:val="en-US"/>
        </w:rPr>
        <w:t xml:space="preserve">) allow researchers to better understand and interpret isotopic studies and should always accompany isotopic ratio data. </w:t>
      </w:r>
    </w:p>
    <w:p w14:paraId="2AC03E1B" w14:textId="69E815AB" w:rsidR="00CC49F0" w:rsidRDefault="00CC49F0" w:rsidP="0006282A">
      <w:pPr>
        <w:pStyle w:val="Newparagraph"/>
        <w:jc w:val="both"/>
      </w:pPr>
      <w:r w:rsidRPr="00BD7897">
        <w:t xml:space="preserve">One will never know whether a dataset has errors related to ratio-based expressions unless it is evaluated. </w:t>
      </w:r>
      <w:r>
        <w:t>Unfortunately, we estimate that over half of C and N isotopic publications</w:t>
      </w:r>
      <w:r w:rsidR="00DD02C3">
        <w:t>, including those that deal with fractionation evaluations,</w:t>
      </w:r>
      <w:r>
        <w:t xml:space="preserve"> do not include measurements of total C and N</w:t>
      </w:r>
      <w:r w:rsidR="00DD02C3">
        <w:t xml:space="preserve"> which are required to fully evaluate isotopic data.</w:t>
      </w:r>
      <w:r w:rsidR="002815D1">
        <w:t xml:space="preserve"> Fractionation studies need to be more carefully </w:t>
      </w:r>
      <w:r w:rsidR="003D07A6">
        <w:t>evaluated.</w:t>
      </w:r>
      <w:r>
        <w:t xml:space="preserve"> </w:t>
      </w:r>
    </w:p>
    <w:p w14:paraId="2C1B6A27" w14:textId="77777777" w:rsidR="00CC49F0" w:rsidRPr="00CC49F0" w:rsidRDefault="00CC49F0" w:rsidP="0006282A">
      <w:pPr>
        <w:pStyle w:val="Heading1"/>
        <w:spacing w:after="0" w:line="480" w:lineRule="auto"/>
        <w:jc w:val="both"/>
        <w:rPr>
          <w:rFonts w:ascii="Times New Roman" w:hAnsi="Times New Roman" w:cs="Times New Roman"/>
          <w:sz w:val="24"/>
          <w:szCs w:val="24"/>
        </w:rPr>
      </w:pPr>
      <w:r w:rsidRPr="00CC49F0">
        <w:rPr>
          <w:rFonts w:ascii="Times New Roman" w:hAnsi="Times New Roman" w:cs="Times New Roman"/>
          <w:sz w:val="24"/>
          <w:szCs w:val="24"/>
        </w:rPr>
        <w:t>FUNDING DETAILS</w:t>
      </w:r>
    </w:p>
    <w:p w14:paraId="32C41390" w14:textId="77777777" w:rsidR="00CC49F0" w:rsidRPr="00CC49F0" w:rsidRDefault="00CC49F0" w:rsidP="0006282A">
      <w:pPr>
        <w:pStyle w:val="Newparagraph"/>
        <w:spacing w:after="3" w:line="473" w:lineRule="auto"/>
        <w:ind w:right="14" w:firstLine="0"/>
        <w:jc w:val="both"/>
      </w:pPr>
      <w:r w:rsidRPr="00CC49F0">
        <w:rPr>
          <w:lang w:val="en-US"/>
        </w:rPr>
        <w:t>No external grant funds directly supported this effort. Rather, years of tangential thinking</w:t>
      </w:r>
    </w:p>
    <w:p w14:paraId="272F5A66" w14:textId="77777777" w:rsidR="00CC49F0" w:rsidRPr="00CC49F0" w:rsidRDefault="00CC49F0" w:rsidP="0006282A">
      <w:pPr>
        <w:pStyle w:val="Heading1"/>
        <w:spacing w:after="3" w:line="473" w:lineRule="auto"/>
        <w:ind w:left="0" w:right="14"/>
        <w:jc w:val="both"/>
        <w:rPr>
          <w:rFonts w:ascii="Times New Roman" w:hAnsi="Times New Roman" w:cs="Times New Roman"/>
          <w:b w:val="0"/>
          <w:bCs/>
          <w:sz w:val="24"/>
          <w:szCs w:val="24"/>
        </w:rPr>
      </w:pPr>
      <w:r w:rsidRPr="00CC49F0">
        <w:rPr>
          <w:rFonts w:ascii="Times New Roman" w:hAnsi="Times New Roman" w:cs="Times New Roman"/>
          <w:b w:val="0"/>
          <w:sz w:val="24"/>
          <w:szCs w:val="24"/>
        </w:rPr>
        <w:t>associated with many projects lead to this</w:t>
      </w:r>
      <w:r w:rsidRPr="00CC49F0">
        <w:rPr>
          <w:rFonts w:ascii="Times New Roman" w:hAnsi="Times New Roman" w:cs="Times New Roman"/>
          <w:sz w:val="24"/>
          <w:szCs w:val="24"/>
        </w:rPr>
        <w:t xml:space="preserve"> </w:t>
      </w:r>
      <w:r w:rsidRPr="00CC49F0">
        <w:rPr>
          <w:rFonts w:ascii="Times New Roman" w:hAnsi="Times New Roman" w:cs="Times New Roman"/>
          <w:b w:val="0"/>
          <w:sz w:val="24"/>
          <w:szCs w:val="24"/>
        </w:rPr>
        <w:t>research.</w:t>
      </w:r>
    </w:p>
    <w:p w14:paraId="5EABC1C9" w14:textId="77777777" w:rsidR="00CC49F0" w:rsidRPr="000902E5" w:rsidRDefault="00CC49F0" w:rsidP="0006282A">
      <w:pPr>
        <w:pStyle w:val="Heading1"/>
        <w:spacing w:after="3" w:line="473" w:lineRule="auto"/>
        <w:ind w:left="0" w:right="14"/>
        <w:jc w:val="both"/>
        <w:rPr>
          <w:rFonts w:ascii="Times New Roman" w:hAnsi="Times New Roman" w:cs="Times New Roman"/>
          <w:sz w:val="24"/>
          <w:szCs w:val="24"/>
        </w:rPr>
      </w:pPr>
      <w:r w:rsidRPr="000902E5">
        <w:rPr>
          <w:rFonts w:ascii="Times New Roman" w:hAnsi="Times New Roman" w:cs="Times New Roman"/>
          <w:sz w:val="24"/>
          <w:szCs w:val="24"/>
        </w:rPr>
        <w:t>DISCLOSURE STATEMENT</w:t>
      </w:r>
    </w:p>
    <w:p w14:paraId="7E3627D6" w14:textId="77777777" w:rsidR="00CC49F0" w:rsidRDefault="00CC49F0" w:rsidP="0006282A">
      <w:pPr>
        <w:pStyle w:val="Paragraph"/>
        <w:spacing w:before="0" w:after="3" w:line="473" w:lineRule="auto"/>
        <w:ind w:right="14"/>
        <w:jc w:val="both"/>
        <w:rPr>
          <w:lang w:val="en-US"/>
        </w:rPr>
      </w:pPr>
      <w:r>
        <w:rPr>
          <w:lang w:val="en-US"/>
        </w:rPr>
        <w:t>None of the co-authors have associations or affiliations that would lead to financial benefit from the publication of this document.</w:t>
      </w:r>
    </w:p>
    <w:p w14:paraId="3B76E424" w14:textId="77777777" w:rsidR="00271714" w:rsidRPr="00BB17F9" w:rsidRDefault="00A81F6B" w:rsidP="0006282A">
      <w:pPr>
        <w:pStyle w:val="Heading1"/>
        <w:ind w:left="-5"/>
        <w:jc w:val="both"/>
        <w:rPr>
          <w:rFonts w:ascii="Times New Roman" w:hAnsi="Times New Roman" w:cs="Times New Roman"/>
          <w:sz w:val="24"/>
          <w:szCs w:val="24"/>
        </w:rPr>
      </w:pPr>
      <w:r w:rsidRPr="00BB17F9">
        <w:rPr>
          <w:rFonts w:ascii="Times New Roman" w:hAnsi="Times New Roman" w:cs="Times New Roman"/>
          <w:sz w:val="24"/>
          <w:szCs w:val="24"/>
        </w:rPr>
        <w:t>References</w:t>
      </w:r>
    </w:p>
    <w:p w14:paraId="2CDF42E5" w14:textId="72F2633A" w:rsidR="00722B8B" w:rsidRDefault="00722B8B" w:rsidP="0006282A">
      <w:pPr>
        <w:pStyle w:val="References"/>
        <w:spacing w:before="0" w:line="480" w:lineRule="auto"/>
        <w:jc w:val="both"/>
      </w:pPr>
      <w:r>
        <w:t>Balesdent J, Mariotti A (1996) Measurement of soil organic matter turnover using 13C natural abundance. In: Boutton ETW, Yamasaki S (eds) Mass spectrometry of soils. Marcel Dekker, New York, pp 83–112</w:t>
      </w:r>
    </w:p>
    <w:p w14:paraId="0C161167" w14:textId="77777777" w:rsidR="00722B8B" w:rsidRDefault="00722B8B" w:rsidP="0006282A">
      <w:pPr>
        <w:pStyle w:val="References"/>
        <w:spacing w:before="0" w:line="480" w:lineRule="auto"/>
        <w:jc w:val="both"/>
        <w:rPr>
          <w:lang w:val="en-US"/>
        </w:rPr>
      </w:pPr>
      <w:r w:rsidRPr="00DD2C1A">
        <w:rPr>
          <w:lang w:val="en-US"/>
        </w:rPr>
        <w:t xml:space="preserve">Banner, J. L., Musgrove, M., Edwards, R. L., Asmerom, Y., Hoff, J. A. (1996), “High- Resolution Temporal Record of Holocene Ground-Water Chemistry: Tracing Links between Climate and Hydrology,” </w:t>
      </w:r>
      <w:r w:rsidRPr="00DD2C1A">
        <w:rPr>
          <w:i/>
          <w:iCs/>
          <w:lang w:val="en-US"/>
        </w:rPr>
        <w:t>Geology</w:t>
      </w:r>
      <w:r w:rsidRPr="00DD2C1A">
        <w:rPr>
          <w:lang w:val="en-US"/>
        </w:rPr>
        <w:t>, 24, 1049-1052, DOI: 10.1130/0091-7613(1996)024&lt;1049:HRTROH&gt;2.3.CO;2.</w:t>
      </w:r>
    </w:p>
    <w:p w14:paraId="45A65776" w14:textId="13AB2FB3" w:rsidR="00722B8B" w:rsidRPr="00DD2C1A" w:rsidRDefault="00722B8B" w:rsidP="0006282A">
      <w:pPr>
        <w:pStyle w:val="References"/>
        <w:spacing w:before="0" w:line="480" w:lineRule="auto"/>
        <w:jc w:val="both"/>
        <w:rPr>
          <w:lang w:val="en-US"/>
        </w:rPr>
      </w:pPr>
      <w:r>
        <w:lastRenderedPageBreak/>
        <w:t xml:space="preserve">Blair N, Leu A, Munoz E, Olsen J, Kwong E, Desmarais D (1985), Carbon isotopic fractionation in heterotrophic </w:t>
      </w:r>
      <w:r w:rsidR="004F40AA">
        <w:t>microbial metabolism</w:t>
      </w:r>
      <w:r>
        <w:t>. Appl Environ Microbiol 50:996–1001</w:t>
      </w:r>
    </w:p>
    <w:p w14:paraId="197628CE" w14:textId="77777777" w:rsidR="00722B8B" w:rsidRPr="00DD2C1A" w:rsidRDefault="00722B8B" w:rsidP="0006282A">
      <w:pPr>
        <w:pStyle w:val="References"/>
        <w:spacing w:before="0" w:line="480" w:lineRule="auto"/>
        <w:jc w:val="both"/>
        <w:rPr>
          <w:lang w:val="en-US"/>
        </w:rPr>
      </w:pPr>
      <w:r w:rsidRPr="00DD2C1A">
        <w:rPr>
          <w:lang w:val="en-US"/>
        </w:rPr>
        <w:t>Caut, S., Angulo, E., and Courchamp, F. (2009), “Variation in Discrimination Factors (Δ</w:t>
      </w:r>
      <w:r w:rsidRPr="00DD2C1A">
        <w:rPr>
          <w:vertAlign w:val="superscript"/>
          <w:lang w:val="en-US"/>
        </w:rPr>
        <w:t>15</w:t>
      </w:r>
      <w:r w:rsidRPr="00DD2C1A">
        <w:rPr>
          <w:lang w:val="en-US"/>
        </w:rPr>
        <w:t>N and Δ</w:t>
      </w:r>
      <w:r w:rsidRPr="00DD2C1A">
        <w:rPr>
          <w:vertAlign w:val="superscript"/>
          <w:lang w:val="en-US"/>
        </w:rPr>
        <w:t>13</w:t>
      </w:r>
      <w:r w:rsidRPr="00DD2C1A">
        <w:rPr>
          <w:lang w:val="en-US"/>
        </w:rPr>
        <w:t xml:space="preserve">C): The Effect of Diet Isotopic Values and Applications for Diet Reconstruction,” </w:t>
      </w:r>
      <w:r w:rsidRPr="00DD2C1A">
        <w:rPr>
          <w:i/>
          <w:iCs/>
          <w:lang w:val="en-US"/>
        </w:rPr>
        <w:t>Journal of Applied Ecology</w:t>
      </w:r>
      <w:r w:rsidRPr="00DD2C1A">
        <w:rPr>
          <w:lang w:val="en-US"/>
        </w:rPr>
        <w:t>, 46, 443-453, DOI: 10.1111/j.1365-2664.2009.01620.x.</w:t>
      </w:r>
    </w:p>
    <w:p w14:paraId="65081FA1" w14:textId="19766214" w:rsidR="00722B8B" w:rsidRDefault="00722B8B" w:rsidP="00C16BAD">
      <w:pPr>
        <w:spacing w:after="0"/>
        <w:ind w:left="720" w:hanging="720"/>
      </w:pPr>
      <w:r w:rsidRPr="00C23FDE">
        <w:t xml:space="preserve">Heckman, K.A., Nave, L.E., Bowman, M., Gallo, A., Hatten, J.A., Matosziuk, L.M., Possinger, A.R., SanClements, M., Strahm, B.D., Weiglein, T.L. and Rasmussen, C., </w:t>
      </w:r>
      <w:r w:rsidR="00C16BAD">
        <w:t>(</w:t>
      </w:r>
      <w:r w:rsidRPr="00C23FDE">
        <w:t>2021</w:t>
      </w:r>
      <w:r w:rsidR="00C16BAD">
        <w:t>)</w:t>
      </w:r>
      <w:r w:rsidRPr="00C23FDE">
        <w:t>. Divergent controls on carbon concentration and persistence between forests</w:t>
      </w:r>
      <w:r w:rsidR="00C16BAD">
        <w:t xml:space="preserve"> </w:t>
      </w:r>
      <w:r w:rsidRPr="00C23FDE">
        <w:t xml:space="preserve">grasslands of the conterminous US. </w:t>
      </w:r>
      <w:r w:rsidRPr="00C23FDE">
        <w:rPr>
          <w:i/>
          <w:iCs/>
        </w:rPr>
        <w:t>Biogeochemistry</w:t>
      </w:r>
      <w:r w:rsidRPr="00C23FDE">
        <w:t xml:space="preserve">, </w:t>
      </w:r>
      <w:r w:rsidRPr="00C23FDE">
        <w:rPr>
          <w:i/>
          <w:iCs/>
        </w:rPr>
        <w:t>156</w:t>
      </w:r>
      <w:r w:rsidRPr="00C23FDE">
        <w:t>, pp.41-56.</w:t>
      </w:r>
      <w:r>
        <w:t xml:space="preserve"> Biogeochemistry DOI: 10.1007/s10533-021-00856-x</w:t>
      </w:r>
    </w:p>
    <w:p w14:paraId="03B2578E" w14:textId="77777777" w:rsidR="00722B8B" w:rsidRPr="00DD2C1A" w:rsidRDefault="00722B8B" w:rsidP="0006282A">
      <w:pPr>
        <w:pStyle w:val="References"/>
        <w:spacing w:before="0" w:line="480" w:lineRule="auto"/>
        <w:jc w:val="both"/>
        <w:rPr>
          <w:lang w:val="en-US"/>
        </w:rPr>
      </w:pPr>
      <w:r w:rsidRPr="00DD2C1A">
        <w:rPr>
          <w:lang w:val="en-US"/>
        </w:rPr>
        <w:t xml:space="preserve">Keeling, C. D. (1958), “The Concentration and Isotopic Abundances of Atmospheric Carbon Dioxide in Rural Areas,” </w:t>
      </w:r>
      <w:r w:rsidRPr="00DD2C1A">
        <w:rPr>
          <w:i/>
          <w:iCs/>
          <w:lang w:val="en-US"/>
        </w:rPr>
        <w:t>Geochimica et Cosmochimica</w:t>
      </w:r>
      <w:r w:rsidRPr="00DD2C1A">
        <w:rPr>
          <w:lang w:val="en-US"/>
        </w:rPr>
        <w:t>, 13, 322-334, DOI: 10.1016/0016-7037(58)90033-4.</w:t>
      </w:r>
    </w:p>
    <w:p w14:paraId="6BD5A3EC" w14:textId="77777777" w:rsidR="00722B8B" w:rsidRDefault="00722B8B" w:rsidP="0006282A">
      <w:pPr>
        <w:pStyle w:val="References"/>
        <w:spacing w:before="0" w:line="480" w:lineRule="auto"/>
        <w:jc w:val="both"/>
        <w:rPr>
          <w:lang w:val="en-US"/>
        </w:rPr>
      </w:pPr>
      <w:r w:rsidRPr="00DD2C1A">
        <w:rPr>
          <w:lang w:val="en-US"/>
        </w:rPr>
        <w:t xml:space="preserve">Kendall, C., and Caldwell, E. A. (1998), “Fundamentals of Isotope Geochemistry,” In </w:t>
      </w:r>
      <w:r w:rsidRPr="00DD2C1A">
        <w:rPr>
          <w:i/>
          <w:iCs/>
          <w:lang w:val="en-US"/>
        </w:rPr>
        <w:t>Isotope Tracers in Catchment Hydrology</w:t>
      </w:r>
      <w:r w:rsidRPr="00DD2C1A">
        <w:rPr>
          <w:lang w:val="en-US"/>
        </w:rPr>
        <w:t>, London, UK. Elsevier, pp. 51-86.</w:t>
      </w:r>
    </w:p>
    <w:p w14:paraId="7DFE7D8E" w14:textId="77777777" w:rsidR="00722B8B" w:rsidRPr="00DD2C1A" w:rsidRDefault="00722B8B" w:rsidP="0006282A">
      <w:pPr>
        <w:pStyle w:val="References"/>
        <w:spacing w:before="0" w:line="480" w:lineRule="auto"/>
        <w:jc w:val="both"/>
        <w:rPr>
          <w:lang w:val="en-US"/>
        </w:rPr>
      </w:pPr>
      <w:r>
        <w:t xml:space="preserve">Lerch, T. Z., Nunan, N., Dignac, M. F., Chenu, C., &amp; Mariotti, A. (2011). Variations in microbial isotopic fractionation during soil organic matter decomposition. </w:t>
      </w:r>
      <w:r>
        <w:rPr>
          <w:i/>
          <w:iCs/>
        </w:rPr>
        <w:t>Biogeochemistry</w:t>
      </w:r>
      <w:r>
        <w:t xml:space="preserve">, </w:t>
      </w:r>
      <w:r>
        <w:rPr>
          <w:i/>
          <w:iCs/>
        </w:rPr>
        <w:t>106</w:t>
      </w:r>
      <w:r>
        <w:t>, 5-21, DOI:10.1007/s10533-010-9432-7</w:t>
      </w:r>
    </w:p>
    <w:p w14:paraId="2723B549" w14:textId="77777777" w:rsidR="00722B8B" w:rsidRPr="00DD2C1A" w:rsidRDefault="00722B8B" w:rsidP="0006282A">
      <w:pPr>
        <w:pStyle w:val="References"/>
        <w:spacing w:before="0" w:line="480" w:lineRule="auto"/>
        <w:jc w:val="both"/>
        <w:rPr>
          <w:lang w:val="en-US"/>
        </w:rPr>
      </w:pPr>
      <w:r>
        <w:t xml:space="preserve">Liu, X., Zou, X., Cao, M., and Luo, T. (2020). Organic carbon storage and </w:t>
      </w:r>
      <w:r w:rsidRPr="0043492A">
        <w:rPr>
          <w:vertAlign w:val="superscript"/>
        </w:rPr>
        <w:t>14</w:t>
      </w:r>
      <w:r>
        <w:t xml:space="preserve">C apparent age of upland and riparian soils in a montane subtropical moist forest of southwestern China. </w:t>
      </w:r>
      <w:r>
        <w:rPr>
          <w:i/>
          <w:iCs/>
        </w:rPr>
        <w:t>Forests</w:t>
      </w:r>
      <w:r>
        <w:t xml:space="preserve">, </w:t>
      </w:r>
      <w:r>
        <w:rPr>
          <w:i/>
          <w:iCs/>
        </w:rPr>
        <w:t>11</w:t>
      </w:r>
      <w:r>
        <w:t>(6), 645.</w:t>
      </w:r>
    </w:p>
    <w:p w14:paraId="1FEE7F5F" w14:textId="77777777" w:rsidR="00722B8B" w:rsidRPr="00DD2C1A" w:rsidRDefault="00722B8B" w:rsidP="0006282A">
      <w:pPr>
        <w:pStyle w:val="References"/>
        <w:spacing w:before="0" w:line="480" w:lineRule="auto"/>
        <w:jc w:val="both"/>
        <w:rPr>
          <w:lang w:val="en-US"/>
        </w:rPr>
      </w:pPr>
      <w:r w:rsidRPr="00DD2C1A">
        <w:rPr>
          <w:lang w:val="en-US"/>
        </w:rPr>
        <w:t xml:space="preserve">Mariotti, A., Germon, J. C., Hubert, P., Kaiser, P., Letolle, R., Tardieux, A., et al. (1981), “Experimental Determination of Nitrogen Kinetic Isotope Fractionation: Some Principles; Illustration for the Denitrification and Nitrification Processes,” </w:t>
      </w:r>
      <w:r w:rsidRPr="00DD2C1A">
        <w:rPr>
          <w:i/>
          <w:iCs/>
          <w:lang w:val="en-US"/>
        </w:rPr>
        <w:t>Plant and Soil</w:t>
      </w:r>
      <w:r w:rsidRPr="00DD2C1A">
        <w:rPr>
          <w:lang w:val="en-US"/>
        </w:rPr>
        <w:t>, 62, 413-430, DOI: 10.1007/BF02374138.</w:t>
      </w:r>
    </w:p>
    <w:p w14:paraId="1B992ECA" w14:textId="77777777" w:rsidR="00722B8B" w:rsidRPr="00DD2C1A" w:rsidRDefault="00722B8B" w:rsidP="0006282A">
      <w:pPr>
        <w:pStyle w:val="References"/>
        <w:spacing w:before="0" w:line="480" w:lineRule="auto"/>
        <w:jc w:val="both"/>
        <w:rPr>
          <w:lang w:val="en-US"/>
        </w:rPr>
      </w:pPr>
      <w:r w:rsidRPr="00DD2C1A">
        <w:rPr>
          <w:lang w:val="en-US"/>
        </w:rPr>
        <w:lastRenderedPageBreak/>
        <w:t xml:space="preserve">Mobius, J. (2013), “Isotope Fractionation during Nitrogen Remineralization (Ammonification): Implications for Nitrogen Isotope Biogeochemistry,” </w:t>
      </w:r>
      <w:r w:rsidRPr="00DD2C1A">
        <w:rPr>
          <w:i/>
          <w:iCs/>
          <w:lang w:val="en-US"/>
        </w:rPr>
        <w:t>Geochimica et Cosmochimica Acta</w:t>
      </w:r>
      <w:r w:rsidRPr="00DD2C1A">
        <w:rPr>
          <w:lang w:val="en-US"/>
        </w:rPr>
        <w:t>, 105, 422-432, DOI: 10.1016/j.gca.2012.11.048.</w:t>
      </w:r>
    </w:p>
    <w:p w14:paraId="503C2299" w14:textId="77777777" w:rsidR="007E71C3" w:rsidRDefault="007E71C3" w:rsidP="007E71C3">
      <w:pPr>
        <w:pStyle w:val="EndNoteBibliography"/>
        <w:spacing w:after="0" w:line="480" w:lineRule="auto"/>
        <w:ind w:left="720" w:hanging="720"/>
        <w:contextualSpacing/>
        <w:rPr>
          <w:rFonts w:ascii="Times New Roman" w:hAnsi="Times New Roman"/>
        </w:rPr>
      </w:pPr>
      <w:r>
        <w:rPr>
          <w:rFonts w:ascii="Times New Roman" w:hAnsi="Times New Roman"/>
        </w:rPr>
        <w:t xml:space="preserve">Moots, K. Nguyen, C. P Nguyen C. Camacho, F., Lindstrom, D., and Righetti, T, L. (2024a). A mathematical explanation for why ratio-based isotopic analyses are commonly misleading: Theory. Scientific Reports </w:t>
      </w:r>
      <w:r>
        <w:rPr>
          <w:rFonts w:ascii="Times New Roman" w:hAnsi="Times New Roman"/>
          <w:i/>
        </w:rPr>
        <w:t xml:space="preserve">this issue </w:t>
      </w:r>
      <w:r>
        <w:rPr>
          <w:rFonts w:ascii="Times New Roman" w:hAnsi="Times New Roman"/>
        </w:rPr>
        <w:t>.</w:t>
      </w:r>
    </w:p>
    <w:p w14:paraId="2E082BD6" w14:textId="77777777" w:rsidR="007E71C3" w:rsidRDefault="007E71C3" w:rsidP="007E71C3">
      <w:pPr>
        <w:pStyle w:val="EndNoteBibliography"/>
        <w:spacing w:after="0" w:line="480" w:lineRule="auto"/>
        <w:ind w:left="720" w:hanging="720"/>
        <w:contextualSpacing/>
        <w:rPr>
          <w:rFonts w:ascii="Times New Roman" w:hAnsi="Times New Roman"/>
        </w:rPr>
      </w:pPr>
      <w:r>
        <w:rPr>
          <w:rFonts w:ascii="Times New Roman" w:hAnsi="Times New Roman"/>
        </w:rPr>
        <w:t xml:space="preserve">Moots, K. Nguyen, C. P Nguyen C. Camacho, F., Lindstrom, D., and Righetti, T, L. (2024b). A mathematical explanation for why ratio-based isotopic analyses are commonly misleading: Dealing with Confounded Isotopic Ratios. Scientific Reports </w:t>
      </w:r>
      <w:r>
        <w:rPr>
          <w:rFonts w:ascii="Times New Roman" w:hAnsi="Times New Roman"/>
          <w:i/>
        </w:rPr>
        <w:t xml:space="preserve">this issue </w:t>
      </w:r>
      <w:r>
        <w:rPr>
          <w:rFonts w:ascii="Times New Roman" w:hAnsi="Times New Roman"/>
        </w:rPr>
        <w:t>.</w:t>
      </w:r>
    </w:p>
    <w:p w14:paraId="7028B838" w14:textId="1DF1B37F" w:rsidR="00722B8B" w:rsidRPr="00DD2C1A" w:rsidRDefault="00722B8B" w:rsidP="0006282A">
      <w:pPr>
        <w:pStyle w:val="References"/>
        <w:spacing w:before="0" w:line="480" w:lineRule="auto"/>
        <w:jc w:val="both"/>
        <w:rPr>
          <w:lang w:val="en-US"/>
        </w:rPr>
      </w:pPr>
      <w:r w:rsidRPr="00BC76FD">
        <w:rPr>
          <w:lang w:val="en-US"/>
        </w:rPr>
        <w:t xml:space="preserve">Pataki, L., Ehleringer, J. R., Flanagan, L. B., Yakir, D., Bowling, D. R., Still, C. J., </w:t>
      </w:r>
      <w:r w:rsidRPr="004D5160">
        <w:rPr>
          <w:lang w:val="en-US"/>
        </w:rPr>
        <w:t>et al</w:t>
      </w:r>
      <w:r w:rsidRPr="00BC76FD">
        <w:rPr>
          <w:lang w:val="en-US"/>
        </w:rPr>
        <w:t xml:space="preserve">. (2003), “The Application and Interpretation of Keeling Plots in Terrestrial Carbon Cycle Research,” </w:t>
      </w:r>
      <w:r w:rsidRPr="00BC76FD">
        <w:rPr>
          <w:i/>
          <w:iCs/>
          <w:lang w:val="en-US"/>
        </w:rPr>
        <w:t>Global Biochemical Cycles</w:t>
      </w:r>
      <w:r w:rsidRPr="00BC76FD">
        <w:rPr>
          <w:lang w:val="en-US"/>
        </w:rPr>
        <w:t>, 25, 1-14, DOI: 10.1029/2001GB001850.</w:t>
      </w:r>
    </w:p>
    <w:p w14:paraId="65302B63" w14:textId="77777777" w:rsidR="00722B8B" w:rsidRDefault="00722B8B" w:rsidP="0006282A">
      <w:pPr>
        <w:pStyle w:val="References"/>
        <w:spacing w:before="0" w:line="480" w:lineRule="auto"/>
        <w:jc w:val="both"/>
        <w:rPr>
          <w:lang w:val="en-US"/>
        </w:rPr>
      </w:pPr>
      <w:r>
        <w:rPr>
          <w:rStyle w:val="authors"/>
        </w:rPr>
        <w:t>Rayleigh O.M. F.R.S.</w:t>
      </w:r>
      <w:r>
        <w:t xml:space="preserve"> </w:t>
      </w:r>
      <w:r>
        <w:rPr>
          <w:rStyle w:val="Date1"/>
        </w:rPr>
        <w:t>(1902)</w:t>
      </w:r>
      <w:r>
        <w:t xml:space="preserve"> </w:t>
      </w:r>
      <w:r>
        <w:rPr>
          <w:rStyle w:val="arttitle"/>
        </w:rPr>
        <w:t>LIX.</w:t>
      </w:r>
      <w:r w:rsidRPr="00DD2C1A">
        <w:rPr>
          <w:lang w:val="en-US"/>
        </w:rPr>
        <w:t xml:space="preserve">, </w:t>
      </w:r>
      <w:r>
        <w:rPr>
          <w:rStyle w:val="arttitle"/>
        </w:rPr>
        <w:t>“</w:t>
      </w:r>
      <w:r w:rsidRPr="00324957">
        <w:rPr>
          <w:rStyle w:val="arttitle"/>
        </w:rPr>
        <w:t>On the distillation of binary mixtures,</w:t>
      </w:r>
      <w:r>
        <w:rPr>
          <w:rStyle w:val="arttitle"/>
        </w:rPr>
        <w:t>”</w:t>
      </w:r>
      <w:r>
        <w:t xml:space="preserve"> </w:t>
      </w:r>
      <w:r>
        <w:rPr>
          <w:lang w:val="en-US"/>
        </w:rPr>
        <w:t xml:space="preserve">The London, Edinburg, and Dublin Philosophical Magazine and Journal of Science, 4:23, 521-537, DOI: </w:t>
      </w:r>
      <w:hyperlink r:id="rId29" w:history="1">
        <w:r w:rsidRPr="00C16BAD">
          <w:rPr>
            <w:rStyle w:val="Hyperlink"/>
            <w:color w:val="auto"/>
            <w:u w:val="none"/>
          </w:rPr>
          <w:t>10.1080/14786440209462876</w:t>
        </w:r>
      </w:hyperlink>
      <w:r w:rsidRPr="00C16BAD">
        <w:rPr>
          <w:lang w:val="en-US"/>
        </w:rPr>
        <w:t xml:space="preserve"> </w:t>
      </w:r>
    </w:p>
    <w:p w14:paraId="03FD564D" w14:textId="77777777" w:rsidR="00722B8B" w:rsidRPr="00211A56" w:rsidRDefault="00722B8B" w:rsidP="0006282A">
      <w:pPr>
        <w:pStyle w:val="References"/>
        <w:spacing w:before="0" w:line="480" w:lineRule="auto"/>
        <w:jc w:val="both"/>
        <w:rPr>
          <w:lang w:val="en-US"/>
        </w:rPr>
      </w:pPr>
      <w:r>
        <w:t xml:space="preserve">Rumpel, C., Kogel-Knaber, I., and Brun, F. (2002) Vertical distribution, age and chemical comparison of organic carbon in two forest soils of different pedogenesis. </w:t>
      </w:r>
      <w:r>
        <w:rPr>
          <w:i/>
          <w:iCs/>
        </w:rPr>
        <w:t>Organic Geochemistry,33</w:t>
      </w:r>
      <w:r>
        <w:t xml:space="preserve"> (10), 1131-1142.</w:t>
      </w:r>
    </w:p>
    <w:p w14:paraId="6018DFAE" w14:textId="77777777" w:rsidR="00722B8B" w:rsidRPr="00DD2C1A" w:rsidRDefault="00722B8B" w:rsidP="0006282A">
      <w:pPr>
        <w:pStyle w:val="References"/>
        <w:spacing w:before="0" w:line="480" w:lineRule="auto"/>
        <w:jc w:val="both"/>
        <w:rPr>
          <w:lang w:val="en-US"/>
        </w:rPr>
      </w:pPr>
      <w:r>
        <w:t>Wang, G., Yufu, J., and Wei, L. (2015), Effects of environmental and biotic factors on carbon isotopic fractionation during decomposition of soil organic matter. Sci. Rep. 5, 11043; DOI: 10.1038/srep11043.</w:t>
      </w:r>
    </w:p>
    <w:p w14:paraId="354A09E7" w14:textId="77777777" w:rsidR="00722B8B" w:rsidRDefault="00722B8B" w:rsidP="0006282A">
      <w:pPr>
        <w:pStyle w:val="References"/>
        <w:spacing w:before="0" w:line="480" w:lineRule="auto"/>
        <w:jc w:val="both"/>
      </w:pPr>
      <w:r>
        <w:t xml:space="preserve">Weiglein, T.L., Strahm, B.D., Bowman, M.M., Gallo, A.C., Hatten, J.A., Heckman, K.A., Matosziuk, L.M., Nave, L.E., Possinger, A.R., SanClements, M.D. and Swanston, C.W., 2022. Key predictors of soil organic matter vulnerability to mineralization differ with </w:t>
      </w:r>
      <w:r>
        <w:lastRenderedPageBreak/>
        <w:t xml:space="preserve">depth at a continental scale. </w:t>
      </w:r>
      <w:r>
        <w:rPr>
          <w:i/>
          <w:iCs/>
        </w:rPr>
        <w:t>Biogeochemistry</w:t>
      </w:r>
      <w:r>
        <w:t xml:space="preserve">, </w:t>
      </w:r>
      <w:r>
        <w:rPr>
          <w:i/>
          <w:iCs/>
        </w:rPr>
        <w:t>157</w:t>
      </w:r>
      <w:r>
        <w:t>, pp.87-107.DOI: 10.1007/s10533-021-00856-x</w:t>
      </w:r>
    </w:p>
    <w:p w14:paraId="746AA7C6" w14:textId="109751CD" w:rsidR="00722B8B" w:rsidRDefault="00722B8B" w:rsidP="0006282A">
      <w:pPr>
        <w:pStyle w:val="References"/>
        <w:spacing w:before="0" w:line="480" w:lineRule="auto"/>
        <w:jc w:val="both"/>
      </w:pPr>
      <w:r>
        <w:t xml:space="preserve">Wick, L.Y., Pasche, N., Bernasconi, S.M., </w:t>
      </w:r>
      <w:r w:rsidR="003D07A6">
        <w:t>Pelz, O</w:t>
      </w:r>
      <w:r>
        <w:t xml:space="preserve">., Harms, H., (2003) Characterization of multiple-substrate utilization by anthracene-degrading </w:t>
      </w:r>
      <w:r w:rsidRPr="00401E5E">
        <w:rPr>
          <w:i/>
          <w:iCs/>
        </w:rPr>
        <w:t>Mycobacterium frederiksbergense</w:t>
      </w:r>
      <w:r>
        <w:t xml:space="preserve"> LB501T. </w:t>
      </w:r>
      <w:r w:rsidRPr="00401E5E">
        <w:rPr>
          <w:i/>
          <w:iCs/>
        </w:rPr>
        <w:t>Appl Environ Microbiol</w:t>
      </w:r>
      <w:r>
        <w:t xml:space="preserve"> 69:6133–6142</w:t>
      </w:r>
    </w:p>
    <w:p w14:paraId="3AB3545C" w14:textId="77777777" w:rsidR="00722B8B" w:rsidRPr="00BF1E35" w:rsidRDefault="00722B8B" w:rsidP="0006282A">
      <w:pPr>
        <w:pStyle w:val="References"/>
        <w:spacing w:before="0" w:line="480" w:lineRule="auto"/>
        <w:jc w:val="both"/>
        <w:rPr>
          <w:lang w:val="en-US" w:eastAsia="ja-JP"/>
        </w:rPr>
      </w:pPr>
      <w:r w:rsidRPr="00DD2C1A">
        <w:rPr>
          <w:lang w:val="en-US" w:eastAsia="ja-JP"/>
        </w:rPr>
        <w:t xml:space="preserve">Whitledge, G. W., and Rabeni, C. F. (1997), “Energy Sources and Ecological Role of Crayfishes in an Ozark Stream: Insights from Stable Isotopes and Gut Analysis,” </w:t>
      </w:r>
      <w:r w:rsidRPr="00DD2C1A">
        <w:rPr>
          <w:i/>
          <w:iCs/>
          <w:lang w:val="en-US" w:eastAsia="ja-JP"/>
        </w:rPr>
        <w:t>Canadian Journal of Fisheries and Aquatic Sciences</w:t>
      </w:r>
      <w:r w:rsidRPr="00DD2C1A">
        <w:rPr>
          <w:lang w:val="en-US" w:eastAsia="ja-JP"/>
        </w:rPr>
        <w:t>, 54, 2555-2563, DOI: 10.1139/f97-173.</w:t>
      </w:r>
    </w:p>
    <w:p w14:paraId="0CB829F6" w14:textId="77777777" w:rsidR="00722B8B" w:rsidRDefault="00722B8B" w:rsidP="0006282A">
      <w:pPr>
        <w:pStyle w:val="References"/>
        <w:spacing w:before="0" w:line="480" w:lineRule="auto"/>
        <w:jc w:val="both"/>
      </w:pPr>
      <w:r>
        <w:t xml:space="preserve">Wynn J.G., Bird M.I., Wong V.N.L., (2005) Rayleigh distillation and the depth profile of </w:t>
      </w:r>
      <w:r w:rsidRPr="00770A2C">
        <w:rPr>
          <w:vertAlign w:val="superscript"/>
        </w:rPr>
        <w:t>13</w:t>
      </w:r>
      <w:r>
        <w:t>C/</w:t>
      </w:r>
      <w:r w:rsidRPr="00770A2C">
        <w:rPr>
          <w:vertAlign w:val="superscript"/>
        </w:rPr>
        <w:t>12</w:t>
      </w:r>
      <w:r>
        <w:t xml:space="preserve">C ratios in soil organic carbon from two soils in Iron Range National Park, Far North Queensland, Australia. </w:t>
      </w:r>
      <w:r w:rsidRPr="00BF1E35">
        <w:rPr>
          <w:i/>
          <w:iCs/>
        </w:rPr>
        <w:t>Geochim Cosmochim Acta</w:t>
      </w:r>
      <w:r>
        <w:t xml:space="preserve"> 69:1961–1973 </w:t>
      </w:r>
    </w:p>
    <w:p w14:paraId="102E825C" w14:textId="77777777" w:rsidR="00722B8B" w:rsidRPr="00500261" w:rsidRDefault="00722B8B" w:rsidP="0006282A">
      <w:pPr>
        <w:pStyle w:val="References"/>
        <w:spacing w:before="0" w:line="480" w:lineRule="auto"/>
        <w:jc w:val="both"/>
      </w:pPr>
      <w:r>
        <w:t xml:space="preserve">Wynn J.G., Harden J.W., Fries T.L., (2006) Carbon isotope depth profiles and soil organic carbon dynamics in the Mississippi Basin. </w:t>
      </w:r>
      <w:r w:rsidRPr="00BF1E35">
        <w:rPr>
          <w:i/>
          <w:iCs/>
        </w:rPr>
        <w:t>Geoderma</w:t>
      </w:r>
      <w:r>
        <w:t xml:space="preserve"> 131:89–109</w:t>
      </w:r>
    </w:p>
    <w:sectPr w:rsidR="00722B8B" w:rsidRPr="00500261">
      <w:footerReference w:type="even" r:id="rId30"/>
      <w:footerReference w:type="default" r:id="rId31"/>
      <w:footerReference w:type="first" r:id="rId32"/>
      <w:pgSz w:w="12240" w:h="15840"/>
      <w:pgMar w:top="1057" w:right="1537" w:bottom="9" w:left="14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BB25" w14:textId="77777777" w:rsidR="007F6D0A" w:rsidRDefault="007F6D0A">
      <w:pPr>
        <w:spacing w:after="0" w:line="240" w:lineRule="auto"/>
      </w:pPr>
      <w:r>
        <w:separator/>
      </w:r>
    </w:p>
  </w:endnote>
  <w:endnote w:type="continuationSeparator" w:id="0">
    <w:p w14:paraId="59C56966" w14:textId="77777777" w:rsidR="007F6D0A" w:rsidRDefault="007F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327039"/>
      <w:docPartObj>
        <w:docPartGallery w:val="Page Numbers (Bottom of Page)"/>
        <w:docPartUnique/>
      </w:docPartObj>
    </w:sdtPr>
    <w:sdtEndPr>
      <w:rPr>
        <w:noProof/>
      </w:rPr>
    </w:sdtEndPr>
    <w:sdtContent>
      <w:p w14:paraId="076117A3" w14:textId="7AFB529A" w:rsidR="00EE67B8" w:rsidRDefault="00EE67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6860E0" w14:textId="77777777" w:rsidR="007A4D06" w:rsidRDefault="007A4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82910"/>
      <w:docPartObj>
        <w:docPartGallery w:val="Page Numbers (Bottom of Page)"/>
        <w:docPartUnique/>
      </w:docPartObj>
    </w:sdtPr>
    <w:sdtEndPr>
      <w:rPr>
        <w:noProof/>
      </w:rPr>
    </w:sdtEndPr>
    <w:sdtContent>
      <w:p w14:paraId="425CE909" w14:textId="77777777" w:rsidR="007A4D06" w:rsidRDefault="007A4D0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164D45E" w14:textId="77777777" w:rsidR="007A4D06" w:rsidRDefault="007A4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82B7" w14:textId="77777777" w:rsidR="00271714" w:rsidRDefault="00A81F6B">
    <w:pPr>
      <w:spacing w:after="0" w:line="259" w:lineRule="auto"/>
      <w:ind w:left="5" w:firstLine="0"/>
      <w:jc w:val="center"/>
    </w:pPr>
    <w:r>
      <w:fldChar w:fldCharType="begin"/>
    </w:r>
    <w:r>
      <w:instrText xml:space="preserve"> PAGE   \* MERGEFORMAT </w:instrText>
    </w:r>
    <w:r>
      <w:fldChar w:fldCharType="separate"/>
    </w:r>
    <w: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F2AB" w14:textId="77777777" w:rsidR="00271714" w:rsidRDefault="00A81F6B">
    <w:pPr>
      <w:spacing w:after="0" w:line="259" w:lineRule="auto"/>
      <w:ind w:left="5" w:firstLine="0"/>
      <w:jc w:val="center"/>
    </w:pPr>
    <w:r>
      <w:fldChar w:fldCharType="begin"/>
    </w:r>
    <w:r>
      <w:instrText xml:space="preserve"> PAGE   \* MERGEFORMAT </w:instrText>
    </w:r>
    <w:r>
      <w:fldChar w:fldCharType="separate"/>
    </w:r>
    <w: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372A" w14:textId="77777777" w:rsidR="00271714" w:rsidRDefault="0027171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F0FF" w14:textId="77777777" w:rsidR="007F6D0A" w:rsidRDefault="007F6D0A">
      <w:pPr>
        <w:spacing w:after="0" w:line="240" w:lineRule="auto"/>
      </w:pPr>
      <w:r>
        <w:separator/>
      </w:r>
    </w:p>
  </w:footnote>
  <w:footnote w:type="continuationSeparator" w:id="0">
    <w:p w14:paraId="23FF3D06" w14:textId="77777777" w:rsidR="007F6D0A" w:rsidRDefault="007F6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404E1A"/>
    <w:multiLevelType w:val="hybridMultilevel"/>
    <w:tmpl w:val="FE6E544E"/>
    <w:lvl w:ilvl="0" w:tplc="106AF94A">
      <w:start w:val="1"/>
      <w:numFmt w:val="decimal"/>
      <w:lvlText w:val="(%1)"/>
      <w:lvlJc w:val="left"/>
      <w:pPr>
        <w:ind w:left="720" w:hanging="360"/>
      </w:pPr>
      <w:rPr>
        <w:rFonts w:hint="default"/>
      </w:rPr>
    </w:lvl>
    <w:lvl w:ilvl="1" w:tplc="145A1454" w:tentative="1">
      <w:start w:val="1"/>
      <w:numFmt w:val="lowerLetter"/>
      <w:lvlText w:val="%2."/>
      <w:lvlJc w:val="left"/>
      <w:pPr>
        <w:ind w:left="1440" w:hanging="360"/>
      </w:pPr>
    </w:lvl>
    <w:lvl w:ilvl="2" w:tplc="394A3694" w:tentative="1">
      <w:start w:val="1"/>
      <w:numFmt w:val="lowerRoman"/>
      <w:lvlText w:val="%3."/>
      <w:lvlJc w:val="right"/>
      <w:pPr>
        <w:ind w:left="2160" w:hanging="180"/>
      </w:pPr>
    </w:lvl>
    <w:lvl w:ilvl="3" w:tplc="3D2C3A76" w:tentative="1">
      <w:start w:val="1"/>
      <w:numFmt w:val="decimal"/>
      <w:lvlText w:val="%4."/>
      <w:lvlJc w:val="left"/>
      <w:pPr>
        <w:ind w:left="2880" w:hanging="360"/>
      </w:pPr>
    </w:lvl>
    <w:lvl w:ilvl="4" w:tplc="2C0ABFF4" w:tentative="1">
      <w:start w:val="1"/>
      <w:numFmt w:val="lowerLetter"/>
      <w:lvlText w:val="%5."/>
      <w:lvlJc w:val="left"/>
      <w:pPr>
        <w:ind w:left="3600" w:hanging="360"/>
      </w:pPr>
    </w:lvl>
    <w:lvl w:ilvl="5" w:tplc="750E2520" w:tentative="1">
      <w:start w:val="1"/>
      <w:numFmt w:val="lowerRoman"/>
      <w:lvlText w:val="%6."/>
      <w:lvlJc w:val="right"/>
      <w:pPr>
        <w:ind w:left="4320" w:hanging="180"/>
      </w:pPr>
    </w:lvl>
    <w:lvl w:ilvl="6" w:tplc="848A46C8" w:tentative="1">
      <w:start w:val="1"/>
      <w:numFmt w:val="decimal"/>
      <w:lvlText w:val="%7."/>
      <w:lvlJc w:val="left"/>
      <w:pPr>
        <w:ind w:left="5040" w:hanging="360"/>
      </w:pPr>
    </w:lvl>
    <w:lvl w:ilvl="7" w:tplc="D4E28C8A" w:tentative="1">
      <w:start w:val="1"/>
      <w:numFmt w:val="lowerLetter"/>
      <w:lvlText w:val="%8."/>
      <w:lvlJc w:val="left"/>
      <w:pPr>
        <w:ind w:left="5760" w:hanging="360"/>
      </w:pPr>
    </w:lvl>
    <w:lvl w:ilvl="8" w:tplc="125A73FA" w:tentative="1">
      <w:start w:val="1"/>
      <w:numFmt w:val="lowerRoman"/>
      <w:lvlText w:val="%9."/>
      <w:lvlJc w:val="right"/>
      <w:pPr>
        <w:ind w:left="6480" w:hanging="180"/>
      </w:p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6965EB"/>
    <w:multiLevelType w:val="hybridMultilevel"/>
    <w:tmpl w:val="656EB7BE"/>
    <w:lvl w:ilvl="0" w:tplc="E6A614C6">
      <w:start w:val="1"/>
      <w:numFmt w:val="decimal"/>
      <w:lvlText w:val="(%1)"/>
      <w:lvlJc w:val="left"/>
      <w:pPr>
        <w:ind w:left="1287" w:hanging="360"/>
      </w:pPr>
      <w:rPr>
        <w:rFonts w:hint="default"/>
      </w:rPr>
    </w:lvl>
    <w:lvl w:ilvl="1" w:tplc="42E6057C" w:tentative="1">
      <w:start w:val="1"/>
      <w:numFmt w:val="lowerLetter"/>
      <w:lvlText w:val="%2."/>
      <w:lvlJc w:val="left"/>
      <w:pPr>
        <w:ind w:left="2007" w:hanging="360"/>
      </w:pPr>
    </w:lvl>
    <w:lvl w:ilvl="2" w:tplc="D1CC2E34" w:tentative="1">
      <w:start w:val="1"/>
      <w:numFmt w:val="lowerRoman"/>
      <w:lvlText w:val="%3."/>
      <w:lvlJc w:val="right"/>
      <w:pPr>
        <w:ind w:left="2727" w:hanging="180"/>
      </w:pPr>
    </w:lvl>
    <w:lvl w:ilvl="3" w:tplc="02445248" w:tentative="1">
      <w:start w:val="1"/>
      <w:numFmt w:val="decimal"/>
      <w:lvlText w:val="%4."/>
      <w:lvlJc w:val="left"/>
      <w:pPr>
        <w:ind w:left="3447" w:hanging="360"/>
      </w:pPr>
    </w:lvl>
    <w:lvl w:ilvl="4" w:tplc="E9B42ECA" w:tentative="1">
      <w:start w:val="1"/>
      <w:numFmt w:val="lowerLetter"/>
      <w:lvlText w:val="%5."/>
      <w:lvlJc w:val="left"/>
      <w:pPr>
        <w:ind w:left="4167" w:hanging="360"/>
      </w:pPr>
    </w:lvl>
    <w:lvl w:ilvl="5" w:tplc="876EF1E0" w:tentative="1">
      <w:start w:val="1"/>
      <w:numFmt w:val="lowerRoman"/>
      <w:lvlText w:val="%6."/>
      <w:lvlJc w:val="right"/>
      <w:pPr>
        <w:ind w:left="4887" w:hanging="180"/>
      </w:pPr>
    </w:lvl>
    <w:lvl w:ilvl="6" w:tplc="C7909592" w:tentative="1">
      <w:start w:val="1"/>
      <w:numFmt w:val="decimal"/>
      <w:lvlText w:val="%7."/>
      <w:lvlJc w:val="left"/>
      <w:pPr>
        <w:ind w:left="5607" w:hanging="360"/>
      </w:pPr>
    </w:lvl>
    <w:lvl w:ilvl="7" w:tplc="65A4E32A" w:tentative="1">
      <w:start w:val="1"/>
      <w:numFmt w:val="lowerLetter"/>
      <w:lvlText w:val="%8."/>
      <w:lvlJc w:val="left"/>
      <w:pPr>
        <w:ind w:left="6327" w:hanging="360"/>
      </w:pPr>
    </w:lvl>
    <w:lvl w:ilvl="8" w:tplc="7A0EECAA" w:tentative="1">
      <w:start w:val="1"/>
      <w:numFmt w:val="lowerRoman"/>
      <w:lvlText w:val="%9."/>
      <w:lvlJc w:val="right"/>
      <w:pPr>
        <w:ind w:left="7047" w:hanging="180"/>
      </w:pPr>
    </w:lvl>
  </w:abstractNum>
  <w:abstractNum w:abstractNumId="14"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2E0E06"/>
    <w:multiLevelType w:val="multilevel"/>
    <w:tmpl w:val="78D8974C"/>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E8289F"/>
    <w:multiLevelType w:val="hybridMultilevel"/>
    <w:tmpl w:val="E976D66C"/>
    <w:lvl w:ilvl="0" w:tplc="36FE2D70">
      <w:start w:val="1"/>
      <w:numFmt w:val="decimal"/>
      <w:lvlText w:val="(%1)"/>
      <w:lvlJc w:val="left"/>
      <w:pPr>
        <w:tabs>
          <w:tab w:val="num" w:pos="720"/>
        </w:tabs>
        <w:ind w:left="720" w:hanging="360"/>
      </w:pPr>
      <w:rPr>
        <w:rFonts w:hint="default"/>
      </w:rPr>
    </w:lvl>
    <w:lvl w:ilvl="1" w:tplc="7088AB14" w:tentative="1">
      <w:start w:val="1"/>
      <w:numFmt w:val="lowerLetter"/>
      <w:lvlText w:val="%2."/>
      <w:lvlJc w:val="left"/>
      <w:pPr>
        <w:tabs>
          <w:tab w:val="num" w:pos="1440"/>
        </w:tabs>
        <w:ind w:left="1440" w:hanging="360"/>
      </w:pPr>
    </w:lvl>
    <w:lvl w:ilvl="2" w:tplc="C906A206" w:tentative="1">
      <w:start w:val="1"/>
      <w:numFmt w:val="lowerRoman"/>
      <w:lvlText w:val="%3."/>
      <w:lvlJc w:val="right"/>
      <w:pPr>
        <w:tabs>
          <w:tab w:val="num" w:pos="2160"/>
        </w:tabs>
        <w:ind w:left="2160" w:hanging="180"/>
      </w:pPr>
    </w:lvl>
    <w:lvl w:ilvl="3" w:tplc="58728E86" w:tentative="1">
      <w:start w:val="1"/>
      <w:numFmt w:val="decimal"/>
      <w:lvlText w:val="%4."/>
      <w:lvlJc w:val="left"/>
      <w:pPr>
        <w:tabs>
          <w:tab w:val="num" w:pos="2880"/>
        </w:tabs>
        <w:ind w:left="2880" w:hanging="360"/>
      </w:pPr>
    </w:lvl>
    <w:lvl w:ilvl="4" w:tplc="1422A000" w:tentative="1">
      <w:start w:val="1"/>
      <w:numFmt w:val="lowerLetter"/>
      <w:lvlText w:val="%5."/>
      <w:lvlJc w:val="left"/>
      <w:pPr>
        <w:tabs>
          <w:tab w:val="num" w:pos="3600"/>
        </w:tabs>
        <w:ind w:left="3600" w:hanging="360"/>
      </w:pPr>
    </w:lvl>
    <w:lvl w:ilvl="5" w:tplc="A0321330" w:tentative="1">
      <w:start w:val="1"/>
      <w:numFmt w:val="lowerRoman"/>
      <w:lvlText w:val="%6."/>
      <w:lvlJc w:val="right"/>
      <w:pPr>
        <w:tabs>
          <w:tab w:val="num" w:pos="4320"/>
        </w:tabs>
        <w:ind w:left="4320" w:hanging="180"/>
      </w:pPr>
    </w:lvl>
    <w:lvl w:ilvl="6" w:tplc="606688F2" w:tentative="1">
      <w:start w:val="1"/>
      <w:numFmt w:val="decimal"/>
      <w:lvlText w:val="%7."/>
      <w:lvlJc w:val="left"/>
      <w:pPr>
        <w:tabs>
          <w:tab w:val="num" w:pos="5040"/>
        </w:tabs>
        <w:ind w:left="5040" w:hanging="360"/>
      </w:pPr>
    </w:lvl>
    <w:lvl w:ilvl="7" w:tplc="3BF6A818" w:tentative="1">
      <w:start w:val="1"/>
      <w:numFmt w:val="lowerLetter"/>
      <w:lvlText w:val="%8."/>
      <w:lvlJc w:val="left"/>
      <w:pPr>
        <w:tabs>
          <w:tab w:val="num" w:pos="5760"/>
        </w:tabs>
        <w:ind w:left="5760" w:hanging="360"/>
      </w:pPr>
    </w:lvl>
    <w:lvl w:ilvl="8" w:tplc="3746FF0C" w:tentative="1">
      <w:start w:val="1"/>
      <w:numFmt w:val="lowerRoman"/>
      <w:lvlText w:val="%9."/>
      <w:lvlJc w:val="right"/>
      <w:pPr>
        <w:tabs>
          <w:tab w:val="num" w:pos="6480"/>
        </w:tabs>
        <w:ind w:left="6480" w:hanging="180"/>
      </w:pPr>
    </w:lvl>
  </w:abstractNum>
  <w:abstractNum w:abstractNumId="19" w15:restartNumberingAfterBreak="0">
    <w:nsid w:val="2B040495"/>
    <w:multiLevelType w:val="hybridMultilevel"/>
    <w:tmpl w:val="E5F8DDA4"/>
    <w:lvl w:ilvl="0" w:tplc="1E2853EC">
      <w:start w:val="1"/>
      <w:numFmt w:val="decimal"/>
      <w:lvlText w:val="(%1)"/>
      <w:lvlJc w:val="left"/>
      <w:pPr>
        <w:ind w:left="1440" w:hanging="360"/>
      </w:pPr>
      <w:rPr>
        <w:rFonts w:hint="default"/>
      </w:rPr>
    </w:lvl>
    <w:lvl w:ilvl="1" w:tplc="0FEE6E68" w:tentative="1">
      <w:start w:val="1"/>
      <w:numFmt w:val="lowerLetter"/>
      <w:lvlText w:val="%2."/>
      <w:lvlJc w:val="left"/>
      <w:pPr>
        <w:ind w:left="2160" w:hanging="360"/>
      </w:pPr>
    </w:lvl>
    <w:lvl w:ilvl="2" w:tplc="0C24212E" w:tentative="1">
      <w:start w:val="1"/>
      <w:numFmt w:val="lowerRoman"/>
      <w:lvlText w:val="%3."/>
      <w:lvlJc w:val="right"/>
      <w:pPr>
        <w:ind w:left="2880" w:hanging="180"/>
      </w:pPr>
    </w:lvl>
    <w:lvl w:ilvl="3" w:tplc="315296C6" w:tentative="1">
      <w:start w:val="1"/>
      <w:numFmt w:val="decimal"/>
      <w:lvlText w:val="%4."/>
      <w:lvlJc w:val="left"/>
      <w:pPr>
        <w:ind w:left="3600" w:hanging="360"/>
      </w:pPr>
    </w:lvl>
    <w:lvl w:ilvl="4" w:tplc="D8EEE124" w:tentative="1">
      <w:start w:val="1"/>
      <w:numFmt w:val="lowerLetter"/>
      <w:lvlText w:val="%5."/>
      <w:lvlJc w:val="left"/>
      <w:pPr>
        <w:ind w:left="4320" w:hanging="360"/>
      </w:pPr>
    </w:lvl>
    <w:lvl w:ilvl="5" w:tplc="CC3CC50A" w:tentative="1">
      <w:start w:val="1"/>
      <w:numFmt w:val="lowerRoman"/>
      <w:lvlText w:val="%6."/>
      <w:lvlJc w:val="right"/>
      <w:pPr>
        <w:ind w:left="5040" w:hanging="180"/>
      </w:pPr>
    </w:lvl>
    <w:lvl w:ilvl="6" w:tplc="8574196E" w:tentative="1">
      <w:start w:val="1"/>
      <w:numFmt w:val="decimal"/>
      <w:lvlText w:val="%7."/>
      <w:lvlJc w:val="left"/>
      <w:pPr>
        <w:ind w:left="5760" w:hanging="360"/>
      </w:pPr>
    </w:lvl>
    <w:lvl w:ilvl="7" w:tplc="094C2658" w:tentative="1">
      <w:start w:val="1"/>
      <w:numFmt w:val="lowerLetter"/>
      <w:lvlText w:val="%8."/>
      <w:lvlJc w:val="left"/>
      <w:pPr>
        <w:ind w:left="6480" w:hanging="360"/>
      </w:pPr>
    </w:lvl>
    <w:lvl w:ilvl="8" w:tplc="51D83E54" w:tentative="1">
      <w:start w:val="1"/>
      <w:numFmt w:val="lowerRoman"/>
      <w:lvlText w:val="%9."/>
      <w:lvlJc w:val="right"/>
      <w:pPr>
        <w:ind w:left="7200" w:hanging="180"/>
      </w:p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CB5131"/>
    <w:multiLevelType w:val="hybridMultilevel"/>
    <w:tmpl w:val="F83A4C80"/>
    <w:lvl w:ilvl="0" w:tplc="9E362CF8">
      <w:start w:val="1"/>
      <w:numFmt w:val="decimal"/>
      <w:lvlText w:val="%1)"/>
      <w:lvlJc w:val="left"/>
      <w:pPr>
        <w:ind w:left="720" w:hanging="360"/>
      </w:pPr>
      <w:rPr>
        <w:rFonts w:hint="default"/>
      </w:rPr>
    </w:lvl>
    <w:lvl w:ilvl="1" w:tplc="B520FF52" w:tentative="1">
      <w:start w:val="1"/>
      <w:numFmt w:val="lowerLetter"/>
      <w:lvlText w:val="%2."/>
      <w:lvlJc w:val="left"/>
      <w:pPr>
        <w:ind w:left="1440" w:hanging="360"/>
      </w:pPr>
    </w:lvl>
    <w:lvl w:ilvl="2" w:tplc="BBEE53EE" w:tentative="1">
      <w:start w:val="1"/>
      <w:numFmt w:val="lowerRoman"/>
      <w:lvlText w:val="%3."/>
      <w:lvlJc w:val="right"/>
      <w:pPr>
        <w:ind w:left="2160" w:hanging="180"/>
      </w:pPr>
    </w:lvl>
    <w:lvl w:ilvl="3" w:tplc="369A35FE" w:tentative="1">
      <w:start w:val="1"/>
      <w:numFmt w:val="decimal"/>
      <w:lvlText w:val="%4."/>
      <w:lvlJc w:val="left"/>
      <w:pPr>
        <w:ind w:left="2880" w:hanging="360"/>
      </w:pPr>
    </w:lvl>
    <w:lvl w:ilvl="4" w:tplc="9BD47BC8" w:tentative="1">
      <w:start w:val="1"/>
      <w:numFmt w:val="lowerLetter"/>
      <w:lvlText w:val="%5."/>
      <w:lvlJc w:val="left"/>
      <w:pPr>
        <w:ind w:left="3600" w:hanging="360"/>
      </w:pPr>
    </w:lvl>
    <w:lvl w:ilvl="5" w:tplc="3AF41B08" w:tentative="1">
      <w:start w:val="1"/>
      <w:numFmt w:val="lowerRoman"/>
      <w:lvlText w:val="%6."/>
      <w:lvlJc w:val="right"/>
      <w:pPr>
        <w:ind w:left="4320" w:hanging="180"/>
      </w:pPr>
    </w:lvl>
    <w:lvl w:ilvl="6" w:tplc="791829BA" w:tentative="1">
      <w:start w:val="1"/>
      <w:numFmt w:val="decimal"/>
      <w:lvlText w:val="%7."/>
      <w:lvlJc w:val="left"/>
      <w:pPr>
        <w:ind w:left="5040" w:hanging="360"/>
      </w:pPr>
    </w:lvl>
    <w:lvl w:ilvl="7" w:tplc="41E45472" w:tentative="1">
      <w:start w:val="1"/>
      <w:numFmt w:val="lowerLetter"/>
      <w:lvlText w:val="%8."/>
      <w:lvlJc w:val="left"/>
      <w:pPr>
        <w:ind w:left="5760" w:hanging="360"/>
      </w:pPr>
    </w:lvl>
    <w:lvl w:ilvl="8" w:tplc="254E91CC" w:tentative="1">
      <w:start w:val="1"/>
      <w:numFmt w:val="lowerRoman"/>
      <w:lvlText w:val="%9."/>
      <w:lvlJc w:val="right"/>
      <w:pPr>
        <w:ind w:left="6480" w:hanging="180"/>
      </w:pPr>
    </w:lvl>
  </w:abstractNum>
  <w:abstractNum w:abstractNumId="22" w15:restartNumberingAfterBreak="0">
    <w:nsid w:val="3C5D0C07"/>
    <w:multiLevelType w:val="hybridMultilevel"/>
    <w:tmpl w:val="4CA02766"/>
    <w:lvl w:ilvl="0" w:tplc="B34034A8">
      <w:start w:val="1"/>
      <w:numFmt w:val="decimal"/>
      <w:pStyle w:val="Numberedlist"/>
      <w:lvlText w:val="(%1)"/>
      <w:lvlJc w:val="right"/>
      <w:pPr>
        <w:ind w:left="720" w:hanging="153"/>
      </w:pPr>
      <w:rPr>
        <w:rFonts w:hint="default"/>
      </w:rPr>
    </w:lvl>
    <w:lvl w:ilvl="1" w:tplc="65B8A67A">
      <w:start w:val="1"/>
      <w:numFmt w:val="lowerLetter"/>
      <w:lvlText w:val="(%2)"/>
      <w:lvlJc w:val="left"/>
      <w:pPr>
        <w:ind w:left="1440" w:hanging="360"/>
      </w:pPr>
      <w:rPr>
        <w:rFonts w:hint="default"/>
      </w:rPr>
    </w:lvl>
    <w:lvl w:ilvl="2" w:tplc="1668F22A">
      <w:start w:val="1"/>
      <w:numFmt w:val="lowerRoman"/>
      <w:lvlText w:val="(%3)"/>
      <w:lvlJc w:val="right"/>
      <w:pPr>
        <w:ind w:left="2160" w:hanging="180"/>
      </w:pPr>
      <w:rPr>
        <w:rFonts w:hint="default"/>
      </w:rPr>
    </w:lvl>
    <w:lvl w:ilvl="3" w:tplc="FD927A42" w:tentative="1">
      <w:start w:val="1"/>
      <w:numFmt w:val="decimal"/>
      <w:lvlText w:val="%4."/>
      <w:lvlJc w:val="left"/>
      <w:pPr>
        <w:ind w:left="2880" w:hanging="360"/>
      </w:pPr>
    </w:lvl>
    <w:lvl w:ilvl="4" w:tplc="B7F2380A" w:tentative="1">
      <w:start w:val="1"/>
      <w:numFmt w:val="lowerLetter"/>
      <w:lvlText w:val="%5."/>
      <w:lvlJc w:val="left"/>
      <w:pPr>
        <w:ind w:left="3600" w:hanging="360"/>
      </w:pPr>
    </w:lvl>
    <w:lvl w:ilvl="5" w:tplc="316095B6" w:tentative="1">
      <w:start w:val="1"/>
      <w:numFmt w:val="lowerRoman"/>
      <w:lvlText w:val="%6."/>
      <w:lvlJc w:val="right"/>
      <w:pPr>
        <w:ind w:left="4320" w:hanging="180"/>
      </w:pPr>
    </w:lvl>
    <w:lvl w:ilvl="6" w:tplc="DA767910" w:tentative="1">
      <w:start w:val="1"/>
      <w:numFmt w:val="decimal"/>
      <w:lvlText w:val="%7."/>
      <w:lvlJc w:val="left"/>
      <w:pPr>
        <w:ind w:left="5040" w:hanging="360"/>
      </w:pPr>
    </w:lvl>
    <w:lvl w:ilvl="7" w:tplc="F6DAA6B6" w:tentative="1">
      <w:start w:val="1"/>
      <w:numFmt w:val="lowerLetter"/>
      <w:lvlText w:val="%8."/>
      <w:lvlJc w:val="left"/>
      <w:pPr>
        <w:ind w:left="5760" w:hanging="360"/>
      </w:pPr>
    </w:lvl>
    <w:lvl w:ilvl="8" w:tplc="16E6F966"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27D0A654">
      <w:start w:val="1"/>
      <w:numFmt w:val="decimal"/>
      <w:lvlText w:val="%1."/>
      <w:lvlJc w:val="left"/>
      <w:pPr>
        <w:ind w:left="360" w:hanging="360"/>
      </w:pPr>
      <w:rPr>
        <w:rFonts w:hint="default"/>
      </w:rPr>
    </w:lvl>
    <w:lvl w:ilvl="1" w:tplc="55200B28" w:tentative="1">
      <w:start w:val="1"/>
      <w:numFmt w:val="lowerLetter"/>
      <w:lvlText w:val="%2."/>
      <w:lvlJc w:val="left"/>
      <w:pPr>
        <w:ind w:left="1080" w:hanging="360"/>
      </w:pPr>
    </w:lvl>
    <w:lvl w:ilvl="2" w:tplc="7E62E794" w:tentative="1">
      <w:start w:val="1"/>
      <w:numFmt w:val="lowerRoman"/>
      <w:lvlText w:val="%3."/>
      <w:lvlJc w:val="right"/>
      <w:pPr>
        <w:ind w:left="1800" w:hanging="180"/>
      </w:pPr>
    </w:lvl>
    <w:lvl w:ilvl="3" w:tplc="972E6F40" w:tentative="1">
      <w:start w:val="1"/>
      <w:numFmt w:val="decimal"/>
      <w:lvlText w:val="%4."/>
      <w:lvlJc w:val="left"/>
      <w:pPr>
        <w:ind w:left="2520" w:hanging="360"/>
      </w:pPr>
    </w:lvl>
    <w:lvl w:ilvl="4" w:tplc="5F28E408" w:tentative="1">
      <w:start w:val="1"/>
      <w:numFmt w:val="lowerLetter"/>
      <w:lvlText w:val="%5."/>
      <w:lvlJc w:val="left"/>
      <w:pPr>
        <w:ind w:left="3240" w:hanging="360"/>
      </w:pPr>
    </w:lvl>
    <w:lvl w:ilvl="5" w:tplc="9A0ADC90" w:tentative="1">
      <w:start w:val="1"/>
      <w:numFmt w:val="lowerRoman"/>
      <w:lvlText w:val="%6."/>
      <w:lvlJc w:val="right"/>
      <w:pPr>
        <w:ind w:left="3960" w:hanging="180"/>
      </w:pPr>
    </w:lvl>
    <w:lvl w:ilvl="6" w:tplc="FB489960" w:tentative="1">
      <w:start w:val="1"/>
      <w:numFmt w:val="decimal"/>
      <w:lvlText w:val="%7."/>
      <w:lvlJc w:val="left"/>
      <w:pPr>
        <w:ind w:left="4680" w:hanging="360"/>
      </w:pPr>
    </w:lvl>
    <w:lvl w:ilvl="7" w:tplc="63DECE4C" w:tentative="1">
      <w:start w:val="1"/>
      <w:numFmt w:val="lowerLetter"/>
      <w:lvlText w:val="%8."/>
      <w:lvlJc w:val="left"/>
      <w:pPr>
        <w:ind w:left="5400" w:hanging="360"/>
      </w:pPr>
    </w:lvl>
    <w:lvl w:ilvl="8" w:tplc="C5422B6A" w:tentative="1">
      <w:start w:val="1"/>
      <w:numFmt w:val="lowerRoman"/>
      <w:lvlText w:val="%9."/>
      <w:lvlJc w:val="right"/>
      <w:pPr>
        <w:ind w:left="6120" w:hanging="180"/>
      </w:pPr>
    </w:lvl>
  </w:abstractNum>
  <w:abstractNum w:abstractNumId="24" w15:restartNumberingAfterBreak="0">
    <w:nsid w:val="424355E5"/>
    <w:multiLevelType w:val="multilevel"/>
    <w:tmpl w:val="EDA2F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D92973"/>
    <w:multiLevelType w:val="hybridMultilevel"/>
    <w:tmpl w:val="0DB89800"/>
    <w:lvl w:ilvl="0" w:tplc="9BF22B3C">
      <w:start w:val="1"/>
      <w:numFmt w:val="decimal"/>
      <w:lvlText w:val="%1."/>
      <w:lvlJc w:val="left"/>
      <w:pPr>
        <w:ind w:left="6315" w:hanging="360"/>
      </w:pPr>
      <w:rPr>
        <w:i w:val="0"/>
        <w:iCs w:val="0"/>
        <w:lang w:val="en-GB"/>
      </w:rPr>
    </w:lvl>
    <w:lvl w:ilvl="1" w:tplc="1EF02B64" w:tentative="1">
      <w:start w:val="1"/>
      <w:numFmt w:val="lowerLetter"/>
      <w:lvlText w:val="%2."/>
      <w:lvlJc w:val="left"/>
      <w:pPr>
        <w:ind w:left="1440" w:hanging="360"/>
      </w:pPr>
    </w:lvl>
    <w:lvl w:ilvl="2" w:tplc="07C425AC" w:tentative="1">
      <w:start w:val="1"/>
      <w:numFmt w:val="lowerRoman"/>
      <w:lvlText w:val="%3."/>
      <w:lvlJc w:val="right"/>
      <w:pPr>
        <w:ind w:left="2160" w:hanging="180"/>
      </w:pPr>
    </w:lvl>
    <w:lvl w:ilvl="3" w:tplc="A2E0DD54" w:tentative="1">
      <w:start w:val="1"/>
      <w:numFmt w:val="decimal"/>
      <w:lvlText w:val="%4."/>
      <w:lvlJc w:val="left"/>
      <w:pPr>
        <w:ind w:left="2880" w:hanging="360"/>
      </w:pPr>
    </w:lvl>
    <w:lvl w:ilvl="4" w:tplc="88DE32EC" w:tentative="1">
      <w:start w:val="1"/>
      <w:numFmt w:val="lowerLetter"/>
      <w:lvlText w:val="%5."/>
      <w:lvlJc w:val="left"/>
      <w:pPr>
        <w:ind w:left="3600" w:hanging="360"/>
      </w:pPr>
    </w:lvl>
    <w:lvl w:ilvl="5" w:tplc="04EE6F62" w:tentative="1">
      <w:start w:val="1"/>
      <w:numFmt w:val="lowerRoman"/>
      <w:lvlText w:val="%6."/>
      <w:lvlJc w:val="right"/>
      <w:pPr>
        <w:ind w:left="4320" w:hanging="180"/>
      </w:pPr>
    </w:lvl>
    <w:lvl w:ilvl="6" w:tplc="64FA2932" w:tentative="1">
      <w:start w:val="1"/>
      <w:numFmt w:val="decimal"/>
      <w:lvlText w:val="%7."/>
      <w:lvlJc w:val="left"/>
      <w:pPr>
        <w:ind w:left="5040" w:hanging="360"/>
      </w:pPr>
    </w:lvl>
    <w:lvl w:ilvl="7" w:tplc="BC44FB44" w:tentative="1">
      <w:start w:val="1"/>
      <w:numFmt w:val="lowerLetter"/>
      <w:lvlText w:val="%8."/>
      <w:lvlJc w:val="left"/>
      <w:pPr>
        <w:ind w:left="5760" w:hanging="360"/>
      </w:pPr>
    </w:lvl>
    <w:lvl w:ilvl="8" w:tplc="F78413D2" w:tentative="1">
      <w:start w:val="1"/>
      <w:numFmt w:val="lowerRoman"/>
      <w:lvlText w:val="%9."/>
      <w:lvlJc w:val="right"/>
      <w:pPr>
        <w:ind w:left="6480" w:hanging="180"/>
      </w:pPr>
    </w:lvl>
  </w:abstractNum>
  <w:abstractNum w:abstractNumId="26" w15:restartNumberingAfterBreak="0">
    <w:nsid w:val="4D1725E7"/>
    <w:multiLevelType w:val="hybridMultilevel"/>
    <w:tmpl w:val="A7A27262"/>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7" w15:restartNumberingAfterBreak="0">
    <w:nsid w:val="55073044"/>
    <w:multiLevelType w:val="multilevel"/>
    <w:tmpl w:val="B220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38135E"/>
    <w:multiLevelType w:val="hybridMultilevel"/>
    <w:tmpl w:val="68EEE13A"/>
    <w:lvl w:ilvl="0" w:tplc="726E4918">
      <w:start w:val="1"/>
      <w:numFmt w:val="bullet"/>
      <w:lvlText w:val=""/>
      <w:lvlJc w:val="left"/>
      <w:pPr>
        <w:tabs>
          <w:tab w:val="num" w:pos="720"/>
        </w:tabs>
        <w:ind w:left="720" w:hanging="360"/>
      </w:pPr>
      <w:rPr>
        <w:rFonts w:ascii="Symbol" w:hAnsi="Symbol" w:hint="default"/>
      </w:rPr>
    </w:lvl>
    <w:lvl w:ilvl="1" w:tplc="882A435E" w:tentative="1">
      <w:start w:val="1"/>
      <w:numFmt w:val="bullet"/>
      <w:lvlText w:val="o"/>
      <w:lvlJc w:val="left"/>
      <w:pPr>
        <w:tabs>
          <w:tab w:val="num" w:pos="1440"/>
        </w:tabs>
        <w:ind w:left="1440" w:hanging="360"/>
      </w:pPr>
      <w:rPr>
        <w:rFonts w:ascii="Courier New" w:hAnsi="Courier New" w:cs="Arial" w:hint="default"/>
      </w:rPr>
    </w:lvl>
    <w:lvl w:ilvl="2" w:tplc="E9C81D56" w:tentative="1">
      <w:start w:val="1"/>
      <w:numFmt w:val="bullet"/>
      <w:lvlText w:val=""/>
      <w:lvlJc w:val="left"/>
      <w:pPr>
        <w:tabs>
          <w:tab w:val="num" w:pos="2160"/>
        </w:tabs>
        <w:ind w:left="2160" w:hanging="360"/>
      </w:pPr>
      <w:rPr>
        <w:rFonts w:ascii="Wingdings" w:hAnsi="Wingdings" w:hint="default"/>
      </w:rPr>
    </w:lvl>
    <w:lvl w:ilvl="3" w:tplc="E910B1EA" w:tentative="1">
      <w:start w:val="1"/>
      <w:numFmt w:val="bullet"/>
      <w:lvlText w:val=""/>
      <w:lvlJc w:val="left"/>
      <w:pPr>
        <w:tabs>
          <w:tab w:val="num" w:pos="2880"/>
        </w:tabs>
        <w:ind w:left="2880" w:hanging="360"/>
      </w:pPr>
      <w:rPr>
        <w:rFonts w:ascii="Symbol" w:hAnsi="Symbol" w:hint="default"/>
      </w:rPr>
    </w:lvl>
    <w:lvl w:ilvl="4" w:tplc="FC88775E" w:tentative="1">
      <w:start w:val="1"/>
      <w:numFmt w:val="bullet"/>
      <w:lvlText w:val="o"/>
      <w:lvlJc w:val="left"/>
      <w:pPr>
        <w:tabs>
          <w:tab w:val="num" w:pos="3600"/>
        </w:tabs>
        <w:ind w:left="3600" w:hanging="360"/>
      </w:pPr>
      <w:rPr>
        <w:rFonts w:ascii="Courier New" w:hAnsi="Courier New" w:cs="Arial" w:hint="default"/>
      </w:rPr>
    </w:lvl>
    <w:lvl w:ilvl="5" w:tplc="B3344E42" w:tentative="1">
      <w:start w:val="1"/>
      <w:numFmt w:val="bullet"/>
      <w:lvlText w:val=""/>
      <w:lvlJc w:val="left"/>
      <w:pPr>
        <w:tabs>
          <w:tab w:val="num" w:pos="4320"/>
        </w:tabs>
        <w:ind w:left="4320" w:hanging="360"/>
      </w:pPr>
      <w:rPr>
        <w:rFonts w:ascii="Wingdings" w:hAnsi="Wingdings" w:hint="default"/>
      </w:rPr>
    </w:lvl>
    <w:lvl w:ilvl="6" w:tplc="9CC471B0" w:tentative="1">
      <w:start w:val="1"/>
      <w:numFmt w:val="bullet"/>
      <w:lvlText w:val=""/>
      <w:lvlJc w:val="left"/>
      <w:pPr>
        <w:tabs>
          <w:tab w:val="num" w:pos="5040"/>
        </w:tabs>
        <w:ind w:left="5040" w:hanging="360"/>
      </w:pPr>
      <w:rPr>
        <w:rFonts w:ascii="Symbol" w:hAnsi="Symbol" w:hint="default"/>
      </w:rPr>
    </w:lvl>
    <w:lvl w:ilvl="7" w:tplc="CFA0A7F2" w:tentative="1">
      <w:start w:val="1"/>
      <w:numFmt w:val="bullet"/>
      <w:lvlText w:val="o"/>
      <w:lvlJc w:val="left"/>
      <w:pPr>
        <w:tabs>
          <w:tab w:val="num" w:pos="5760"/>
        </w:tabs>
        <w:ind w:left="5760" w:hanging="360"/>
      </w:pPr>
      <w:rPr>
        <w:rFonts w:ascii="Courier New" w:hAnsi="Courier New" w:cs="Arial" w:hint="default"/>
      </w:rPr>
    </w:lvl>
    <w:lvl w:ilvl="8" w:tplc="89A4BE3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C31D5F"/>
    <w:multiLevelType w:val="hybridMultilevel"/>
    <w:tmpl w:val="FA6C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96BF8"/>
    <w:multiLevelType w:val="hybridMultilevel"/>
    <w:tmpl w:val="76D2C65A"/>
    <w:lvl w:ilvl="0" w:tplc="171CDF6E">
      <w:start w:val="1"/>
      <w:numFmt w:val="bullet"/>
      <w:pStyle w:val="Bulletedlist"/>
      <w:lvlText w:val=""/>
      <w:lvlJc w:val="left"/>
      <w:pPr>
        <w:ind w:left="720" w:hanging="360"/>
      </w:pPr>
      <w:rPr>
        <w:rFonts w:ascii="Symbol" w:hAnsi="Symbol" w:hint="default"/>
      </w:rPr>
    </w:lvl>
    <w:lvl w:ilvl="1" w:tplc="1C7E8AC2" w:tentative="1">
      <w:start w:val="1"/>
      <w:numFmt w:val="bullet"/>
      <w:lvlText w:val="o"/>
      <w:lvlJc w:val="left"/>
      <w:pPr>
        <w:ind w:left="1440" w:hanging="360"/>
      </w:pPr>
      <w:rPr>
        <w:rFonts w:ascii="Courier New" w:hAnsi="Courier New" w:cs="Arial" w:hint="default"/>
      </w:rPr>
    </w:lvl>
    <w:lvl w:ilvl="2" w:tplc="A9384C04" w:tentative="1">
      <w:start w:val="1"/>
      <w:numFmt w:val="bullet"/>
      <w:lvlText w:val=""/>
      <w:lvlJc w:val="left"/>
      <w:pPr>
        <w:ind w:left="2160" w:hanging="360"/>
      </w:pPr>
      <w:rPr>
        <w:rFonts w:ascii="Wingdings" w:hAnsi="Wingdings" w:hint="default"/>
      </w:rPr>
    </w:lvl>
    <w:lvl w:ilvl="3" w:tplc="CA48D576" w:tentative="1">
      <w:start w:val="1"/>
      <w:numFmt w:val="bullet"/>
      <w:lvlText w:val=""/>
      <w:lvlJc w:val="left"/>
      <w:pPr>
        <w:ind w:left="2880" w:hanging="360"/>
      </w:pPr>
      <w:rPr>
        <w:rFonts w:ascii="Symbol" w:hAnsi="Symbol" w:hint="default"/>
      </w:rPr>
    </w:lvl>
    <w:lvl w:ilvl="4" w:tplc="B570FF54" w:tentative="1">
      <w:start w:val="1"/>
      <w:numFmt w:val="bullet"/>
      <w:lvlText w:val="o"/>
      <w:lvlJc w:val="left"/>
      <w:pPr>
        <w:ind w:left="3600" w:hanging="360"/>
      </w:pPr>
      <w:rPr>
        <w:rFonts w:ascii="Courier New" w:hAnsi="Courier New" w:cs="Arial" w:hint="default"/>
      </w:rPr>
    </w:lvl>
    <w:lvl w:ilvl="5" w:tplc="E7148C32" w:tentative="1">
      <w:start w:val="1"/>
      <w:numFmt w:val="bullet"/>
      <w:lvlText w:val=""/>
      <w:lvlJc w:val="left"/>
      <w:pPr>
        <w:ind w:left="4320" w:hanging="360"/>
      </w:pPr>
      <w:rPr>
        <w:rFonts w:ascii="Wingdings" w:hAnsi="Wingdings" w:hint="default"/>
      </w:rPr>
    </w:lvl>
    <w:lvl w:ilvl="6" w:tplc="BFB4D45C" w:tentative="1">
      <w:start w:val="1"/>
      <w:numFmt w:val="bullet"/>
      <w:lvlText w:val=""/>
      <w:lvlJc w:val="left"/>
      <w:pPr>
        <w:ind w:left="5040" w:hanging="360"/>
      </w:pPr>
      <w:rPr>
        <w:rFonts w:ascii="Symbol" w:hAnsi="Symbol" w:hint="default"/>
      </w:rPr>
    </w:lvl>
    <w:lvl w:ilvl="7" w:tplc="479CA230" w:tentative="1">
      <w:start w:val="1"/>
      <w:numFmt w:val="bullet"/>
      <w:lvlText w:val="o"/>
      <w:lvlJc w:val="left"/>
      <w:pPr>
        <w:ind w:left="5760" w:hanging="360"/>
      </w:pPr>
      <w:rPr>
        <w:rFonts w:ascii="Courier New" w:hAnsi="Courier New" w:cs="Arial" w:hint="default"/>
      </w:rPr>
    </w:lvl>
    <w:lvl w:ilvl="8" w:tplc="83DE44B6" w:tentative="1">
      <w:start w:val="1"/>
      <w:numFmt w:val="bullet"/>
      <w:lvlText w:val=""/>
      <w:lvlJc w:val="left"/>
      <w:pPr>
        <w:ind w:left="6480" w:hanging="360"/>
      </w:pPr>
      <w:rPr>
        <w:rFonts w:ascii="Wingdings" w:hAnsi="Wingdings" w:hint="default"/>
      </w:rPr>
    </w:lvl>
  </w:abstractNum>
  <w:abstractNum w:abstractNumId="31" w15:restartNumberingAfterBreak="0">
    <w:nsid w:val="5C89346A"/>
    <w:multiLevelType w:val="hybridMultilevel"/>
    <w:tmpl w:val="F694165A"/>
    <w:lvl w:ilvl="0" w:tplc="CA328992">
      <w:start w:val="1"/>
      <w:numFmt w:val="bullet"/>
      <w:lvlText w:val="•"/>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80CC22">
      <w:start w:val="1"/>
      <w:numFmt w:val="bullet"/>
      <w:lvlText w:val="o"/>
      <w:lvlJc w:val="left"/>
      <w:pPr>
        <w:ind w:left="14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AB6B1C0">
      <w:start w:val="1"/>
      <w:numFmt w:val="bullet"/>
      <w:lvlText w:val="▪"/>
      <w:lvlJc w:val="left"/>
      <w:pPr>
        <w:ind w:left="21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EBC75A4">
      <w:start w:val="1"/>
      <w:numFmt w:val="bullet"/>
      <w:lvlText w:val="•"/>
      <w:lvlJc w:val="left"/>
      <w:pPr>
        <w:ind w:left="28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8CC1A92">
      <w:start w:val="1"/>
      <w:numFmt w:val="bullet"/>
      <w:lvlText w:val="o"/>
      <w:lvlJc w:val="left"/>
      <w:pPr>
        <w:ind w:left="35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24837C">
      <w:start w:val="1"/>
      <w:numFmt w:val="bullet"/>
      <w:lvlText w:val="▪"/>
      <w:lvlJc w:val="left"/>
      <w:pPr>
        <w:ind w:left="43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5CE2BA">
      <w:start w:val="1"/>
      <w:numFmt w:val="bullet"/>
      <w:lvlText w:val="•"/>
      <w:lvlJc w:val="left"/>
      <w:pPr>
        <w:ind w:left="50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11EDF4A">
      <w:start w:val="1"/>
      <w:numFmt w:val="bullet"/>
      <w:lvlText w:val="o"/>
      <w:lvlJc w:val="left"/>
      <w:pPr>
        <w:ind w:left="5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628B4B2">
      <w:start w:val="1"/>
      <w:numFmt w:val="bullet"/>
      <w:lvlText w:val="▪"/>
      <w:lvlJc w:val="left"/>
      <w:pPr>
        <w:ind w:left="64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DD751B3"/>
    <w:multiLevelType w:val="hybridMultilevel"/>
    <w:tmpl w:val="57082860"/>
    <w:lvl w:ilvl="0" w:tplc="3D26599E">
      <w:start w:val="1"/>
      <w:numFmt w:val="decimal"/>
      <w:lvlText w:val="%1."/>
      <w:lvlJc w:val="left"/>
      <w:pPr>
        <w:ind w:left="720" w:hanging="360"/>
      </w:pPr>
      <w:rPr>
        <w:rFonts w:hint="default"/>
      </w:rPr>
    </w:lvl>
    <w:lvl w:ilvl="1" w:tplc="6F0C92A0" w:tentative="1">
      <w:start w:val="1"/>
      <w:numFmt w:val="lowerLetter"/>
      <w:lvlText w:val="%2."/>
      <w:lvlJc w:val="left"/>
      <w:pPr>
        <w:ind w:left="1440" w:hanging="360"/>
      </w:pPr>
    </w:lvl>
    <w:lvl w:ilvl="2" w:tplc="9740DE44" w:tentative="1">
      <w:start w:val="1"/>
      <w:numFmt w:val="lowerRoman"/>
      <w:lvlText w:val="%3."/>
      <w:lvlJc w:val="right"/>
      <w:pPr>
        <w:ind w:left="2160" w:hanging="180"/>
      </w:pPr>
    </w:lvl>
    <w:lvl w:ilvl="3" w:tplc="8772CA5E" w:tentative="1">
      <w:start w:val="1"/>
      <w:numFmt w:val="decimal"/>
      <w:lvlText w:val="%4."/>
      <w:lvlJc w:val="left"/>
      <w:pPr>
        <w:ind w:left="2880" w:hanging="360"/>
      </w:pPr>
    </w:lvl>
    <w:lvl w:ilvl="4" w:tplc="313884C0" w:tentative="1">
      <w:start w:val="1"/>
      <w:numFmt w:val="lowerLetter"/>
      <w:lvlText w:val="%5."/>
      <w:lvlJc w:val="left"/>
      <w:pPr>
        <w:ind w:left="3600" w:hanging="360"/>
      </w:pPr>
    </w:lvl>
    <w:lvl w:ilvl="5" w:tplc="62641F1C" w:tentative="1">
      <w:start w:val="1"/>
      <w:numFmt w:val="lowerRoman"/>
      <w:lvlText w:val="%6."/>
      <w:lvlJc w:val="right"/>
      <w:pPr>
        <w:ind w:left="4320" w:hanging="180"/>
      </w:pPr>
    </w:lvl>
    <w:lvl w:ilvl="6" w:tplc="E9748A62" w:tentative="1">
      <w:start w:val="1"/>
      <w:numFmt w:val="decimal"/>
      <w:lvlText w:val="%7."/>
      <w:lvlJc w:val="left"/>
      <w:pPr>
        <w:ind w:left="5040" w:hanging="360"/>
      </w:pPr>
    </w:lvl>
    <w:lvl w:ilvl="7" w:tplc="6BE0D6F4" w:tentative="1">
      <w:start w:val="1"/>
      <w:numFmt w:val="lowerLetter"/>
      <w:lvlText w:val="%8."/>
      <w:lvlJc w:val="left"/>
      <w:pPr>
        <w:ind w:left="5760" w:hanging="360"/>
      </w:pPr>
    </w:lvl>
    <w:lvl w:ilvl="8" w:tplc="D61681D6" w:tentative="1">
      <w:start w:val="1"/>
      <w:numFmt w:val="lowerRoman"/>
      <w:lvlText w:val="%9."/>
      <w:lvlJc w:val="right"/>
      <w:pPr>
        <w:ind w:left="6480" w:hanging="180"/>
      </w:pPr>
    </w:lvl>
  </w:abstractNum>
  <w:abstractNum w:abstractNumId="33" w15:restartNumberingAfterBreak="0">
    <w:nsid w:val="5F773261"/>
    <w:multiLevelType w:val="hybridMultilevel"/>
    <w:tmpl w:val="E76CBDCA"/>
    <w:lvl w:ilvl="0" w:tplc="D982F610">
      <w:start w:val="1"/>
      <w:numFmt w:val="decimal"/>
      <w:lvlText w:val="%1."/>
      <w:lvlJc w:val="left"/>
      <w:pPr>
        <w:ind w:left="1287" w:hanging="360"/>
      </w:pPr>
    </w:lvl>
    <w:lvl w:ilvl="1" w:tplc="6890E40E" w:tentative="1">
      <w:start w:val="1"/>
      <w:numFmt w:val="lowerLetter"/>
      <w:lvlText w:val="%2."/>
      <w:lvlJc w:val="left"/>
      <w:pPr>
        <w:ind w:left="2007" w:hanging="360"/>
      </w:pPr>
    </w:lvl>
    <w:lvl w:ilvl="2" w:tplc="96A23D4A" w:tentative="1">
      <w:start w:val="1"/>
      <w:numFmt w:val="lowerRoman"/>
      <w:lvlText w:val="%3."/>
      <w:lvlJc w:val="right"/>
      <w:pPr>
        <w:ind w:left="2727" w:hanging="180"/>
      </w:pPr>
    </w:lvl>
    <w:lvl w:ilvl="3" w:tplc="D31096BE" w:tentative="1">
      <w:start w:val="1"/>
      <w:numFmt w:val="decimal"/>
      <w:lvlText w:val="%4."/>
      <w:lvlJc w:val="left"/>
      <w:pPr>
        <w:ind w:left="3447" w:hanging="360"/>
      </w:pPr>
    </w:lvl>
    <w:lvl w:ilvl="4" w:tplc="6DDC11F6" w:tentative="1">
      <w:start w:val="1"/>
      <w:numFmt w:val="lowerLetter"/>
      <w:lvlText w:val="%5."/>
      <w:lvlJc w:val="left"/>
      <w:pPr>
        <w:ind w:left="4167" w:hanging="360"/>
      </w:pPr>
    </w:lvl>
    <w:lvl w:ilvl="5" w:tplc="768A1A6A" w:tentative="1">
      <w:start w:val="1"/>
      <w:numFmt w:val="lowerRoman"/>
      <w:lvlText w:val="%6."/>
      <w:lvlJc w:val="right"/>
      <w:pPr>
        <w:ind w:left="4887" w:hanging="180"/>
      </w:pPr>
    </w:lvl>
    <w:lvl w:ilvl="6" w:tplc="9564B802" w:tentative="1">
      <w:start w:val="1"/>
      <w:numFmt w:val="decimal"/>
      <w:lvlText w:val="%7."/>
      <w:lvlJc w:val="left"/>
      <w:pPr>
        <w:ind w:left="5607" w:hanging="360"/>
      </w:pPr>
    </w:lvl>
    <w:lvl w:ilvl="7" w:tplc="C286036A" w:tentative="1">
      <w:start w:val="1"/>
      <w:numFmt w:val="lowerLetter"/>
      <w:lvlText w:val="%8."/>
      <w:lvlJc w:val="left"/>
      <w:pPr>
        <w:ind w:left="6327" w:hanging="360"/>
      </w:pPr>
    </w:lvl>
    <w:lvl w:ilvl="8" w:tplc="64C67830" w:tentative="1">
      <w:start w:val="1"/>
      <w:numFmt w:val="lowerRoman"/>
      <w:lvlText w:val="%9."/>
      <w:lvlJc w:val="right"/>
      <w:pPr>
        <w:ind w:left="7047" w:hanging="180"/>
      </w:pPr>
    </w:lvl>
  </w:abstractNum>
  <w:abstractNum w:abstractNumId="34" w15:restartNumberingAfterBreak="0">
    <w:nsid w:val="601E2CDC"/>
    <w:multiLevelType w:val="hybridMultilevel"/>
    <w:tmpl w:val="C84231E2"/>
    <w:lvl w:ilvl="0" w:tplc="10284B74">
      <w:start w:val="1"/>
      <w:numFmt w:val="decimal"/>
      <w:lvlText w:val="%1)"/>
      <w:lvlJc w:val="left"/>
      <w:pPr>
        <w:ind w:left="2520" w:hanging="360"/>
      </w:pPr>
      <w:rPr>
        <w:rFonts w:hint="default"/>
      </w:rPr>
    </w:lvl>
    <w:lvl w:ilvl="1" w:tplc="0F822A0C">
      <w:start w:val="1"/>
      <w:numFmt w:val="lowerLetter"/>
      <w:lvlText w:val="%2."/>
      <w:lvlJc w:val="left"/>
      <w:pPr>
        <w:ind w:left="3240" w:hanging="360"/>
      </w:pPr>
    </w:lvl>
    <w:lvl w:ilvl="2" w:tplc="86E22716" w:tentative="1">
      <w:start w:val="1"/>
      <w:numFmt w:val="lowerRoman"/>
      <w:lvlText w:val="%3."/>
      <w:lvlJc w:val="right"/>
      <w:pPr>
        <w:ind w:left="3960" w:hanging="180"/>
      </w:pPr>
    </w:lvl>
    <w:lvl w:ilvl="3" w:tplc="E15ABF2C" w:tentative="1">
      <w:start w:val="1"/>
      <w:numFmt w:val="decimal"/>
      <w:lvlText w:val="%4."/>
      <w:lvlJc w:val="left"/>
      <w:pPr>
        <w:ind w:left="4680" w:hanging="360"/>
      </w:pPr>
    </w:lvl>
    <w:lvl w:ilvl="4" w:tplc="88E4FADA" w:tentative="1">
      <w:start w:val="1"/>
      <w:numFmt w:val="lowerLetter"/>
      <w:lvlText w:val="%5."/>
      <w:lvlJc w:val="left"/>
      <w:pPr>
        <w:ind w:left="5400" w:hanging="360"/>
      </w:pPr>
    </w:lvl>
    <w:lvl w:ilvl="5" w:tplc="02328956" w:tentative="1">
      <w:start w:val="1"/>
      <w:numFmt w:val="lowerRoman"/>
      <w:lvlText w:val="%6."/>
      <w:lvlJc w:val="right"/>
      <w:pPr>
        <w:ind w:left="6120" w:hanging="180"/>
      </w:pPr>
    </w:lvl>
    <w:lvl w:ilvl="6" w:tplc="257EBDB0" w:tentative="1">
      <w:start w:val="1"/>
      <w:numFmt w:val="decimal"/>
      <w:lvlText w:val="%7."/>
      <w:lvlJc w:val="left"/>
      <w:pPr>
        <w:ind w:left="6840" w:hanging="360"/>
      </w:pPr>
    </w:lvl>
    <w:lvl w:ilvl="7" w:tplc="C1DA3CF4" w:tentative="1">
      <w:start w:val="1"/>
      <w:numFmt w:val="lowerLetter"/>
      <w:lvlText w:val="%8."/>
      <w:lvlJc w:val="left"/>
      <w:pPr>
        <w:ind w:left="7560" w:hanging="360"/>
      </w:pPr>
    </w:lvl>
    <w:lvl w:ilvl="8" w:tplc="EA045B08" w:tentative="1">
      <w:start w:val="1"/>
      <w:numFmt w:val="lowerRoman"/>
      <w:lvlText w:val="%9."/>
      <w:lvlJc w:val="right"/>
      <w:pPr>
        <w:ind w:left="8280" w:hanging="180"/>
      </w:pPr>
    </w:lvl>
  </w:abstractNum>
  <w:abstractNum w:abstractNumId="35" w15:restartNumberingAfterBreak="0">
    <w:nsid w:val="63015A2E"/>
    <w:multiLevelType w:val="hybridMultilevel"/>
    <w:tmpl w:val="23221B56"/>
    <w:lvl w:ilvl="0" w:tplc="25881C42">
      <w:start w:val="1"/>
      <w:numFmt w:val="decimal"/>
      <w:lvlText w:val="(%1)"/>
      <w:lvlJc w:val="left"/>
      <w:pPr>
        <w:ind w:left="720" w:hanging="360"/>
      </w:pPr>
      <w:rPr>
        <w:rFonts w:hint="default"/>
      </w:rPr>
    </w:lvl>
    <w:lvl w:ilvl="1" w:tplc="5F3E6206" w:tentative="1">
      <w:start w:val="1"/>
      <w:numFmt w:val="lowerLetter"/>
      <w:lvlText w:val="%2."/>
      <w:lvlJc w:val="left"/>
      <w:pPr>
        <w:ind w:left="1440" w:hanging="360"/>
      </w:pPr>
    </w:lvl>
    <w:lvl w:ilvl="2" w:tplc="1110F86A" w:tentative="1">
      <w:start w:val="1"/>
      <w:numFmt w:val="lowerRoman"/>
      <w:lvlText w:val="%3."/>
      <w:lvlJc w:val="right"/>
      <w:pPr>
        <w:ind w:left="2160" w:hanging="180"/>
      </w:pPr>
    </w:lvl>
    <w:lvl w:ilvl="3" w:tplc="98742E3E" w:tentative="1">
      <w:start w:val="1"/>
      <w:numFmt w:val="decimal"/>
      <w:lvlText w:val="%4."/>
      <w:lvlJc w:val="left"/>
      <w:pPr>
        <w:ind w:left="2880" w:hanging="360"/>
      </w:pPr>
    </w:lvl>
    <w:lvl w:ilvl="4" w:tplc="45843D40" w:tentative="1">
      <w:start w:val="1"/>
      <w:numFmt w:val="lowerLetter"/>
      <w:lvlText w:val="%5."/>
      <w:lvlJc w:val="left"/>
      <w:pPr>
        <w:ind w:left="3600" w:hanging="360"/>
      </w:pPr>
    </w:lvl>
    <w:lvl w:ilvl="5" w:tplc="3F5AB546" w:tentative="1">
      <w:start w:val="1"/>
      <w:numFmt w:val="lowerRoman"/>
      <w:lvlText w:val="%6."/>
      <w:lvlJc w:val="right"/>
      <w:pPr>
        <w:ind w:left="4320" w:hanging="180"/>
      </w:pPr>
    </w:lvl>
    <w:lvl w:ilvl="6" w:tplc="C756E7E6" w:tentative="1">
      <w:start w:val="1"/>
      <w:numFmt w:val="decimal"/>
      <w:lvlText w:val="%7."/>
      <w:lvlJc w:val="left"/>
      <w:pPr>
        <w:ind w:left="5040" w:hanging="360"/>
      </w:pPr>
    </w:lvl>
    <w:lvl w:ilvl="7" w:tplc="083427C6" w:tentative="1">
      <w:start w:val="1"/>
      <w:numFmt w:val="lowerLetter"/>
      <w:lvlText w:val="%8."/>
      <w:lvlJc w:val="left"/>
      <w:pPr>
        <w:ind w:left="5760" w:hanging="360"/>
      </w:pPr>
    </w:lvl>
    <w:lvl w:ilvl="8" w:tplc="4B821F0C" w:tentative="1">
      <w:start w:val="1"/>
      <w:numFmt w:val="lowerRoman"/>
      <w:lvlText w:val="%9."/>
      <w:lvlJc w:val="right"/>
      <w:pPr>
        <w:ind w:left="6480" w:hanging="180"/>
      </w:pPr>
    </w:lvl>
  </w:abstractNum>
  <w:abstractNum w:abstractNumId="36" w15:restartNumberingAfterBreak="0">
    <w:nsid w:val="63FA38AF"/>
    <w:multiLevelType w:val="hybridMultilevel"/>
    <w:tmpl w:val="C96A95C2"/>
    <w:lvl w:ilvl="0" w:tplc="5970923C">
      <w:start w:val="1"/>
      <w:numFmt w:val="decimal"/>
      <w:lvlText w:val="%1."/>
      <w:lvlJc w:val="left"/>
      <w:pPr>
        <w:ind w:left="720" w:hanging="360"/>
      </w:pPr>
      <w:rPr>
        <w:rFonts w:hint="default"/>
      </w:rPr>
    </w:lvl>
    <w:lvl w:ilvl="1" w:tplc="7D50D9F8" w:tentative="1">
      <w:start w:val="1"/>
      <w:numFmt w:val="lowerLetter"/>
      <w:lvlText w:val="%2."/>
      <w:lvlJc w:val="left"/>
      <w:pPr>
        <w:ind w:left="1440" w:hanging="360"/>
      </w:pPr>
    </w:lvl>
    <w:lvl w:ilvl="2" w:tplc="A3EE6608" w:tentative="1">
      <w:start w:val="1"/>
      <w:numFmt w:val="lowerRoman"/>
      <w:lvlText w:val="%3."/>
      <w:lvlJc w:val="right"/>
      <w:pPr>
        <w:ind w:left="2160" w:hanging="180"/>
      </w:pPr>
    </w:lvl>
    <w:lvl w:ilvl="3" w:tplc="9AAE8162" w:tentative="1">
      <w:start w:val="1"/>
      <w:numFmt w:val="decimal"/>
      <w:lvlText w:val="%4."/>
      <w:lvlJc w:val="left"/>
      <w:pPr>
        <w:ind w:left="2880" w:hanging="360"/>
      </w:pPr>
    </w:lvl>
    <w:lvl w:ilvl="4" w:tplc="FD88FA48" w:tentative="1">
      <w:start w:val="1"/>
      <w:numFmt w:val="lowerLetter"/>
      <w:lvlText w:val="%5."/>
      <w:lvlJc w:val="left"/>
      <w:pPr>
        <w:ind w:left="3600" w:hanging="360"/>
      </w:pPr>
    </w:lvl>
    <w:lvl w:ilvl="5" w:tplc="459E156A" w:tentative="1">
      <w:start w:val="1"/>
      <w:numFmt w:val="lowerRoman"/>
      <w:lvlText w:val="%6."/>
      <w:lvlJc w:val="right"/>
      <w:pPr>
        <w:ind w:left="4320" w:hanging="180"/>
      </w:pPr>
    </w:lvl>
    <w:lvl w:ilvl="6" w:tplc="F8F67D82" w:tentative="1">
      <w:start w:val="1"/>
      <w:numFmt w:val="decimal"/>
      <w:lvlText w:val="%7."/>
      <w:lvlJc w:val="left"/>
      <w:pPr>
        <w:ind w:left="5040" w:hanging="360"/>
      </w:pPr>
    </w:lvl>
    <w:lvl w:ilvl="7" w:tplc="576AF1E8" w:tentative="1">
      <w:start w:val="1"/>
      <w:numFmt w:val="lowerLetter"/>
      <w:lvlText w:val="%8."/>
      <w:lvlJc w:val="left"/>
      <w:pPr>
        <w:ind w:left="5760" w:hanging="360"/>
      </w:pPr>
    </w:lvl>
    <w:lvl w:ilvl="8" w:tplc="F3163A80" w:tentative="1">
      <w:start w:val="1"/>
      <w:numFmt w:val="lowerRoman"/>
      <w:lvlText w:val="%9."/>
      <w:lvlJc w:val="right"/>
      <w:pPr>
        <w:ind w:left="6480" w:hanging="180"/>
      </w:pPr>
    </w:lvl>
  </w:abstractNum>
  <w:abstractNum w:abstractNumId="37" w15:restartNumberingAfterBreak="0">
    <w:nsid w:val="69E3073B"/>
    <w:multiLevelType w:val="hybridMultilevel"/>
    <w:tmpl w:val="55089048"/>
    <w:lvl w:ilvl="0" w:tplc="7F86B2A0">
      <w:start w:val="1"/>
      <w:numFmt w:val="decimal"/>
      <w:lvlText w:val="%1)"/>
      <w:lvlJc w:val="left"/>
      <w:pPr>
        <w:ind w:left="720" w:hanging="360"/>
      </w:pPr>
      <w:rPr>
        <w:rFonts w:hint="default"/>
      </w:rPr>
    </w:lvl>
    <w:lvl w:ilvl="1" w:tplc="1D22EB8C" w:tentative="1">
      <w:start w:val="1"/>
      <w:numFmt w:val="lowerLetter"/>
      <w:lvlText w:val="%2."/>
      <w:lvlJc w:val="left"/>
      <w:pPr>
        <w:ind w:left="1440" w:hanging="360"/>
      </w:pPr>
    </w:lvl>
    <w:lvl w:ilvl="2" w:tplc="02082F6C" w:tentative="1">
      <w:start w:val="1"/>
      <w:numFmt w:val="lowerRoman"/>
      <w:lvlText w:val="%3."/>
      <w:lvlJc w:val="right"/>
      <w:pPr>
        <w:ind w:left="2160" w:hanging="180"/>
      </w:pPr>
    </w:lvl>
    <w:lvl w:ilvl="3" w:tplc="A48AC5DC" w:tentative="1">
      <w:start w:val="1"/>
      <w:numFmt w:val="decimal"/>
      <w:lvlText w:val="%4."/>
      <w:lvlJc w:val="left"/>
      <w:pPr>
        <w:ind w:left="2880" w:hanging="360"/>
      </w:pPr>
    </w:lvl>
    <w:lvl w:ilvl="4" w:tplc="009E1A00" w:tentative="1">
      <w:start w:val="1"/>
      <w:numFmt w:val="lowerLetter"/>
      <w:lvlText w:val="%5."/>
      <w:lvlJc w:val="left"/>
      <w:pPr>
        <w:ind w:left="3600" w:hanging="360"/>
      </w:pPr>
    </w:lvl>
    <w:lvl w:ilvl="5" w:tplc="E5DCDFEA" w:tentative="1">
      <w:start w:val="1"/>
      <w:numFmt w:val="lowerRoman"/>
      <w:lvlText w:val="%6."/>
      <w:lvlJc w:val="right"/>
      <w:pPr>
        <w:ind w:left="4320" w:hanging="180"/>
      </w:pPr>
    </w:lvl>
    <w:lvl w:ilvl="6" w:tplc="B5A046B6" w:tentative="1">
      <w:start w:val="1"/>
      <w:numFmt w:val="decimal"/>
      <w:lvlText w:val="%7."/>
      <w:lvlJc w:val="left"/>
      <w:pPr>
        <w:ind w:left="5040" w:hanging="360"/>
      </w:pPr>
    </w:lvl>
    <w:lvl w:ilvl="7" w:tplc="00AAD786" w:tentative="1">
      <w:start w:val="1"/>
      <w:numFmt w:val="lowerLetter"/>
      <w:lvlText w:val="%8."/>
      <w:lvlJc w:val="left"/>
      <w:pPr>
        <w:ind w:left="5760" w:hanging="360"/>
      </w:pPr>
    </w:lvl>
    <w:lvl w:ilvl="8" w:tplc="F0B4DAF6" w:tentative="1">
      <w:start w:val="1"/>
      <w:numFmt w:val="lowerRoman"/>
      <w:lvlText w:val="%9."/>
      <w:lvlJc w:val="right"/>
      <w:pPr>
        <w:ind w:left="6480" w:hanging="180"/>
      </w:pPr>
    </w:lvl>
  </w:abstractNum>
  <w:abstractNum w:abstractNumId="38" w15:restartNumberingAfterBreak="0">
    <w:nsid w:val="6AB73CEC"/>
    <w:multiLevelType w:val="hybridMultilevel"/>
    <w:tmpl w:val="E49CE714"/>
    <w:lvl w:ilvl="0" w:tplc="ADFE6C18">
      <w:start w:val="1"/>
      <w:numFmt w:val="decimal"/>
      <w:lvlText w:val="%1."/>
      <w:lvlJc w:val="left"/>
      <w:pPr>
        <w:ind w:left="720" w:hanging="360"/>
      </w:pPr>
    </w:lvl>
    <w:lvl w:ilvl="1" w:tplc="5ACA6A14" w:tentative="1">
      <w:start w:val="1"/>
      <w:numFmt w:val="lowerLetter"/>
      <w:lvlText w:val="%2."/>
      <w:lvlJc w:val="left"/>
      <w:pPr>
        <w:ind w:left="1440" w:hanging="360"/>
      </w:pPr>
    </w:lvl>
    <w:lvl w:ilvl="2" w:tplc="F78C537A" w:tentative="1">
      <w:start w:val="1"/>
      <w:numFmt w:val="lowerRoman"/>
      <w:lvlText w:val="%3."/>
      <w:lvlJc w:val="right"/>
      <w:pPr>
        <w:ind w:left="2160" w:hanging="180"/>
      </w:pPr>
    </w:lvl>
    <w:lvl w:ilvl="3" w:tplc="E736A796" w:tentative="1">
      <w:start w:val="1"/>
      <w:numFmt w:val="decimal"/>
      <w:lvlText w:val="%4."/>
      <w:lvlJc w:val="left"/>
      <w:pPr>
        <w:ind w:left="2880" w:hanging="360"/>
      </w:pPr>
    </w:lvl>
    <w:lvl w:ilvl="4" w:tplc="96109294" w:tentative="1">
      <w:start w:val="1"/>
      <w:numFmt w:val="lowerLetter"/>
      <w:lvlText w:val="%5."/>
      <w:lvlJc w:val="left"/>
      <w:pPr>
        <w:ind w:left="3600" w:hanging="360"/>
      </w:pPr>
    </w:lvl>
    <w:lvl w:ilvl="5" w:tplc="E4BA61D4" w:tentative="1">
      <w:start w:val="1"/>
      <w:numFmt w:val="lowerRoman"/>
      <w:lvlText w:val="%6."/>
      <w:lvlJc w:val="right"/>
      <w:pPr>
        <w:ind w:left="4320" w:hanging="180"/>
      </w:pPr>
    </w:lvl>
    <w:lvl w:ilvl="6" w:tplc="A0FEA554" w:tentative="1">
      <w:start w:val="1"/>
      <w:numFmt w:val="decimal"/>
      <w:lvlText w:val="%7."/>
      <w:lvlJc w:val="left"/>
      <w:pPr>
        <w:ind w:left="5040" w:hanging="360"/>
      </w:pPr>
    </w:lvl>
    <w:lvl w:ilvl="7" w:tplc="05640780" w:tentative="1">
      <w:start w:val="1"/>
      <w:numFmt w:val="lowerLetter"/>
      <w:lvlText w:val="%8."/>
      <w:lvlJc w:val="left"/>
      <w:pPr>
        <w:ind w:left="5760" w:hanging="360"/>
      </w:pPr>
    </w:lvl>
    <w:lvl w:ilvl="8" w:tplc="F39C3650" w:tentative="1">
      <w:start w:val="1"/>
      <w:numFmt w:val="lowerRoman"/>
      <w:lvlText w:val="%9."/>
      <w:lvlJc w:val="right"/>
      <w:pPr>
        <w:ind w:left="6480" w:hanging="180"/>
      </w:pPr>
    </w:lvl>
  </w:abstractNum>
  <w:abstractNum w:abstractNumId="3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4081681">
    <w:abstractNumId w:val="31"/>
  </w:num>
  <w:num w:numId="2" w16cid:durableId="54165017">
    <w:abstractNumId w:val="21"/>
  </w:num>
  <w:num w:numId="3" w16cid:durableId="1775322307">
    <w:abstractNumId w:val="37"/>
  </w:num>
  <w:num w:numId="4" w16cid:durableId="996954476">
    <w:abstractNumId w:val="34"/>
  </w:num>
  <w:num w:numId="5" w16cid:durableId="1456289956">
    <w:abstractNumId w:val="17"/>
  </w:num>
  <w:num w:numId="6" w16cid:durableId="688944893">
    <w:abstractNumId w:val="25"/>
  </w:num>
  <w:num w:numId="7" w16cid:durableId="361368008">
    <w:abstractNumId w:val="18"/>
  </w:num>
  <w:num w:numId="8" w16cid:durableId="2053769694">
    <w:abstractNumId w:val="28"/>
  </w:num>
  <w:num w:numId="9" w16cid:durableId="1259824998">
    <w:abstractNumId w:val="1"/>
  </w:num>
  <w:num w:numId="10" w16cid:durableId="187791326">
    <w:abstractNumId w:val="2"/>
  </w:num>
  <w:num w:numId="11" w16cid:durableId="1144353691">
    <w:abstractNumId w:val="3"/>
  </w:num>
  <w:num w:numId="12" w16cid:durableId="1523938329">
    <w:abstractNumId w:val="4"/>
  </w:num>
  <w:num w:numId="13" w16cid:durableId="586614593">
    <w:abstractNumId w:val="9"/>
  </w:num>
  <w:num w:numId="14" w16cid:durableId="1786265285">
    <w:abstractNumId w:val="5"/>
  </w:num>
  <w:num w:numId="15" w16cid:durableId="1509364720">
    <w:abstractNumId w:val="7"/>
  </w:num>
  <w:num w:numId="16" w16cid:durableId="422382698">
    <w:abstractNumId w:val="6"/>
  </w:num>
  <w:num w:numId="17" w16cid:durableId="1598831966">
    <w:abstractNumId w:val="10"/>
  </w:num>
  <w:num w:numId="18" w16cid:durableId="2037348881">
    <w:abstractNumId w:val="8"/>
  </w:num>
  <w:num w:numId="19" w16cid:durableId="821895563">
    <w:abstractNumId w:val="22"/>
  </w:num>
  <w:num w:numId="20" w16cid:durableId="171844619">
    <w:abstractNumId w:val="30"/>
  </w:num>
  <w:num w:numId="21" w16cid:durableId="45569248">
    <w:abstractNumId w:val="16"/>
  </w:num>
  <w:num w:numId="22" w16cid:durableId="1299143169">
    <w:abstractNumId w:val="20"/>
  </w:num>
  <w:num w:numId="23" w16cid:durableId="582644616">
    <w:abstractNumId w:val="12"/>
  </w:num>
  <w:num w:numId="24" w16cid:durableId="1914778602">
    <w:abstractNumId w:val="0"/>
  </w:num>
  <w:num w:numId="25" w16cid:durableId="1295674477">
    <w:abstractNumId w:val="14"/>
  </w:num>
  <w:num w:numId="26" w16cid:durableId="1651203755">
    <w:abstractNumId w:val="23"/>
  </w:num>
  <w:num w:numId="27" w16cid:durableId="489449456">
    <w:abstractNumId w:val="32"/>
  </w:num>
  <w:num w:numId="28" w16cid:durableId="741683233">
    <w:abstractNumId w:val="36"/>
  </w:num>
  <w:num w:numId="29" w16cid:durableId="644316682">
    <w:abstractNumId w:val="15"/>
  </w:num>
  <w:num w:numId="30" w16cid:durableId="589892118">
    <w:abstractNumId w:val="39"/>
  </w:num>
  <w:num w:numId="31" w16cid:durableId="723794443">
    <w:abstractNumId w:val="33"/>
  </w:num>
  <w:num w:numId="32" w16cid:durableId="1916940293">
    <w:abstractNumId w:val="13"/>
  </w:num>
  <w:num w:numId="33" w16cid:durableId="1958288966">
    <w:abstractNumId w:val="11"/>
  </w:num>
  <w:num w:numId="34" w16cid:durableId="529681669">
    <w:abstractNumId w:val="19"/>
  </w:num>
  <w:num w:numId="35" w16cid:durableId="276186261">
    <w:abstractNumId w:val="35"/>
  </w:num>
  <w:num w:numId="36" w16cid:durableId="1429347681">
    <w:abstractNumId w:val="24"/>
  </w:num>
  <w:num w:numId="37" w16cid:durableId="1008679125">
    <w:abstractNumId w:val="38"/>
  </w:num>
  <w:num w:numId="38" w16cid:durableId="2070495313">
    <w:abstractNumId w:val="27"/>
  </w:num>
  <w:num w:numId="39" w16cid:durableId="835851237">
    <w:abstractNumId w:val="29"/>
  </w:num>
  <w:num w:numId="40" w16cid:durableId="19183946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714"/>
    <w:rsid w:val="00001E88"/>
    <w:rsid w:val="00012470"/>
    <w:rsid w:val="0001262D"/>
    <w:rsid w:val="000144BC"/>
    <w:rsid w:val="00014686"/>
    <w:rsid w:val="00014ED7"/>
    <w:rsid w:val="00016BB2"/>
    <w:rsid w:val="00025F74"/>
    <w:rsid w:val="00047F9B"/>
    <w:rsid w:val="00053B57"/>
    <w:rsid w:val="00054D8B"/>
    <w:rsid w:val="000568EB"/>
    <w:rsid w:val="0006282A"/>
    <w:rsid w:val="00071646"/>
    <w:rsid w:val="00080CDA"/>
    <w:rsid w:val="0008486E"/>
    <w:rsid w:val="00086803"/>
    <w:rsid w:val="000902E5"/>
    <w:rsid w:val="00094B54"/>
    <w:rsid w:val="00094DDA"/>
    <w:rsid w:val="000A1D3F"/>
    <w:rsid w:val="000A2323"/>
    <w:rsid w:val="000B27DD"/>
    <w:rsid w:val="000E3D56"/>
    <w:rsid w:val="000F1083"/>
    <w:rsid w:val="00105B94"/>
    <w:rsid w:val="00126FA2"/>
    <w:rsid w:val="00131090"/>
    <w:rsid w:val="00142E58"/>
    <w:rsid w:val="001662F7"/>
    <w:rsid w:val="00194043"/>
    <w:rsid w:val="00194900"/>
    <w:rsid w:val="001B1A81"/>
    <w:rsid w:val="001B4976"/>
    <w:rsid w:val="001C2A84"/>
    <w:rsid w:val="001C46BF"/>
    <w:rsid w:val="001D09FC"/>
    <w:rsid w:val="001F00A6"/>
    <w:rsid w:val="001F2EF5"/>
    <w:rsid w:val="002057AC"/>
    <w:rsid w:val="00205F23"/>
    <w:rsid w:val="00206AC8"/>
    <w:rsid w:val="00207CAB"/>
    <w:rsid w:val="00211B23"/>
    <w:rsid w:val="00215BAB"/>
    <w:rsid w:val="00247099"/>
    <w:rsid w:val="00255BC1"/>
    <w:rsid w:val="00261003"/>
    <w:rsid w:val="00271714"/>
    <w:rsid w:val="0027286E"/>
    <w:rsid w:val="002733EF"/>
    <w:rsid w:val="002815D1"/>
    <w:rsid w:val="0028620C"/>
    <w:rsid w:val="002911A8"/>
    <w:rsid w:val="002A61D1"/>
    <w:rsid w:val="002B27BF"/>
    <w:rsid w:val="002B49A3"/>
    <w:rsid w:val="002C59BC"/>
    <w:rsid w:val="002C6E01"/>
    <w:rsid w:val="002C77A8"/>
    <w:rsid w:val="002D38C4"/>
    <w:rsid w:val="002F57B1"/>
    <w:rsid w:val="002F733F"/>
    <w:rsid w:val="002F749C"/>
    <w:rsid w:val="00303B5A"/>
    <w:rsid w:val="00303F4E"/>
    <w:rsid w:val="00316BD4"/>
    <w:rsid w:val="003273A9"/>
    <w:rsid w:val="0033338F"/>
    <w:rsid w:val="00334458"/>
    <w:rsid w:val="00341BD1"/>
    <w:rsid w:val="00352F4F"/>
    <w:rsid w:val="00360CF0"/>
    <w:rsid w:val="003671D9"/>
    <w:rsid w:val="00372F41"/>
    <w:rsid w:val="003902DF"/>
    <w:rsid w:val="00391C2D"/>
    <w:rsid w:val="003A0E5E"/>
    <w:rsid w:val="003A3631"/>
    <w:rsid w:val="003B4474"/>
    <w:rsid w:val="003C09B8"/>
    <w:rsid w:val="003D07A6"/>
    <w:rsid w:val="003D53BC"/>
    <w:rsid w:val="003D64FB"/>
    <w:rsid w:val="003D7EFF"/>
    <w:rsid w:val="003E534B"/>
    <w:rsid w:val="003F2A0A"/>
    <w:rsid w:val="003F46EA"/>
    <w:rsid w:val="004021E4"/>
    <w:rsid w:val="004168FE"/>
    <w:rsid w:val="00432555"/>
    <w:rsid w:val="004331AE"/>
    <w:rsid w:val="00446E90"/>
    <w:rsid w:val="00451424"/>
    <w:rsid w:val="0045180A"/>
    <w:rsid w:val="00462E1B"/>
    <w:rsid w:val="00463234"/>
    <w:rsid w:val="00465527"/>
    <w:rsid w:val="00466416"/>
    <w:rsid w:val="00476EB0"/>
    <w:rsid w:val="00480912"/>
    <w:rsid w:val="004935E2"/>
    <w:rsid w:val="00495CBB"/>
    <w:rsid w:val="00496683"/>
    <w:rsid w:val="004B44F0"/>
    <w:rsid w:val="004F3C93"/>
    <w:rsid w:val="004F40AA"/>
    <w:rsid w:val="004F5FA3"/>
    <w:rsid w:val="005076C7"/>
    <w:rsid w:val="00516ECB"/>
    <w:rsid w:val="00543897"/>
    <w:rsid w:val="00560BB9"/>
    <w:rsid w:val="00560D6F"/>
    <w:rsid w:val="00566E48"/>
    <w:rsid w:val="00571776"/>
    <w:rsid w:val="00572CB2"/>
    <w:rsid w:val="0058221C"/>
    <w:rsid w:val="00591D88"/>
    <w:rsid w:val="0059710D"/>
    <w:rsid w:val="005A41E3"/>
    <w:rsid w:val="005A7B14"/>
    <w:rsid w:val="005B3166"/>
    <w:rsid w:val="005B3774"/>
    <w:rsid w:val="005D6A4F"/>
    <w:rsid w:val="005E72DB"/>
    <w:rsid w:val="005F25C6"/>
    <w:rsid w:val="006128D2"/>
    <w:rsid w:val="0062000C"/>
    <w:rsid w:val="00621AE5"/>
    <w:rsid w:val="006268FC"/>
    <w:rsid w:val="0064495C"/>
    <w:rsid w:val="00647AE5"/>
    <w:rsid w:val="00651079"/>
    <w:rsid w:val="0065306C"/>
    <w:rsid w:val="00660324"/>
    <w:rsid w:val="00670D84"/>
    <w:rsid w:val="00677C63"/>
    <w:rsid w:val="00684DCD"/>
    <w:rsid w:val="00687DC6"/>
    <w:rsid w:val="006909DE"/>
    <w:rsid w:val="00692C74"/>
    <w:rsid w:val="0069370D"/>
    <w:rsid w:val="006B3F3A"/>
    <w:rsid w:val="006E3087"/>
    <w:rsid w:val="006F0090"/>
    <w:rsid w:val="006F2A44"/>
    <w:rsid w:val="006F2BC0"/>
    <w:rsid w:val="006F669E"/>
    <w:rsid w:val="00703FF9"/>
    <w:rsid w:val="007127D9"/>
    <w:rsid w:val="00722B8B"/>
    <w:rsid w:val="00727272"/>
    <w:rsid w:val="00743D8F"/>
    <w:rsid w:val="00744945"/>
    <w:rsid w:val="0074591D"/>
    <w:rsid w:val="00747EA2"/>
    <w:rsid w:val="0075105C"/>
    <w:rsid w:val="00753F44"/>
    <w:rsid w:val="00755C4E"/>
    <w:rsid w:val="00762E07"/>
    <w:rsid w:val="00765C79"/>
    <w:rsid w:val="00770A2C"/>
    <w:rsid w:val="007713FE"/>
    <w:rsid w:val="00794784"/>
    <w:rsid w:val="007A3ED4"/>
    <w:rsid w:val="007A4D06"/>
    <w:rsid w:val="007B01AA"/>
    <w:rsid w:val="007B17CC"/>
    <w:rsid w:val="007B494F"/>
    <w:rsid w:val="007B5944"/>
    <w:rsid w:val="007C073B"/>
    <w:rsid w:val="007C4DEA"/>
    <w:rsid w:val="007D1DC7"/>
    <w:rsid w:val="007E71C3"/>
    <w:rsid w:val="007F05FB"/>
    <w:rsid w:val="007F6D0A"/>
    <w:rsid w:val="00810231"/>
    <w:rsid w:val="008144FD"/>
    <w:rsid w:val="00817AB6"/>
    <w:rsid w:val="0082023C"/>
    <w:rsid w:val="00824ACB"/>
    <w:rsid w:val="00824CE3"/>
    <w:rsid w:val="00835A42"/>
    <w:rsid w:val="00840C60"/>
    <w:rsid w:val="00841E03"/>
    <w:rsid w:val="00847046"/>
    <w:rsid w:val="0085000E"/>
    <w:rsid w:val="00850717"/>
    <w:rsid w:val="0085128A"/>
    <w:rsid w:val="00882D60"/>
    <w:rsid w:val="00886F83"/>
    <w:rsid w:val="0089236B"/>
    <w:rsid w:val="008B1647"/>
    <w:rsid w:val="008B2118"/>
    <w:rsid w:val="008B6C2C"/>
    <w:rsid w:val="008D0880"/>
    <w:rsid w:val="008E0E94"/>
    <w:rsid w:val="008E3211"/>
    <w:rsid w:val="008F09D0"/>
    <w:rsid w:val="008F1AAC"/>
    <w:rsid w:val="008F4F0A"/>
    <w:rsid w:val="008F78D5"/>
    <w:rsid w:val="00905648"/>
    <w:rsid w:val="00916DB2"/>
    <w:rsid w:val="00933A3E"/>
    <w:rsid w:val="0094386C"/>
    <w:rsid w:val="0094462B"/>
    <w:rsid w:val="00947472"/>
    <w:rsid w:val="00964782"/>
    <w:rsid w:val="00981B17"/>
    <w:rsid w:val="00982CE1"/>
    <w:rsid w:val="009835B0"/>
    <w:rsid w:val="00985235"/>
    <w:rsid w:val="00992267"/>
    <w:rsid w:val="009A2786"/>
    <w:rsid w:val="009A2971"/>
    <w:rsid w:val="009A7F49"/>
    <w:rsid w:val="009B09F9"/>
    <w:rsid w:val="009B2B83"/>
    <w:rsid w:val="009C2015"/>
    <w:rsid w:val="009C556E"/>
    <w:rsid w:val="009D1C9D"/>
    <w:rsid w:val="009D227F"/>
    <w:rsid w:val="009D259F"/>
    <w:rsid w:val="009D4A19"/>
    <w:rsid w:val="00A06954"/>
    <w:rsid w:val="00A24046"/>
    <w:rsid w:val="00A26B24"/>
    <w:rsid w:val="00A3082D"/>
    <w:rsid w:val="00A42309"/>
    <w:rsid w:val="00A446B3"/>
    <w:rsid w:val="00A71A79"/>
    <w:rsid w:val="00A81F6B"/>
    <w:rsid w:val="00A84C57"/>
    <w:rsid w:val="00A850AA"/>
    <w:rsid w:val="00A9074B"/>
    <w:rsid w:val="00A9798F"/>
    <w:rsid w:val="00AC72BF"/>
    <w:rsid w:val="00AD7EAB"/>
    <w:rsid w:val="00AF59D4"/>
    <w:rsid w:val="00AF6A6A"/>
    <w:rsid w:val="00B019B6"/>
    <w:rsid w:val="00B047E8"/>
    <w:rsid w:val="00B10E0A"/>
    <w:rsid w:val="00B150D3"/>
    <w:rsid w:val="00B33ACF"/>
    <w:rsid w:val="00B33E29"/>
    <w:rsid w:val="00B427FF"/>
    <w:rsid w:val="00B46A2B"/>
    <w:rsid w:val="00B52551"/>
    <w:rsid w:val="00B52AB4"/>
    <w:rsid w:val="00B54677"/>
    <w:rsid w:val="00B80828"/>
    <w:rsid w:val="00B811B5"/>
    <w:rsid w:val="00B841DB"/>
    <w:rsid w:val="00B8556C"/>
    <w:rsid w:val="00B94F8B"/>
    <w:rsid w:val="00BA4F60"/>
    <w:rsid w:val="00BB17F9"/>
    <w:rsid w:val="00BC0EE5"/>
    <w:rsid w:val="00BC7DE4"/>
    <w:rsid w:val="00BE6577"/>
    <w:rsid w:val="00BF0C07"/>
    <w:rsid w:val="00C10511"/>
    <w:rsid w:val="00C16BAD"/>
    <w:rsid w:val="00C27F9A"/>
    <w:rsid w:val="00C33EC4"/>
    <w:rsid w:val="00C37098"/>
    <w:rsid w:val="00C404DB"/>
    <w:rsid w:val="00C433F0"/>
    <w:rsid w:val="00C441F0"/>
    <w:rsid w:val="00C45DAB"/>
    <w:rsid w:val="00C5271A"/>
    <w:rsid w:val="00C52DE8"/>
    <w:rsid w:val="00C56862"/>
    <w:rsid w:val="00C57193"/>
    <w:rsid w:val="00C71A28"/>
    <w:rsid w:val="00C75B57"/>
    <w:rsid w:val="00C8078F"/>
    <w:rsid w:val="00C818F7"/>
    <w:rsid w:val="00C844D8"/>
    <w:rsid w:val="00CC0B7E"/>
    <w:rsid w:val="00CC3A2C"/>
    <w:rsid w:val="00CC49F0"/>
    <w:rsid w:val="00CD2A06"/>
    <w:rsid w:val="00CD2EEA"/>
    <w:rsid w:val="00CD66BA"/>
    <w:rsid w:val="00CE1B7A"/>
    <w:rsid w:val="00CE21F5"/>
    <w:rsid w:val="00CF1A70"/>
    <w:rsid w:val="00CF3995"/>
    <w:rsid w:val="00CF4E20"/>
    <w:rsid w:val="00CF60F0"/>
    <w:rsid w:val="00D0028A"/>
    <w:rsid w:val="00D132BE"/>
    <w:rsid w:val="00D1355B"/>
    <w:rsid w:val="00D16C95"/>
    <w:rsid w:val="00D268B1"/>
    <w:rsid w:val="00D273E9"/>
    <w:rsid w:val="00D469D1"/>
    <w:rsid w:val="00D63B91"/>
    <w:rsid w:val="00D66D40"/>
    <w:rsid w:val="00D7512C"/>
    <w:rsid w:val="00D82CAA"/>
    <w:rsid w:val="00D84963"/>
    <w:rsid w:val="00D918D6"/>
    <w:rsid w:val="00D96BA3"/>
    <w:rsid w:val="00D97EEE"/>
    <w:rsid w:val="00DA19E2"/>
    <w:rsid w:val="00DA5C6C"/>
    <w:rsid w:val="00DB1590"/>
    <w:rsid w:val="00DB64D5"/>
    <w:rsid w:val="00DB7AF1"/>
    <w:rsid w:val="00DC1E30"/>
    <w:rsid w:val="00DC4C35"/>
    <w:rsid w:val="00DC5A3E"/>
    <w:rsid w:val="00DC6856"/>
    <w:rsid w:val="00DD02C3"/>
    <w:rsid w:val="00DD7267"/>
    <w:rsid w:val="00DE65FD"/>
    <w:rsid w:val="00DE7291"/>
    <w:rsid w:val="00DF3355"/>
    <w:rsid w:val="00E10F1C"/>
    <w:rsid w:val="00E11AD8"/>
    <w:rsid w:val="00E16B11"/>
    <w:rsid w:val="00E26B48"/>
    <w:rsid w:val="00E31481"/>
    <w:rsid w:val="00E40FA5"/>
    <w:rsid w:val="00E46D32"/>
    <w:rsid w:val="00E567AB"/>
    <w:rsid w:val="00E61992"/>
    <w:rsid w:val="00E76390"/>
    <w:rsid w:val="00E8635E"/>
    <w:rsid w:val="00E867CC"/>
    <w:rsid w:val="00E87515"/>
    <w:rsid w:val="00EB0B7C"/>
    <w:rsid w:val="00EB47AC"/>
    <w:rsid w:val="00EB4855"/>
    <w:rsid w:val="00EC1CCD"/>
    <w:rsid w:val="00EC2502"/>
    <w:rsid w:val="00ED6B29"/>
    <w:rsid w:val="00EE67B8"/>
    <w:rsid w:val="00EE6E45"/>
    <w:rsid w:val="00EF5D72"/>
    <w:rsid w:val="00EF67A4"/>
    <w:rsid w:val="00F14030"/>
    <w:rsid w:val="00F277C5"/>
    <w:rsid w:val="00F33B29"/>
    <w:rsid w:val="00F368C6"/>
    <w:rsid w:val="00F467BE"/>
    <w:rsid w:val="00F578F1"/>
    <w:rsid w:val="00F602E9"/>
    <w:rsid w:val="00F636E3"/>
    <w:rsid w:val="00F70774"/>
    <w:rsid w:val="00F81116"/>
    <w:rsid w:val="00F84106"/>
    <w:rsid w:val="00F90D78"/>
    <w:rsid w:val="00F92455"/>
    <w:rsid w:val="00F9679E"/>
    <w:rsid w:val="00FA3AB9"/>
    <w:rsid w:val="00FA4F23"/>
    <w:rsid w:val="00FB2369"/>
    <w:rsid w:val="00FB5A45"/>
    <w:rsid w:val="00FC7E9D"/>
    <w:rsid w:val="00FD6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435FD"/>
  <w15:docId w15:val="{49A23BCC-C096-4416-9365-6D208C9B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473" w:lineRule="auto"/>
      <w:ind w:left="10" w:hanging="10"/>
      <w:jc w:val="both"/>
    </w:pPr>
    <w:rPr>
      <w:rFonts w:ascii="Cambria" w:eastAsia="Cambria" w:hAnsi="Cambria" w:cs="Cambria"/>
      <w:color w:val="000000"/>
      <w:sz w:val="24"/>
    </w:rPr>
  </w:style>
  <w:style w:type="paragraph" w:styleId="Heading1">
    <w:name w:val="heading 1"/>
    <w:next w:val="Normal"/>
    <w:link w:val="Heading1Char"/>
    <w:qFormat/>
    <w:pPr>
      <w:keepNext/>
      <w:keepLines/>
      <w:spacing w:after="338" w:line="265" w:lineRule="auto"/>
      <w:ind w:left="10" w:hanging="10"/>
      <w:outlineLvl w:val="0"/>
    </w:pPr>
    <w:rPr>
      <w:rFonts w:ascii="Cambria" w:eastAsia="Cambria" w:hAnsi="Cambria" w:cs="Cambria"/>
      <w:b/>
      <w:color w:val="000000"/>
      <w:sz w:val="34"/>
    </w:rPr>
  </w:style>
  <w:style w:type="paragraph" w:styleId="Heading2">
    <w:name w:val="heading 2"/>
    <w:basedOn w:val="Normal"/>
    <w:next w:val="Paragraph"/>
    <w:link w:val="Heading2Char"/>
    <w:qFormat/>
    <w:rsid w:val="007A4D06"/>
    <w:pPr>
      <w:keepNext/>
      <w:spacing w:before="360" w:after="60" w:line="360" w:lineRule="auto"/>
      <w:ind w:left="0" w:right="567" w:firstLine="0"/>
      <w:contextualSpacing/>
      <w:jc w:val="left"/>
      <w:outlineLvl w:val="1"/>
    </w:pPr>
    <w:rPr>
      <w:rFonts w:ascii="Times New Roman" w:eastAsia="Times New Roman" w:hAnsi="Times New Roman" w:cs="Arial"/>
      <w:b/>
      <w:bCs/>
      <w:i/>
      <w:iCs/>
      <w:color w:val="auto"/>
      <w:kern w:val="0"/>
      <w:szCs w:val="28"/>
      <w:lang w:val="en-GB" w:eastAsia="en-GB"/>
      <w14:ligatures w14:val="none"/>
    </w:rPr>
  </w:style>
  <w:style w:type="paragraph" w:styleId="Heading3">
    <w:name w:val="heading 3"/>
    <w:basedOn w:val="Normal"/>
    <w:next w:val="Paragraph"/>
    <w:link w:val="Heading3Char"/>
    <w:qFormat/>
    <w:rsid w:val="007A4D06"/>
    <w:pPr>
      <w:keepNext/>
      <w:spacing w:before="360" w:after="60" w:line="360" w:lineRule="auto"/>
      <w:ind w:left="0" w:right="567" w:firstLine="0"/>
      <w:contextualSpacing/>
      <w:jc w:val="left"/>
      <w:outlineLvl w:val="2"/>
    </w:pPr>
    <w:rPr>
      <w:rFonts w:ascii="Times New Roman" w:eastAsia="Times New Roman" w:hAnsi="Times New Roman" w:cs="Arial"/>
      <w:bCs/>
      <w:i/>
      <w:color w:val="auto"/>
      <w:kern w:val="0"/>
      <w:szCs w:val="26"/>
      <w:lang w:val="en-GB" w:eastAsia="en-GB"/>
      <w14:ligatures w14:val="none"/>
    </w:rPr>
  </w:style>
  <w:style w:type="paragraph" w:styleId="Heading4">
    <w:name w:val="heading 4"/>
    <w:basedOn w:val="Paragraph"/>
    <w:next w:val="Newparagraph"/>
    <w:link w:val="Heading4Char"/>
    <w:rsid w:val="007A4D06"/>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Articletitle">
    <w:name w:val="Article title"/>
    <w:basedOn w:val="Normal"/>
    <w:next w:val="Normal"/>
    <w:qFormat/>
    <w:rsid w:val="00E31481"/>
    <w:pPr>
      <w:spacing w:after="120" w:line="360" w:lineRule="auto"/>
      <w:ind w:left="0" w:firstLine="0"/>
      <w:jc w:val="left"/>
    </w:pPr>
    <w:rPr>
      <w:rFonts w:ascii="Times New Roman" w:eastAsia="Times New Roman" w:hAnsi="Times New Roman" w:cs="Times New Roman"/>
      <w:b/>
      <w:color w:val="auto"/>
      <w:kern w:val="0"/>
      <w:sz w:val="28"/>
      <w:szCs w:val="24"/>
      <w:lang w:val="en-GB" w:eastAsia="en-GB"/>
      <w14:ligatures w14:val="none"/>
    </w:rPr>
  </w:style>
  <w:style w:type="paragraph" w:customStyle="1" w:styleId="Keywords">
    <w:name w:val="Keywords"/>
    <w:basedOn w:val="Normal"/>
    <w:next w:val="Normal"/>
    <w:qFormat/>
    <w:rsid w:val="00E31481"/>
    <w:pPr>
      <w:spacing w:before="240" w:after="240" w:line="360" w:lineRule="auto"/>
      <w:ind w:left="720" w:right="567"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Abstract">
    <w:name w:val="Abstract"/>
    <w:basedOn w:val="Normal"/>
    <w:next w:val="Keywords"/>
    <w:qFormat/>
    <w:rsid w:val="00E31481"/>
    <w:pPr>
      <w:spacing w:before="360" w:after="300" w:line="360" w:lineRule="auto"/>
      <w:ind w:left="720" w:right="567"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Paragraph">
    <w:name w:val="Paragraph"/>
    <w:basedOn w:val="Normal"/>
    <w:next w:val="Newparagraph"/>
    <w:qFormat/>
    <w:rsid w:val="000E3D56"/>
    <w:pPr>
      <w:widowControl w:val="0"/>
      <w:spacing w:before="240" w:after="0" w:line="48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Newparagraph">
    <w:name w:val="New paragraph"/>
    <w:basedOn w:val="Normal"/>
    <w:qFormat/>
    <w:rsid w:val="000E3D56"/>
    <w:pPr>
      <w:spacing w:after="0" w:line="480" w:lineRule="auto"/>
      <w:ind w:left="0" w:firstLine="720"/>
      <w:jc w:val="left"/>
    </w:pPr>
    <w:rPr>
      <w:rFonts w:ascii="Times New Roman" w:eastAsia="Times New Roman" w:hAnsi="Times New Roman" w:cs="Times New Roman"/>
      <w:color w:val="auto"/>
      <w:kern w:val="0"/>
      <w:szCs w:val="24"/>
      <w:lang w:val="en-GB" w:eastAsia="en-GB"/>
      <w14:ligatures w14:val="none"/>
    </w:rPr>
  </w:style>
  <w:style w:type="paragraph" w:styleId="NormalWeb">
    <w:name w:val="Normal (Web)"/>
    <w:basedOn w:val="Normal"/>
    <w:uiPriority w:val="99"/>
    <w:unhideWhenUsed/>
    <w:rsid w:val="000E3D56"/>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Figurecaption">
    <w:name w:val="Figure caption"/>
    <w:basedOn w:val="Normal"/>
    <w:next w:val="Normal"/>
    <w:qFormat/>
    <w:rsid w:val="000E3D5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character" w:styleId="Emphasis">
    <w:name w:val="Emphasis"/>
    <w:basedOn w:val="DefaultParagraphFont"/>
    <w:uiPriority w:val="20"/>
    <w:qFormat/>
    <w:rsid w:val="000E3D56"/>
    <w:rPr>
      <w:i/>
      <w:iCs/>
    </w:rPr>
  </w:style>
  <w:style w:type="character" w:customStyle="1" w:styleId="Heading2Char">
    <w:name w:val="Heading 2 Char"/>
    <w:basedOn w:val="DefaultParagraphFont"/>
    <w:link w:val="Heading2"/>
    <w:rsid w:val="007A4D06"/>
    <w:rPr>
      <w:rFonts w:ascii="Times New Roman" w:eastAsia="Times New Roman" w:hAnsi="Times New Roman" w:cs="Arial"/>
      <w:b/>
      <w:bCs/>
      <w:i/>
      <w:iCs/>
      <w:kern w:val="0"/>
      <w:sz w:val="24"/>
      <w:szCs w:val="28"/>
      <w:lang w:val="en-GB" w:eastAsia="en-GB"/>
      <w14:ligatures w14:val="none"/>
    </w:rPr>
  </w:style>
  <w:style w:type="character" w:customStyle="1" w:styleId="Heading3Char">
    <w:name w:val="Heading 3 Char"/>
    <w:basedOn w:val="DefaultParagraphFont"/>
    <w:link w:val="Heading3"/>
    <w:rsid w:val="007A4D06"/>
    <w:rPr>
      <w:rFonts w:ascii="Times New Roman" w:eastAsia="Times New Roman" w:hAnsi="Times New Roman" w:cs="Arial"/>
      <w:bCs/>
      <w:i/>
      <w:kern w:val="0"/>
      <w:sz w:val="24"/>
      <w:szCs w:val="26"/>
      <w:lang w:val="en-GB" w:eastAsia="en-GB"/>
      <w14:ligatures w14:val="none"/>
    </w:rPr>
  </w:style>
  <w:style w:type="character" w:customStyle="1" w:styleId="Heading4Char">
    <w:name w:val="Heading 4 Char"/>
    <w:basedOn w:val="DefaultParagraphFont"/>
    <w:link w:val="Heading4"/>
    <w:rsid w:val="007A4D06"/>
    <w:rPr>
      <w:rFonts w:ascii="Times New Roman" w:eastAsia="Times New Roman" w:hAnsi="Times New Roman" w:cs="Times New Roman"/>
      <w:bCs/>
      <w:kern w:val="0"/>
      <w:sz w:val="24"/>
      <w:szCs w:val="28"/>
      <w:lang w:val="en-GB" w:eastAsia="en-GB"/>
      <w14:ligatures w14:val="none"/>
    </w:rPr>
  </w:style>
  <w:style w:type="character" w:customStyle="1" w:styleId="e24kjd">
    <w:name w:val="e24kjd"/>
    <w:basedOn w:val="DefaultParagraphFont"/>
    <w:rsid w:val="007A4D06"/>
  </w:style>
  <w:style w:type="character" w:styleId="Hyperlink">
    <w:name w:val="Hyperlink"/>
    <w:basedOn w:val="DefaultParagraphFont"/>
    <w:uiPriority w:val="99"/>
    <w:unhideWhenUsed/>
    <w:rsid w:val="007A4D06"/>
    <w:rPr>
      <w:color w:val="0000FF"/>
      <w:u w:val="single"/>
    </w:rPr>
  </w:style>
  <w:style w:type="character" w:styleId="CommentReference">
    <w:name w:val="annotation reference"/>
    <w:basedOn w:val="DefaultParagraphFont"/>
    <w:uiPriority w:val="99"/>
    <w:semiHidden/>
    <w:unhideWhenUsed/>
    <w:rsid w:val="007A4D06"/>
    <w:rPr>
      <w:sz w:val="16"/>
      <w:szCs w:val="16"/>
    </w:rPr>
  </w:style>
  <w:style w:type="paragraph" w:styleId="CommentText">
    <w:name w:val="annotation text"/>
    <w:aliases w:val=" 字元,Char11,字元"/>
    <w:basedOn w:val="Normal"/>
    <w:link w:val="CommentTextChar"/>
    <w:uiPriority w:val="99"/>
    <w:unhideWhenUsed/>
    <w:qFormat/>
    <w:rsid w:val="007A4D06"/>
    <w:pPr>
      <w:spacing w:after="0" w:line="240" w:lineRule="auto"/>
      <w:ind w:left="0" w:firstLine="0"/>
      <w:jc w:val="left"/>
    </w:pPr>
    <w:rPr>
      <w:rFonts w:ascii="Times New Roman" w:eastAsia="Times New Roman" w:hAnsi="Times New Roman" w:cs="Times New Roman"/>
      <w:color w:val="auto"/>
      <w:kern w:val="0"/>
      <w:sz w:val="20"/>
      <w:szCs w:val="20"/>
      <w:lang w:val="en-GB" w:eastAsia="en-GB"/>
      <w14:ligatures w14:val="none"/>
    </w:rPr>
  </w:style>
  <w:style w:type="character" w:customStyle="1" w:styleId="CommentTextChar">
    <w:name w:val="Comment Text Char"/>
    <w:aliases w:val=" 字元 Char,Char11 Char,字元 Char"/>
    <w:basedOn w:val="DefaultParagraphFont"/>
    <w:link w:val="CommentText"/>
    <w:uiPriority w:val="99"/>
    <w:qFormat/>
    <w:rsid w:val="007A4D06"/>
    <w:rPr>
      <w:rFonts w:ascii="Times New Roman" w:eastAsia="Times New Roman" w:hAnsi="Times New Roman" w:cs="Times New Roman"/>
      <w:kern w:val="0"/>
      <w:sz w:val="20"/>
      <w:szCs w:val="20"/>
      <w:lang w:val="en-GB" w:eastAsia="en-GB"/>
      <w14:ligatures w14:val="none"/>
    </w:rPr>
  </w:style>
  <w:style w:type="paragraph" w:styleId="ListParagraph">
    <w:name w:val="List Paragraph"/>
    <w:basedOn w:val="Normal"/>
    <w:uiPriority w:val="34"/>
    <w:qFormat/>
    <w:rsid w:val="007A4D06"/>
    <w:pPr>
      <w:spacing w:after="0" w:line="480" w:lineRule="auto"/>
      <w:ind w:left="720" w:firstLine="0"/>
      <w:contextualSpacing/>
      <w:jc w:val="left"/>
    </w:pPr>
    <w:rPr>
      <w:rFonts w:ascii="Times New Roman" w:eastAsia="Times New Roman" w:hAnsi="Times New Roman" w:cs="Times New Roman"/>
      <w:color w:val="auto"/>
      <w:kern w:val="0"/>
      <w:szCs w:val="24"/>
      <w:lang w:val="en-GB" w:eastAsia="en-GB"/>
      <w14:ligatures w14:val="none"/>
    </w:rPr>
  </w:style>
  <w:style w:type="paragraph" w:styleId="Caption">
    <w:name w:val="caption"/>
    <w:basedOn w:val="Normal"/>
    <w:next w:val="Normal"/>
    <w:uiPriority w:val="35"/>
    <w:semiHidden/>
    <w:unhideWhenUsed/>
    <w:qFormat/>
    <w:rsid w:val="007A4D06"/>
    <w:pPr>
      <w:spacing w:after="200" w:line="240" w:lineRule="auto"/>
      <w:ind w:left="0" w:firstLine="0"/>
      <w:jc w:val="left"/>
    </w:pPr>
    <w:rPr>
      <w:rFonts w:ascii="Times New Roman" w:eastAsiaTheme="minorEastAsia" w:hAnsi="Times New Roman" w:cs="Times New Roman"/>
      <w:b/>
      <w:bCs/>
      <w:color w:val="4472C4" w:themeColor="accent1"/>
      <w:kern w:val="0"/>
      <w:sz w:val="18"/>
      <w:szCs w:val="18"/>
      <w:lang w:val="en-GB" w:eastAsia="ja-JP"/>
      <w14:ligatures w14:val="none"/>
    </w:rPr>
  </w:style>
  <w:style w:type="paragraph" w:styleId="NoSpacing">
    <w:name w:val="No Spacing"/>
    <w:uiPriority w:val="1"/>
    <w:qFormat/>
    <w:rsid w:val="007A4D06"/>
    <w:pPr>
      <w:spacing w:after="0" w:line="240" w:lineRule="auto"/>
    </w:pPr>
    <w:rPr>
      <w:rFonts w:eastAsiaTheme="minorHAnsi"/>
      <w:kern w:val="0"/>
      <w:sz w:val="24"/>
      <w:szCs w:val="24"/>
      <w14:ligatures w14:val="none"/>
    </w:rPr>
  </w:style>
  <w:style w:type="table" w:styleId="TableGrid0">
    <w:name w:val="Table Grid"/>
    <w:basedOn w:val="TableNormal"/>
    <w:uiPriority w:val="39"/>
    <w:rsid w:val="007A4D06"/>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A4D06"/>
  </w:style>
  <w:style w:type="character" w:customStyle="1" w:styleId="page-numbers-info">
    <w:name w:val="page-numbers-info"/>
    <w:basedOn w:val="DefaultParagraphFont"/>
    <w:rsid w:val="007A4D06"/>
  </w:style>
  <w:style w:type="character" w:customStyle="1" w:styleId="authorsname">
    <w:name w:val="authors__name"/>
    <w:basedOn w:val="DefaultParagraphFont"/>
    <w:rsid w:val="007A4D06"/>
  </w:style>
  <w:style w:type="character" w:styleId="LineNumber">
    <w:name w:val="line number"/>
    <w:basedOn w:val="DefaultParagraphFont"/>
    <w:uiPriority w:val="99"/>
    <w:semiHidden/>
    <w:unhideWhenUsed/>
    <w:rsid w:val="007A4D06"/>
  </w:style>
  <w:style w:type="character" w:customStyle="1" w:styleId="titleheading">
    <w:name w:val="titleheading"/>
    <w:basedOn w:val="DefaultParagraphFont"/>
    <w:rsid w:val="007A4D06"/>
  </w:style>
  <w:style w:type="paragraph" w:styleId="Revision">
    <w:name w:val="Revision"/>
    <w:hidden/>
    <w:uiPriority w:val="99"/>
    <w:semiHidden/>
    <w:rsid w:val="007A4D06"/>
    <w:pPr>
      <w:spacing w:after="0" w:line="240" w:lineRule="auto"/>
    </w:pPr>
    <w:rPr>
      <w:rFonts w:eastAsiaTheme="minorHAnsi"/>
      <w:kern w:val="0"/>
      <w14:ligatures w14:val="none"/>
    </w:rPr>
  </w:style>
  <w:style w:type="paragraph" w:styleId="CommentSubject">
    <w:name w:val="annotation subject"/>
    <w:basedOn w:val="CommentText"/>
    <w:next w:val="CommentText"/>
    <w:link w:val="CommentSubjectChar"/>
    <w:uiPriority w:val="99"/>
    <w:semiHidden/>
    <w:unhideWhenUsed/>
    <w:rsid w:val="007A4D06"/>
    <w:rPr>
      <w:b/>
      <w:bCs/>
    </w:rPr>
  </w:style>
  <w:style w:type="character" w:customStyle="1" w:styleId="CommentSubjectChar">
    <w:name w:val="Comment Subject Char"/>
    <w:basedOn w:val="CommentTextChar"/>
    <w:link w:val="CommentSubject"/>
    <w:uiPriority w:val="99"/>
    <w:semiHidden/>
    <w:rsid w:val="007A4D06"/>
    <w:rPr>
      <w:rFonts w:ascii="Times New Roman" w:eastAsia="Times New Roman" w:hAnsi="Times New Roman" w:cs="Times New Roman"/>
      <w:b/>
      <w:bCs/>
      <w:kern w:val="0"/>
      <w:sz w:val="20"/>
      <w:szCs w:val="20"/>
      <w:lang w:val="en-GB" w:eastAsia="en-GB"/>
      <w14:ligatures w14:val="none"/>
    </w:rPr>
  </w:style>
  <w:style w:type="paragraph" w:customStyle="1" w:styleId="xxmsonormal">
    <w:name w:val="x_x_msonormal"/>
    <w:basedOn w:val="Normal"/>
    <w:rsid w:val="007A4D06"/>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styleId="Header">
    <w:name w:val="header"/>
    <w:basedOn w:val="Normal"/>
    <w:link w:val="HeaderChar"/>
    <w:rsid w:val="007A4D06"/>
    <w:pPr>
      <w:tabs>
        <w:tab w:val="center" w:pos="4320"/>
        <w:tab w:val="right" w:pos="8640"/>
      </w:tabs>
      <w:spacing w:after="120" w:line="240" w:lineRule="auto"/>
      <w:ind w:left="0" w:firstLine="0"/>
      <w:contextualSpacing/>
      <w:jc w:val="left"/>
    </w:pPr>
    <w:rPr>
      <w:rFonts w:ascii="Times New Roman" w:eastAsia="Times New Roman" w:hAnsi="Times New Roman" w:cs="Times New Roman"/>
      <w:color w:val="auto"/>
      <w:kern w:val="0"/>
      <w:szCs w:val="24"/>
      <w:lang w:val="en-GB" w:eastAsia="en-GB"/>
      <w14:ligatures w14:val="none"/>
    </w:rPr>
  </w:style>
  <w:style w:type="character" w:customStyle="1" w:styleId="HeaderChar">
    <w:name w:val="Header Char"/>
    <w:basedOn w:val="DefaultParagraphFont"/>
    <w:link w:val="Header"/>
    <w:rsid w:val="007A4D06"/>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rsid w:val="007A4D06"/>
    <w:pPr>
      <w:tabs>
        <w:tab w:val="center" w:pos="4320"/>
        <w:tab w:val="right" w:pos="8640"/>
      </w:tabs>
      <w:spacing w:before="240" w:after="0" w:line="240" w:lineRule="auto"/>
      <w:ind w:left="0" w:firstLine="0"/>
      <w:contextualSpacing/>
      <w:jc w:val="left"/>
    </w:pPr>
    <w:rPr>
      <w:rFonts w:ascii="Times New Roman" w:eastAsia="Times New Roman" w:hAnsi="Times New Roman" w:cs="Times New Roman"/>
      <w:color w:val="auto"/>
      <w:kern w:val="0"/>
      <w:szCs w:val="24"/>
      <w:lang w:val="en-GB" w:eastAsia="en-GB"/>
      <w14:ligatures w14:val="none"/>
    </w:rPr>
  </w:style>
  <w:style w:type="character" w:customStyle="1" w:styleId="FooterChar">
    <w:name w:val="Footer Char"/>
    <w:basedOn w:val="DefaultParagraphFont"/>
    <w:link w:val="Footer"/>
    <w:uiPriority w:val="99"/>
    <w:rsid w:val="007A4D06"/>
    <w:rPr>
      <w:rFonts w:ascii="Times New Roman" w:eastAsia="Times New Roman" w:hAnsi="Times New Roman" w:cs="Times New Roman"/>
      <w:kern w:val="0"/>
      <w:sz w:val="24"/>
      <w:szCs w:val="24"/>
      <w:lang w:val="en-GB" w:eastAsia="en-GB"/>
      <w14:ligatures w14:val="none"/>
    </w:rPr>
  </w:style>
  <w:style w:type="paragraph" w:styleId="BalloonText">
    <w:name w:val="Balloon Text"/>
    <w:basedOn w:val="Normal"/>
    <w:link w:val="BalloonTextChar"/>
    <w:uiPriority w:val="99"/>
    <w:semiHidden/>
    <w:unhideWhenUsed/>
    <w:rsid w:val="007A4D06"/>
    <w:pPr>
      <w:spacing w:after="0" w:line="240" w:lineRule="auto"/>
      <w:ind w:left="0" w:firstLine="0"/>
      <w:jc w:val="left"/>
    </w:pPr>
    <w:rPr>
      <w:rFonts w:ascii="Segoe UI" w:eastAsia="Times New Roman" w:hAnsi="Segoe UI" w:cs="Segoe UI"/>
      <w:color w:val="auto"/>
      <w:kern w:val="0"/>
      <w:sz w:val="18"/>
      <w:szCs w:val="18"/>
      <w:lang w:val="en-GB" w:eastAsia="en-GB"/>
      <w14:ligatures w14:val="none"/>
    </w:rPr>
  </w:style>
  <w:style w:type="character" w:customStyle="1" w:styleId="BalloonTextChar">
    <w:name w:val="Balloon Text Char"/>
    <w:basedOn w:val="DefaultParagraphFont"/>
    <w:link w:val="BalloonText"/>
    <w:uiPriority w:val="99"/>
    <w:semiHidden/>
    <w:rsid w:val="007A4D06"/>
    <w:rPr>
      <w:rFonts w:ascii="Segoe UI" w:eastAsia="Times New Roman" w:hAnsi="Segoe UI" w:cs="Segoe UI"/>
      <w:kern w:val="0"/>
      <w:sz w:val="18"/>
      <w:szCs w:val="18"/>
      <w:lang w:val="en-GB" w:eastAsia="en-GB"/>
      <w14:ligatures w14:val="none"/>
    </w:rPr>
  </w:style>
  <w:style w:type="paragraph" w:customStyle="1" w:styleId="Authornames">
    <w:name w:val="Author names"/>
    <w:basedOn w:val="Normal"/>
    <w:next w:val="Normal"/>
    <w:qFormat/>
    <w:rsid w:val="007A4D06"/>
    <w:pPr>
      <w:spacing w:before="240" w:after="0" w:line="360" w:lineRule="auto"/>
      <w:ind w:left="0" w:firstLine="0"/>
      <w:jc w:val="left"/>
    </w:pPr>
    <w:rPr>
      <w:rFonts w:ascii="Times New Roman" w:eastAsia="Times New Roman" w:hAnsi="Times New Roman" w:cs="Times New Roman"/>
      <w:color w:val="auto"/>
      <w:kern w:val="0"/>
      <w:sz w:val="28"/>
      <w:szCs w:val="24"/>
      <w:lang w:val="en-GB" w:eastAsia="en-GB"/>
      <w14:ligatures w14:val="none"/>
    </w:rPr>
  </w:style>
  <w:style w:type="paragraph" w:customStyle="1" w:styleId="Affiliation">
    <w:name w:val="Affiliation"/>
    <w:basedOn w:val="Normal"/>
    <w:qFormat/>
    <w:rsid w:val="007A4D06"/>
    <w:pPr>
      <w:spacing w:before="240" w:after="0" w:line="360" w:lineRule="auto"/>
      <w:ind w:left="0" w:firstLine="0"/>
      <w:jc w:val="left"/>
    </w:pPr>
    <w:rPr>
      <w:rFonts w:ascii="Times New Roman" w:eastAsia="Times New Roman" w:hAnsi="Times New Roman" w:cs="Times New Roman"/>
      <w:i/>
      <w:color w:val="auto"/>
      <w:kern w:val="0"/>
      <w:szCs w:val="24"/>
      <w:lang w:val="en-GB" w:eastAsia="en-GB"/>
      <w14:ligatures w14:val="none"/>
    </w:rPr>
  </w:style>
  <w:style w:type="paragraph" w:customStyle="1" w:styleId="Receiveddates">
    <w:name w:val="Received dates"/>
    <w:basedOn w:val="Affiliation"/>
    <w:next w:val="Normal"/>
    <w:qFormat/>
    <w:rsid w:val="007A4D06"/>
  </w:style>
  <w:style w:type="paragraph" w:customStyle="1" w:styleId="Correspondencedetails">
    <w:name w:val="Correspondence details"/>
    <w:basedOn w:val="Normal"/>
    <w:qFormat/>
    <w:rsid w:val="007A4D0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Displayedquotation">
    <w:name w:val="Displayed quotation"/>
    <w:basedOn w:val="Normal"/>
    <w:qFormat/>
    <w:rsid w:val="007A4D06"/>
    <w:pPr>
      <w:tabs>
        <w:tab w:val="left" w:pos="1077"/>
        <w:tab w:val="left" w:pos="1440"/>
        <w:tab w:val="left" w:pos="1797"/>
        <w:tab w:val="left" w:pos="2155"/>
        <w:tab w:val="left" w:pos="2512"/>
      </w:tabs>
      <w:spacing w:before="240" w:after="360" w:line="360" w:lineRule="auto"/>
      <w:ind w:left="709" w:right="425" w:firstLine="0"/>
      <w:contextualSpacing/>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umberedlist">
    <w:name w:val="Numbered list"/>
    <w:basedOn w:val="Paragraph"/>
    <w:next w:val="Paragraph"/>
    <w:qFormat/>
    <w:rsid w:val="007A4D06"/>
    <w:pPr>
      <w:widowControl/>
      <w:numPr>
        <w:numId w:val="19"/>
      </w:numPr>
      <w:spacing w:after="240"/>
      <w:contextualSpacing/>
    </w:pPr>
  </w:style>
  <w:style w:type="paragraph" w:customStyle="1" w:styleId="Displayedequation">
    <w:name w:val="Displayed equation"/>
    <w:basedOn w:val="Normal"/>
    <w:next w:val="Paragraph"/>
    <w:qFormat/>
    <w:rsid w:val="007A4D06"/>
    <w:pPr>
      <w:tabs>
        <w:tab w:val="center" w:pos="4253"/>
        <w:tab w:val="right" w:pos="8222"/>
      </w:tabs>
      <w:spacing w:before="240" w:after="240" w:line="480" w:lineRule="auto"/>
      <w:ind w:left="0" w:firstLine="0"/>
      <w:jc w:val="center"/>
    </w:pPr>
    <w:rPr>
      <w:rFonts w:ascii="Times New Roman" w:eastAsia="Times New Roman" w:hAnsi="Times New Roman" w:cs="Times New Roman"/>
      <w:color w:val="auto"/>
      <w:kern w:val="0"/>
      <w:szCs w:val="24"/>
      <w:lang w:val="en-GB" w:eastAsia="en-GB"/>
      <w14:ligatures w14:val="none"/>
    </w:rPr>
  </w:style>
  <w:style w:type="paragraph" w:customStyle="1" w:styleId="Acknowledgements">
    <w:name w:val="Acknowledgements"/>
    <w:basedOn w:val="Normal"/>
    <w:next w:val="Normal"/>
    <w:qFormat/>
    <w:rsid w:val="007A4D06"/>
    <w:pPr>
      <w:spacing w:before="120" w:after="0" w:line="360" w:lineRule="auto"/>
      <w:ind w:left="0"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Tabletitle">
    <w:name w:val="Table title"/>
    <w:basedOn w:val="Normal"/>
    <w:next w:val="Normal"/>
    <w:qFormat/>
    <w:rsid w:val="007A4D0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Footnotes">
    <w:name w:val="Footnotes"/>
    <w:basedOn w:val="Normal"/>
    <w:qFormat/>
    <w:rsid w:val="007A4D06"/>
    <w:pPr>
      <w:spacing w:before="120" w:after="0" w:line="360" w:lineRule="auto"/>
      <w:ind w:left="482" w:hanging="482"/>
      <w:contextualSpacing/>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otesoncontributors">
    <w:name w:val="Notes on contributors"/>
    <w:basedOn w:val="Normal"/>
    <w:qFormat/>
    <w:rsid w:val="007A4D06"/>
    <w:pPr>
      <w:spacing w:before="240" w:after="0" w:line="360" w:lineRule="auto"/>
      <w:ind w:left="0"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ormalparagraphstyle">
    <w:name w:val="Normal paragraph style"/>
    <w:basedOn w:val="Normal"/>
    <w:next w:val="Normal"/>
    <w:rsid w:val="007A4D06"/>
    <w:pPr>
      <w:spacing w:after="0" w:line="48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styleId="NormalIndent">
    <w:name w:val="Normal Indent"/>
    <w:basedOn w:val="Normal"/>
    <w:rsid w:val="007A4D06"/>
    <w:pPr>
      <w:spacing w:after="0" w:line="480" w:lineRule="auto"/>
      <w:ind w:left="72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References">
    <w:name w:val="References"/>
    <w:basedOn w:val="Normal"/>
    <w:qFormat/>
    <w:rsid w:val="007A4D06"/>
    <w:pPr>
      <w:spacing w:before="120" w:after="0" w:line="360" w:lineRule="auto"/>
      <w:ind w:left="720" w:hanging="720"/>
      <w:contextualSpacing/>
      <w:jc w:val="left"/>
    </w:pPr>
    <w:rPr>
      <w:rFonts w:ascii="Times New Roman" w:eastAsia="Times New Roman" w:hAnsi="Times New Roman" w:cs="Times New Roman"/>
      <w:color w:val="auto"/>
      <w:kern w:val="0"/>
      <w:szCs w:val="24"/>
      <w:lang w:val="en-GB" w:eastAsia="en-GB"/>
      <w14:ligatures w14:val="none"/>
    </w:rPr>
  </w:style>
  <w:style w:type="paragraph" w:customStyle="1" w:styleId="Subjectcodes">
    <w:name w:val="Subject codes"/>
    <w:basedOn w:val="Keywords"/>
    <w:next w:val="Paragraph"/>
    <w:qFormat/>
    <w:rsid w:val="007A4D06"/>
  </w:style>
  <w:style w:type="paragraph" w:customStyle="1" w:styleId="Bulletedlist">
    <w:name w:val="Bulleted list"/>
    <w:basedOn w:val="Paragraph"/>
    <w:next w:val="Paragraph"/>
    <w:qFormat/>
    <w:rsid w:val="007A4D06"/>
    <w:pPr>
      <w:widowControl/>
      <w:numPr>
        <w:numId w:val="20"/>
      </w:numPr>
      <w:spacing w:after="240"/>
      <w:contextualSpacing/>
    </w:pPr>
  </w:style>
  <w:style w:type="paragraph" w:styleId="FootnoteText">
    <w:name w:val="footnote text"/>
    <w:basedOn w:val="Normal"/>
    <w:link w:val="FootnoteTextChar"/>
    <w:autoRedefine/>
    <w:rsid w:val="007A4D06"/>
    <w:pPr>
      <w:spacing w:after="0" w:line="480" w:lineRule="auto"/>
      <w:ind w:left="284" w:hanging="284"/>
      <w:jc w:val="left"/>
    </w:pPr>
    <w:rPr>
      <w:rFonts w:ascii="Times New Roman" w:eastAsia="Times New Roman" w:hAnsi="Times New Roman" w:cs="Times New Roman"/>
      <w:color w:val="auto"/>
      <w:kern w:val="0"/>
      <w:sz w:val="22"/>
      <w:szCs w:val="20"/>
      <w:lang w:val="en-GB" w:eastAsia="en-GB"/>
      <w14:ligatures w14:val="none"/>
    </w:rPr>
  </w:style>
  <w:style w:type="character" w:customStyle="1" w:styleId="FootnoteTextChar">
    <w:name w:val="Footnote Text Char"/>
    <w:basedOn w:val="DefaultParagraphFont"/>
    <w:link w:val="FootnoteText"/>
    <w:rsid w:val="007A4D06"/>
    <w:rPr>
      <w:rFonts w:ascii="Times New Roman" w:eastAsia="Times New Roman" w:hAnsi="Times New Roman" w:cs="Times New Roman"/>
      <w:kern w:val="0"/>
      <w:szCs w:val="20"/>
      <w:lang w:val="en-GB" w:eastAsia="en-GB"/>
      <w14:ligatures w14:val="none"/>
    </w:rPr>
  </w:style>
  <w:style w:type="character" w:styleId="FootnoteReference">
    <w:name w:val="footnote reference"/>
    <w:basedOn w:val="DefaultParagraphFont"/>
    <w:rsid w:val="007A4D06"/>
    <w:rPr>
      <w:vertAlign w:val="superscript"/>
    </w:rPr>
  </w:style>
  <w:style w:type="paragraph" w:styleId="EndnoteText">
    <w:name w:val="endnote text"/>
    <w:basedOn w:val="Normal"/>
    <w:link w:val="EndnoteTextChar"/>
    <w:autoRedefine/>
    <w:rsid w:val="007A4D06"/>
    <w:pPr>
      <w:spacing w:after="0" w:line="480" w:lineRule="auto"/>
      <w:ind w:left="284" w:hanging="284"/>
      <w:jc w:val="left"/>
    </w:pPr>
    <w:rPr>
      <w:rFonts w:ascii="Times New Roman" w:eastAsia="Times New Roman" w:hAnsi="Times New Roman" w:cs="Times New Roman"/>
      <w:color w:val="auto"/>
      <w:kern w:val="0"/>
      <w:sz w:val="22"/>
      <w:szCs w:val="20"/>
      <w:lang w:val="en-GB" w:eastAsia="en-GB"/>
      <w14:ligatures w14:val="none"/>
    </w:rPr>
  </w:style>
  <w:style w:type="character" w:customStyle="1" w:styleId="EndnoteTextChar">
    <w:name w:val="Endnote Text Char"/>
    <w:basedOn w:val="DefaultParagraphFont"/>
    <w:link w:val="EndnoteText"/>
    <w:rsid w:val="007A4D06"/>
    <w:rPr>
      <w:rFonts w:ascii="Times New Roman" w:eastAsia="Times New Roman" w:hAnsi="Times New Roman" w:cs="Times New Roman"/>
      <w:kern w:val="0"/>
      <w:szCs w:val="20"/>
      <w:lang w:val="en-GB" w:eastAsia="en-GB"/>
      <w14:ligatures w14:val="none"/>
    </w:rPr>
  </w:style>
  <w:style w:type="character" w:styleId="EndnoteReference">
    <w:name w:val="endnote reference"/>
    <w:basedOn w:val="DefaultParagraphFont"/>
    <w:rsid w:val="007A4D06"/>
    <w:rPr>
      <w:vertAlign w:val="superscript"/>
    </w:rPr>
  </w:style>
  <w:style w:type="paragraph" w:customStyle="1" w:styleId="Heading4Paragraph">
    <w:name w:val="Heading 4 + Paragraph"/>
    <w:basedOn w:val="Paragraph"/>
    <w:next w:val="Newparagraph"/>
    <w:qFormat/>
    <w:rsid w:val="007A4D06"/>
    <w:pPr>
      <w:widowControl/>
      <w:spacing w:before="360"/>
    </w:pPr>
  </w:style>
  <w:style w:type="character" w:customStyle="1" w:styleId="UnresolvedMention1">
    <w:name w:val="Unresolved Mention1"/>
    <w:basedOn w:val="DefaultParagraphFont"/>
    <w:uiPriority w:val="99"/>
    <w:semiHidden/>
    <w:unhideWhenUsed/>
    <w:rsid w:val="007A4D06"/>
    <w:rPr>
      <w:color w:val="605E5C"/>
      <w:shd w:val="clear" w:color="auto" w:fill="E1DFDD"/>
    </w:rPr>
  </w:style>
  <w:style w:type="character" w:styleId="FollowedHyperlink">
    <w:name w:val="FollowedHyperlink"/>
    <w:basedOn w:val="DefaultParagraphFont"/>
    <w:uiPriority w:val="99"/>
    <w:semiHidden/>
    <w:unhideWhenUsed/>
    <w:rsid w:val="007A4D06"/>
    <w:rPr>
      <w:color w:val="954F72" w:themeColor="followedHyperlink"/>
      <w:u w:val="single"/>
    </w:rPr>
  </w:style>
  <w:style w:type="table" w:styleId="TableGridLight">
    <w:name w:val="Grid Table Light"/>
    <w:basedOn w:val="TableNormal"/>
    <w:uiPriority w:val="40"/>
    <w:rsid w:val="007A4D06"/>
    <w:pPr>
      <w:spacing w:after="0" w:line="240" w:lineRule="auto"/>
    </w:pPr>
    <w:rPr>
      <w:rFonts w:eastAsiaTheme="minorHAnsi"/>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uthors">
    <w:name w:val="authors"/>
    <w:basedOn w:val="DefaultParagraphFont"/>
    <w:rsid w:val="007A4D06"/>
  </w:style>
  <w:style w:type="character" w:customStyle="1" w:styleId="Date1">
    <w:name w:val="Date1"/>
    <w:basedOn w:val="DefaultParagraphFont"/>
    <w:rsid w:val="007A4D06"/>
  </w:style>
  <w:style w:type="character" w:customStyle="1" w:styleId="arttitle">
    <w:name w:val="art_title"/>
    <w:basedOn w:val="DefaultParagraphFont"/>
    <w:rsid w:val="007A4D06"/>
  </w:style>
  <w:style w:type="character" w:customStyle="1" w:styleId="serialtitle">
    <w:name w:val="serial_title"/>
    <w:basedOn w:val="DefaultParagraphFont"/>
    <w:rsid w:val="007A4D06"/>
  </w:style>
  <w:style w:type="character" w:customStyle="1" w:styleId="volumeissue">
    <w:name w:val="volume_issue"/>
    <w:basedOn w:val="DefaultParagraphFont"/>
    <w:rsid w:val="007A4D06"/>
  </w:style>
  <w:style w:type="character" w:customStyle="1" w:styleId="pagerange">
    <w:name w:val="page_range"/>
    <w:basedOn w:val="DefaultParagraphFont"/>
    <w:rsid w:val="007A4D06"/>
  </w:style>
  <w:style w:type="character" w:customStyle="1" w:styleId="doilink">
    <w:name w:val="doi_link"/>
    <w:basedOn w:val="DefaultParagraphFont"/>
    <w:rsid w:val="007A4D06"/>
  </w:style>
  <w:style w:type="character" w:customStyle="1" w:styleId="EndNoteBibliographyChar">
    <w:name w:val="EndNote Bibliography Char"/>
    <w:basedOn w:val="DefaultParagraphFont"/>
    <w:link w:val="EndNoteBibliography"/>
    <w:locked/>
    <w:rsid w:val="007E71C3"/>
    <w:rPr>
      <w:rFonts w:ascii="Cambria" w:eastAsia="Cambria" w:hAnsi="Cambria" w:cs="Cambria"/>
      <w:noProof/>
      <w:color w:val="000000"/>
      <w:sz w:val="24"/>
    </w:rPr>
  </w:style>
  <w:style w:type="paragraph" w:customStyle="1" w:styleId="EndNoteBibliography">
    <w:name w:val="EndNote Bibliography"/>
    <w:basedOn w:val="Normal"/>
    <w:link w:val="EndNoteBibliographyChar"/>
    <w:rsid w:val="007E71C3"/>
    <w:pPr>
      <w:spacing w:line="240" w:lineRule="auto"/>
      <w:jc w:val="left"/>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67831">
      <w:bodyDiv w:val="1"/>
      <w:marLeft w:val="0"/>
      <w:marRight w:val="0"/>
      <w:marTop w:val="0"/>
      <w:marBottom w:val="0"/>
      <w:divBdr>
        <w:top w:val="none" w:sz="0" w:space="0" w:color="auto"/>
        <w:left w:val="none" w:sz="0" w:space="0" w:color="auto"/>
        <w:bottom w:val="none" w:sz="0" w:space="0" w:color="auto"/>
        <w:right w:val="none" w:sz="0" w:space="0" w:color="auto"/>
      </w:divBdr>
    </w:div>
    <w:div w:id="815873058">
      <w:bodyDiv w:val="1"/>
      <w:marLeft w:val="0"/>
      <w:marRight w:val="0"/>
      <w:marTop w:val="0"/>
      <w:marBottom w:val="0"/>
      <w:divBdr>
        <w:top w:val="none" w:sz="0" w:space="0" w:color="auto"/>
        <w:left w:val="none" w:sz="0" w:space="0" w:color="auto"/>
        <w:bottom w:val="none" w:sz="0" w:space="0" w:color="auto"/>
        <w:right w:val="none" w:sz="0" w:space="0" w:color="auto"/>
      </w:divBdr>
    </w:div>
    <w:div w:id="948050911">
      <w:bodyDiv w:val="1"/>
      <w:marLeft w:val="0"/>
      <w:marRight w:val="0"/>
      <w:marTop w:val="0"/>
      <w:marBottom w:val="0"/>
      <w:divBdr>
        <w:top w:val="none" w:sz="0" w:space="0" w:color="auto"/>
        <w:left w:val="none" w:sz="0" w:space="0" w:color="auto"/>
        <w:bottom w:val="none" w:sz="0" w:space="0" w:color="auto"/>
        <w:right w:val="none" w:sz="0" w:space="0" w:color="auto"/>
      </w:divBdr>
    </w:div>
    <w:div w:id="1083378887">
      <w:bodyDiv w:val="1"/>
      <w:marLeft w:val="0"/>
      <w:marRight w:val="0"/>
      <w:marTop w:val="0"/>
      <w:marBottom w:val="0"/>
      <w:divBdr>
        <w:top w:val="none" w:sz="0" w:space="0" w:color="auto"/>
        <w:left w:val="none" w:sz="0" w:space="0" w:color="auto"/>
        <w:bottom w:val="none" w:sz="0" w:space="0" w:color="auto"/>
        <w:right w:val="none" w:sz="0" w:space="0" w:color="auto"/>
      </w:divBdr>
    </w:div>
    <w:div w:id="1264924921">
      <w:bodyDiv w:val="1"/>
      <w:marLeft w:val="0"/>
      <w:marRight w:val="0"/>
      <w:marTop w:val="0"/>
      <w:marBottom w:val="0"/>
      <w:divBdr>
        <w:top w:val="none" w:sz="0" w:space="0" w:color="auto"/>
        <w:left w:val="none" w:sz="0" w:space="0" w:color="auto"/>
        <w:bottom w:val="none" w:sz="0" w:space="0" w:color="auto"/>
        <w:right w:val="none" w:sz="0" w:space="0" w:color="auto"/>
      </w:divBdr>
    </w:div>
    <w:div w:id="1814250552">
      <w:bodyDiv w:val="1"/>
      <w:marLeft w:val="0"/>
      <w:marRight w:val="0"/>
      <w:marTop w:val="0"/>
      <w:marBottom w:val="0"/>
      <w:divBdr>
        <w:top w:val="none" w:sz="0" w:space="0" w:color="auto"/>
        <w:left w:val="none" w:sz="0" w:space="0" w:color="auto"/>
        <w:bottom w:val="none" w:sz="0" w:space="0" w:color="auto"/>
        <w:right w:val="none" w:sz="0" w:space="0" w:color="auto"/>
      </w:divBdr>
    </w:div>
    <w:div w:id="1822308179">
      <w:bodyDiv w:val="1"/>
      <w:marLeft w:val="0"/>
      <w:marRight w:val="0"/>
      <w:marTop w:val="0"/>
      <w:marBottom w:val="0"/>
      <w:divBdr>
        <w:top w:val="none" w:sz="0" w:space="0" w:color="auto"/>
        <w:left w:val="none" w:sz="0" w:space="0" w:color="auto"/>
        <w:bottom w:val="none" w:sz="0" w:space="0" w:color="auto"/>
        <w:right w:val="none" w:sz="0" w:space="0" w:color="auto"/>
      </w:divBdr>
    </w:div>
    <w:div w:id="1937513029">
      <w:bodyDiv w:val="1"/>
      <w:marLeft w:val="0"/>
      <w:marRight w:val="0"/>
      <w:marTop w:val="0"/>
      <w:marBottom w:val="0"/>
      <w:divBdr>
        <w:top w:val="none" w:sz="0" w:space="0" w:color="auto"/>
        <w:left w:val="none" w:sz="0" w:space="0" w:color="auto"/>
        <w:bottom w:val="none" w:sz="0" w:space="0" w:color="auto"/>
        <w:right w:val="none" w:sz="0" w:space="0" w:color="auto"/>
      </w:divBdr>
    </w:div>
    <w:div w:id="2018191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doi.org/10.1080/147864402094628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footer" Target="footer3.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35</Pages>
  <Words>8190</Words>
  <Characters>46684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Righetti</dc:creator>
  <cp:keywords/>
  <cp:lastModifiedBy>Timothy L. Righetti</cp:lastModifiedBy>
  <cp:revision>2</cp:revision>
  <cp:lastPrinted>2023-09-25T19:28:00Z</cp:lastPrinted>
  <dcterms:created xsi:type="dcterms:W3CDTF">2024-03-06T15:55:00Z</dcterms:created>
  <dcterms:modified xsi:type="dcterms:W3CDTF">2024-03-06T15:55:00Z</dcterms:modified>
</cp:coreProperties>
</file>