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F5186" w14:textId="4E603696" w:rsidR="00F736C0" w:rsidRPr="00E82205" w:rsidRDefault="00F736C0" w:rsidP="00F736C0">
      <w:pPr>
        <w:pStyle w:val="Articletitle"/>
        <w:rPr>
          <w:sz w:val="24"/>
          <w:lang w:val="en-US"/>
        </w:rPr>
      </w:pPr>
      <w:r w:rsidRPr="00E82205">
        <w:rPr>
          <w:sz w:val="24"/>
          <w:lang w:val="en-US"/>
        </w:rPr>
        <w:t xml:space="preserve">Supplemental Material </w:t>
      </w:r>
      <w:r w:rsidR="00FE45E7">
        <w:rPr>
          <w:sz w:val="24"/>
          <w:lang w:val="en-US"/>
        </w:rPr>
        <w:t>2</w:t>
      </w:r>
    </w:p>
    <w:p w14:paraId="1CCBC170" w14:textId="7452282C" w:rsidR="00000C69" w:rsidRPr="00E82205" w:rsidRDefault="00000C69" w:rsidP="00000C69">
      <w:pPr>
        <w:pStyle w:val="Articletitle"/>
        <w:jc w:val="center"/>
        <w:rPr>
          <w:sz w:val="24"/>
          <w:lang w:val="en-US"/>
        </w:rPr>
      </w:pPr>
      <w:r w:rsidRPr="00E82205">
        <w:rPr>
          <w:sz w:val="24"/>
          <w:lang w:val="en-US"/>
        </w:rPr>
        <w:t xml:space="preserve">A Mathematical Explanation for Why Ratio-Based Isotopic Analyses are </w:t>
      </w:r>
      <w:r w:rsidR="00E52FC8" w:rsidRPr="00E82205">
        <w:rPr>
          <w:sz w:val="24"/>
          <w:lang w:val="en-US"/>
        </w:rPr>
        <w:t>Commonly</w:t>
      </w:r>
      <w:r w:rsidRPr="00E82205">
        <w:rPr>
          <w:sz w:val="24"/>
          <w:lang w:val="en-US"/>
        </w:rPr>
        <w:t xml:space="preserve"> Misleading: Data Re-evaluations for N, C, and S Isotopes</w:t>
      </w:r>
    </w:p>
    <w:p w14:paraId="4FC8A779" w14:textId="77777777" w:rsidR="00000C69" w:rsidRPr="00E31481" w:rsidRDefault="00000C69" w:rsidP="00000C69">
      <w:pPr>
        <w:spacing w:after="126"/>
        <w:ind w:left="4126" w:firstLine="0"/>
        <w:rPr>
          <w:rFonts w:ascii="Times New Roman" w:hAnsi="Times New Roman" w:cs="Times New Roman"/>
          <w:szCs w:val="24"/>
        </w:rPr>
      </w:pPr>
      <w:r w:rsidRPr="00E31481">
        <w:rPr>
          <w:rFonts w:ascii="Times New Roman" w:hAnsi="Times New Roman" w:cs="Times New Roman"/>
          <w:b/>
          <w:szCs w:val="24"/>
        </w:rPr>
        <w:t>Abstract</w:t>
      </w:r>
    </w:p>
    <w:p w14:paraId="17FEA857" w14:textId="4AC1C0E7" w:rsidR="00506BD3" w:rsidRDefault="00000C69" w:rsidP="00000C69">
      <w:pPr>
        <w:pStyle w:val="Abstract"/>
        <w:spacing w:before="0" w:after="3" w:line="473" w:lineRule="auto"/>
        <w:ind w:left="0" w:right="14"/>
        <w:jc w:val="both"/>
        <w:rPr>
          <w:sz w:val="24"/>
          <w:lang w:val="en-US"/>
        </w:rPr>
      </w:pPr>
      <w:r>
        <w:rPr>
          <w:sz w:val="24"/>
          <w:lang w:val="en-US" w:eastAsia="ja-JP"/>
        </w:rPr>
        <w:t>Recent</w:t>
      </w:r>
      <w:r w:rsidR="00506BD3" w:rsidRPr="00A61D20">
        <w:rPr>
          <w:sz w:val="24"/>
          <w:lang w:val="en-US" w:eastAsia="ja-JP"/>
        </w:rPr>
        <w:t xml:space="preserve"> </w:t>
      </w:r>
      <w:r w:rsidR="005B3B4E">
        <w:rPr>
          <w:sz w:val="24"/>
          <w:lang w:val="en-US" w:eastAsia="ja-JP"/>
        </w:rPr>
        <w:t>research</w:t>
      </w:r>
      <w:r w:rsidR="00506BD3" w:rsidRPr="00A61D20">
        <w:rPr>
          <w:sz w:val="24"/>
          <w:lang w:val="en-US" w:eastAsia="ja-JP"/>
        </w:rPr>
        <w:t xml:space="preserve"> </w:t>
      </w:r>
      <w:r w:rsidR="002306F6">
        <w:rPr>
          <w:sz w:val="24"/>
          <w:lang w:val="en-US" w:eastAsia="ja-JP"/>
        </w:rPr>
        <w:t>suggest</w:t>
      </w:r>
      <w:r w:rsidR="00CA51DB">
        <w:rPr>
          <w:sz w:val="24"/>
          <w:lang w:val="en-US" w:eastAsia="ja-JP"/>
        </w:rPr>
        <w:t>s</w:t>
      </w:r>
      <w:r w:rsidR="002306F6">
        <w:rPr>
          <w:sz w:val="24"/>
          <w:lang w:val="en-US" w:eastAsia="ja-JP"/>
        </w:rPr>
        <w:t xml:space="preserve"> the interpretation of </w:t>
      </w:r>
      <w:r w:rsidR="00506BD3" w:rsidRPr="00A61D20">
        <w:rPr>
          <w:sz w:val="24"/>
          <w:lang w:val="en-US" w:eastAsia="ja-JP"/>
        </w:rPr>
        <w:t xml:space="preserve">Sr isotopic studies </w:t>
      </w:r>
      <w:r w:rsidR="00620226">
        <w:rPr>
          <w:sz w:val="24"/>
          <w:lang w:val="en-US" w:eastAsia="ja-JP"/>
        </w:rPr>
        <w:t>is</w:t>
      </w:r>
      <w:r w:rsidR="00506BD3" w:rsidRPr="00A61D20">
        <w:rPr>
          <w:sz w:val="24"/>
          <w:lang w:val="en-US" w:eastAsia="ja-JP"/>
        </w:rPr>
        <w:t xml:space="preserve"> clearly confounded by total Sr concentration. Here we identify “ratio-problem” issues </w:t>
      </w:r>
      <w:r w:rsidR="00506BD3">
        <w:rPr>
          <w:sz w:val="24"/>
          <w:lang w:val="en-US" w:eastAsia="ja-JP"/>
        </w:rPr>
        <w:t>for</w:t>
      </w:r>
      <w:r w:rsidR="00506BD3" w:rsidRPr="00A61D20">
        <w:rPr>
          <w:sz w:val="24"/>
          <w:lang w:val="en-US" w:eastAsia="ja-JP"/>
        </w:rPr>
        <w:t xml:space="preserve"> N, C,</w:t>
      </w:r>
      <w:r w:rsidR="00620226">
        <w:rPr>
          <w:sz w:val="24"/>
          <w:lang w:val="en-US" w:eastAsia="ja-JP"/>
        </w:rPr>
        <w:t xml:space="preserve"> and</w:t>
      </w:r>
      <w:r w:rsidR="00506BD3" w:rsidRPr="00A61D20">
        <w:rPr>
          <w:sz w:val="24"/>
          <w:lang w:val="en-US" w:eastAsia="ja-JP"/>
        </w:rPr>
        <w:t xml:space="preserve"> S, isotopes. </w:t>
      </w:r>
      <w:r w:rsidR="00122F1F">
        <w:rPr>
          <w:sz w:val="24"/>
          <w:lang w:val="en-US" w:eastAsia="ja-JP"/>
        </w:rPr>
        <w:t>T</w:t>
      </w:r>
      <w:r w:rsidR="00506BD3" w:rsidRPr="00A61D20">
        <w:rPr>
          <w:sz w:val="24"/>
          <w:lang w:val="en-US" w:eastAsia="ja-JP"/>
        </w:rPr>
        <w:t xml:space="preserve">otal N differences confound the interpretation of </w:t>
      </w:r>
      <w:r w:rsidR="00506BD3" w:rsidRPr="00A61D20">
        <w:rPr>
          <w:sz w:val="24"/>
          <w:vertAlign w:val="superscript"/>
          <w:lang w:val="en-US" w:eastAsia="ja-JP"/>
        </w:rPr>
        <w:t>15</w:t>
      </w:r>
      <w:r w:rsidR="00506BD3" w:rsidRPr="00A61D20">
        <w:rPr>
          <w:sz w:val="24"/>
          <w:lang w:val="en-US" w:eastAsia="ja-JP"/>
        </w:rPr>
        <w:t>N defined trophic levels</w:t>
      </w:r>
      <w:r w:rsidR="005B3B4E">
        <w:rPr>
          <w:sz w:val="24"/>
          <w:lang w:val="en-US" w:eastAsia="ja-JP"/>
        </w:rPr>
        <w:t>, as</w:t>
      </w:r>
      <w:r w:rsidR="00122F1F">
        <w:rPr>
          <w:sz w:val="24"/>
          <w:lang w:val="en-US" w:eastAsia="ja-JP"/>
        </w:rPr>
        <w:t xml:space="preserve"> source analys</w:t>
      </w:r>
      <w:r w:rsidR="005B3B4E">
        <w:rPr>
          <w:sz w:val="24"/>
          <w:lang w:val="en-US" w:eastAsia="ja-JP"/>
        </w:rPr>
        <w:t>e</w:t>
      </w:r>
      <w:r w:rsidR="00122F1F">
        <w:rPr>
          <w:sz w:val="24"/>
          <w:lang w:val="en-US" w:eastAsia="ja-JP"/>
        </w:rPr>
        <w:t xml:space="preserve">s assign species to different trophic levels than </w:t>
      </w:r>
      <w:r w:rsidR="00122F1F" w:rsidRPr="00122F1F">
        <w:rPr>
          <w:sz w:val="24"/>
          <w:vertAlign w:val="superscript"/>
          <w:lang w:val="en-US" w:eastAsia="ja-JP"/>
        </w:rPr>
        <w:t>15</w:t>
      </w:r>
      <w:r w:rsidR="00122F1F">
        <w:rPr>
          <w:sz w:val="24"/>
          <w:lang w:val="en-US" w:eastAsia="ja-JP"/>
        </w:rPr>
        <w:t>N:</w:t>
      </w:r>
      <w:r w:rsidR="00122F1F" w:rsidRPr="00122F1F">
        <w:rPr>
          <w:sz w:val="24"/>
          <w:vertAlign w:val="superscript"/>
          <w:lang w:val="en-US" w:eastAsia="ja-JP"/>
        </w:rPr>
        <w:t>14</w:t>
      </w:r>
      <w:r w:rsidR="00122F1F">
        <w:rPr>
          <w:sz w:val="24"/>
          <w:lang w:val="en-US" w:eastAsia="ja-JP"/>
        </w:rPr>
        <w:t>N ratios.</w:t>
      </w:r>
      <w:r w:rsidR="00506BD3" w:rsidRPr="00A61D20">
        <w:rPr>
          <w:sz w:val="24"/>
          <w:lang w:val="en-US" w:eastAsia="ja-JP"/>
        </w:rPr>
        <w:t xml:space="preserve"> </w:t>
      </w:r>
      <w:r w:rsidR="00122F1F">
        <w:rPr>
          <w:sz w:val="24"/>
          <w:lang w:val="en-US" w:eastAsia="ja-JP"/>
        </w:rPr>
        <w:t>L</w:t>
      </w:r>
      <w:r w:rsidR="00506BD3" w:rsidRPr="00A61D20">
        <w:rPr>
          <w:sz w:val="24"/>
          <w:lang w:val="en-US" w:eastAsia="ja-JP"/>
        </w:rPr>
        <w:t xml:space="preserve">abeled </w:t>
      </w:r>
      <w:r w:rsidR="00506BD3" w:rsidRPr="00A61D20">
        <w:rPr>
          <w:sz w:val="24"/>
          <w:vertAlign w:val="superscript"/>
          <w:lang w:val="en-US" w:eastAsia="ja-JP"/>
        </w:rPr>
        <w:t>15</w:t>
      </w:r>
      <w:r w:rsidR="00506BD3" w:rsidRPr="00A61D20">
        <w:rPr>
          <w:sz w:val="24"/>
          <w:lang w:val="en-US" w:eastAsia="ja-JP"/>
        </w:rPr>
        <w:t>N tracer studies in an ornamental shrub greenhouse experiment</w:t>
      </w:r>
      <w:r w:rsidR="00122F1F">
        <w:rPr>
          <w:sz w:val="24"/>
          <w:lang w:val="en-US" w:eastAsia="ja-JP"/>
        </w:rPr>
        <w:t xml:space="preserve"> suggest species differences in uptake efficiency are</w:t>
      </w:r>
      <w:r w:rsidR="0041049D">
        <w:rPr>
          <w:sz w:val="24"/>
          <w:lang w:val="en-US" w:eastAsia="ja-JP"/>
        </w:rPr>
        <w:t xml:space="preserve"> a scaling  effect</w:t>
      </w:r>
      <w:r w:rsidR="00122F1F">
        <w:rPr>
          <w:sz w:val="24"/>
          <w:lang w:val="en-US" w:eastAsia="ja-JP"/>
        </w:rPr>
        <w:t xml:space="preserve"> based on total N content rather than physiological differences</w:t>
      </w:r>
      <w:r w:rsidR="00506BD3" w:rsidRPr="00A61D20">
        <w:rPr>
          <w:sz w:val="24"/>
          <w:lang w:val="en-US" w:eastAsia="ja-JP"/>
        </w:rPr>
        <w:t xml:space="preserve">. </w:t>
      </w:r>
      <w:r w:rsidR="00122F1F">
        <w:rPr>
          <w:sz w:val="24"/>
          <w:lang w:val="en-US" w:eastAsia="ja-JP"/>
        </w:rPr>
        <w:t xml:space="preserve">Differences in sources and backgrounds for </w:t>
      </w:r>
      <w:r w:rsidR="00B35B0B">
        <w:rPr>
          <w:sz w:val="24"/>
          <w:lang w:val="en-US" w:eastAsia="ja-JP"/>
        </w:rPr>
        <w:t>C</w:t>
      </w:r>
      <w:r w:rsidR="002306F6">
        <w:rPr>
          <w:sz w:val="24"/>
          <w:lang w:val="en-US" w:eastAsia="ja-JP"/>
        </w:rPr>
        <w:t xml:space="preserve"> and S isotopes in </w:t>
      </w:r>
      <w:r w:rsidR="00620226">
        <w:rPr>
          <w:sz w:val="24"/>
          <w:lang w:val="en-US" w:eastAsia="ja-JP"/>
        </w:rPr>
        <w:t>Martian</w:t>
      </w:r>
      <w:r w:rsidR="00122F1F">
        <w:rPr>
          <w:sz w:val="24"/>
          <w:lang w:val="en-US" w:eastAsia="ja-JP"/>
        </w:rPr>
        <w:t xml:space="preserve"> sediments evaluated by the </w:t>
      </w:r>
      <w:r w:rsidR="00122F1F" w:rsidRPr="00A61D20">
        <w:rPr>
          <w:sz w:val="24"/>
          <w:lang w:val="en-US" w:eastAsia="ja-JP"/>
        </w:rPr>
        <w:t xml:space="preserve">Curiosity rover </w:t>
      </w:r>
      <w:r w:rsidR="00122F1F">
        <w:rPr>
          <w:sz w:val="24"/>
          <w:lang w:val="en-US" w:eastAsia="ja-JP"/>
        </w:rPr>
        <w:t>that are not revealed when evaluating ratio-based expressions</w:t>
      </w:r>
      <w:r w:rsidR="00620226">
        <w:rPr>
          <w:sz w:val="24"/>
          <w:lang w:val="en-US" w:eastAsia="ja-JP"/>
        </w:rPr>
        <w:t>,</w:t>
      </w:r>
      <w:r w:rsidR="002306F6">
        <w:rPr>
          <w:sz w:val="24"/>
          <w:lang w:val="en-US" w:eastAsia="ja-JP"/>
        </w:rPr>
        <w:t xml:space="preserve"> were detected with source analyses</w:t>
      </w:r>
      <w:r w:rsidR="00122F1F">
        <w:rPr>
          <w:sz w:val="24"/>
          <w:lang w:val="en-US" w:eastAsia="ja-JP"/>
        </w:rPr>
        <w:t xml:space="preserve">. </w:t>
      </w:r>
      <w:r w:rsidR="00506BD3" w:rsidRPr="00A61D20">
        <w:rPr>
          <w:sz w:val="24"/>
          <w:lang w:val="en-US" w:eastAsia="ja-JP"/>
        </w:rPr>
        <w:t xml:space="preserve">Isotopic ratio changes over time or for different conditions do not necessarily reflect source changes. </w:t>
      </w:r>
      <w:r w:rsidR="00506BD3" w:rsidRPr="00A61D20">
        <w:rPr>
          <w:sz w:val="24"/>
          <w:lang w:val="en-US"/>
        </w:rPr>
        <w:t>Using isotopic ratios or values calculated from confounded isotopic ratios</w:t>
      </w:r>
      <w:r w:rsidR="00506BD3" w:rsidRPr="00A61D20">
        <w:rPr>
          <w:sz w:val="24"/>
          <w:lang w:val="en-US" w:eastAsia="ja-JP"/>
        </w:rPr>
        <w:t xml:space="preserve"> such as portion of an isotopic pool derived from a source </w:t>
      </w:r>
      <w:r w:rsidR="00506BD3" w:rsidRPr="00A61D20">
        <w:rPr>
          <w:sz w:val="24"/>
          <w:lang w:val="en-US"/>
        </w:rPr>
        <w:t xml:space="preserve">are often misleading. Traditional Keeling plots, other forms of mixing diagrams, or analyses of the relationship between ratio denominator and numerator concentrations or content should be evaluated for </w:t>
      </w:r>
      <w:r w:rsidR="00CA51DB">
        <w:rPr>
          <w:sz w:val="24"/>
          <w:lang w:val="en-US"/>
        </w:rPr>
        <w:t xml:space="preserve">all </w:t>
      </w:r>
      <w:r w:rsidR="00506BD3" w:rsidRPr="00A61D20">
        <w:rPr>
          <w:sz w:val="24"/>
          <w:lang w:val="en-US"/>
        </w:rPr>
        <w:t xml:space="preserve">isotopic datasets. Source evaluations allow researchers to better interpret isotopic studies. </w:t>
      </w:r>
    </w:p>
    <w:p w14:paraId="364B9003" w14:textId="4B4854E9" w:rsidR="00271714" w:rsidRDefault="00E31481" w:rsidP="00A62633">
      <w:pPr>
        <w:pStyle w:val="Keywords"/>
        <w:spacing w:before="0" w:after="3" w:line="473" w:lineRule="auto"/>
        <w:ind w:left="0" w:right="14"/>
        <w:jc w:val="both"/>
      </w:pPr>
      <w:r w:rsidRPr="0033338F">
        <w:rPr>
          <w:i/>
          <w:iCs/>
          <w:sz w:val="24"/>
          <w:lang w:val="en-US"/>
        </w:rPr>
        <w:t>Keywords</w:t>
      </w:r>
      <w:r w:rsidRPr="00A61D20">
        <w:rPr>
          <w:sz w:val="24"/>
          <w:lang w:val="en-US"/>
        </w:rPr>
        <w:t xml:space="preserve">: </w:t>
      </w:r>
      <w:r w:rsidR="00506BD3" w:rsidRPr="00A61D20">
        <w:rPr>
          <w:sz w:val="24"/>
          <w:lang w:val="en-US"/>
        </w:rPr>
        <w:t xml:space="preserve">derivatives; isotopic scaling; isotopic sources; Keeling plots; mixing diagrams </w:t>
      </w:r>
      <w:r>
        <w:br w:type="page"/>
      </w:r>
    </w:p>
    <w:p w14:paraId="3F70507C" w14:textId="4DFFEAE1" w:rsidR="00271714" w:rsidRPr="00E82205" w:rsidRDefault="001E34B3" w:rsidP="00A62633">
      <w:pPr>
        <w:pStyle w:val="Heading1"/>
        <w:tabs>
          <w:tab w:val="center" w:pos="1644"/>
        </w:tabs>
        <w:ind w:left="-15" w:firstLine="0"/>
        <w:jc w:val="both"/>
        <w:rPr>
          <w:rFonts w:ascii="Times New Roman" w:hAnsi="Times New Roman" w:cs="Times New Roman"/>
          <w:sz w:val="24"/>
          <w:szCs w:val="24"/>
        </w:rPr>
      </w:pPr>
      <w:r w:rsidRPr="00E82205">
        <w:rPr>
          <w:rFonts w:ascii="Times New Roman" w:hAnsi="Times New Roman" w:cs="Times New Roman"/>
          <w:sz w:val="24"/>
          <w:szCs w:val="24"/>
        </w:rPr>
        <w:lastRenderedPageBreak/>
        <w:t>1</w:t>
      </w:r>
      <w:r w:rsidR="004B29AB">
        <w:rPr>
          <w:rFonts w:ascii="Times New Roman" w:hAnsi="Times New Roman" w:cs="Times New Roman"/>
          <w:sz w:val="24"/>
          <w:szCs w:val="24"/>
        </w:rPr>
        <w:t xml:space="preserve">      </w:t>
      </w:r>
      <w:r w:rsidRPr="00E82205">
        <w:rPr>
          <w:rFonts w:ascii="Times New Roman" w:hAnsi="Times New Roman" w:cs="Times New Roman"/>
          <w:sz w:val="24"/>
          <w:szCs w:val="24"/>
        </w:rPr>
        <w:t>Introduction</w:t>
      </w:r>
    </w:p>
    <w:p w14:paraId="6A28A108" w14:textId="14E20706" w:rsidR="00482F7C" w:rsidRPr="00DD2C1A" w:rsidRDefault="00482F7C" w:rsidP="001763D8">
      <w:pPr>
        <w:pStyle w:val="Paragraph"/>
        <w:spacing w:before="0" w:after="1" w:line="473" w:lineRule="auto"/>
        <w:ind w:right="14"/>
        <w:jc w:val="both"/>
        <w:rPr>
          <w:lang w:val="en-US"/>
        </w:rPr>
      </w:pPr>
      <w:r w:rsidRPr="00DD2C1A">
        <w:rPr>
          <w:lang w:val="en-US"/>
        </w:rPr>
        <w:t>A companion paper (</w:t>
      </w:r>
      <w:r w:rsidR="00C43188">
        <w:rPr>
          <w:lang w:val="en-US"/>
        </w:rPr>
        <w:t>M</w:t>
      </w:r>
      <w:r w:rsidR="0074018C">
        <w:rPr>
          <w:lang w:val="en-US"/>
        </w:rPr>
        <w:t>oots</w:t>
      </w:r>
      <w:r w:rsidR="00C43188">
        <w:rPr>
          <w:lang w:val="en-US"/>
        </w:rPr>
        <w:t xml:space="preserve"> et al.</w:t>
      </w:r>
      <w:r w:rsidRPr="00DD2C1A">
        <w:rPr>
          <w:lang w:val="en-US"/>
        </w:rPr>
        <w:t xml:space="preserve"> 202</w:t>
      </w:r>
      <w:r w:rsidR="0074018C">
        <w:rPr>
          <w:lang w:val="en-US"/>
        </w:rPr>
        <w:t>4</w:t>
      </w:r>
      <w:r w:rsidR="00E73E69">
        <w:rPr>
          <w:lang w:val="en-US"/>
        </w:rPr>
        <w:t>a</w:t>
      </w:r>
      <w:r w:rsidRPr="00DD2C1A">
        <w:rPr>
          <w:lang w:val="en-US"/>
        </w:rPr>
        <w:t xml:space="preserve">) </w:t>
      </w:r>
      <w:r>
        <w:rPr>
          <w:lang w:val="en-US"/>
        </w:rPr>
        <w:t>suggests</w:t>
      </w:r>
      <w:r w:rsidRPr="00DD2C1A">
        <w:rPr>
          <w:lang w:val="en-US"/>
        </w:rPr>
        <w:t xml:space="preserve"> isotopic ratios are not immune to ratio issues that have been discussed in the literature for over 100 years. Isotopic researchers often assume an observed isotopic ratio reflects the source of a system, but this is not true. Mathematical principles suggest that observed ratios will almost always differ from a source (</w:t>
      </w:r>
      <w:r w:rsidR="00C43188">
        <w:rPr>
          <w:lang w:val="en-US"/>
        </w:rPr>
        <w:t>M</w:t>
      </w:r>
      <w:r w:rsidR="0074018C">
        <w:rPr>
          <w:lang w:val="en-US"/>
        </w:rPr>
        <w:t>oots</w:t>
      </w:r>
      <w:r w:rsidR="00C43188">
        <w:rPr>
          <w:lang w:val="en-US"/>
        </w:rPr>
        <w:t xml:space="preserve"> et al. </w:t>
      </w:r>
      <w:r w:rsidRPr="00DD2C1A">
        <w:rPr>
          <w:lang w:val="en-US"/>
        </w:rPr>
        <w:t>202</w:t>
      </w:r>
      <w:r w:rsidR="0074018C">
        <w:rPr>
          <w:lang w:val="en-US"/>
        </w:rPr>
        <w:t>4</w:t>
      </w:r>
      <w:r w:rsidR="00E73E69">
        <w:rPr>
          <w:lang w:val="en-US"/>
        </w:rPr>
        <w:t>a</w:t>
      </w:r>
      <w:r w:rsidRPr="00DD2C1A">
        <w:rPr>
          <w:lang w:val="en-US"/>
        </w:rPr>
        <w:t xml:space="preserve">). </w:t>
      </w:r>
      <w:r>
        <w:rPr>
          <w:lang w:val="en-US"/>
        </w:rPr>
        <w:t>Keeling (1958) proposed methods for determining isotopic sources, but s</w:t>
      </w:r>
      <w:r w:rsidRPr="00DD2C1A">
        <w:rPr>
          <w:lang w:val="en-US"/>
        </w:rPr>
        <w:t xml:space="preserve">ource evaluations on isotopic datasets are relatively rare in the isotopic literature, even when </w:t>
      </w:r>
      <w:r w:rsidR="00D21C1A">
        <w:rPr>
          <w:lang w:val="en-US"/>
        </w:rPr>
        <w:t xml:space="preserve">the necessary </w:t>
      </w:r>
      <w:r w:rsidRPr="00DD2C1A">
        <w:rPr>
          <w:lang w:val="en-US"/>
        </w:rPr>
        <w:t>total element concentrations are available (</w:t>
      </w:r>
      <w:r w:rsidR="00C43188">
        <w:rPr>
          <w:lang w:val="en-US"/>
        </w:rPr>
        <w:t>M</w:t>
      </w:r>
      <w:r w:rsidR="0074018C">
        <w:rPr>
          <w:lang w:val="en-US"/>
        </w:rPr>
        <w:t>oots</w:t>
      </w:r>
      <w:r w:rsidR="00C43188">
        <w:rPr>
          <w:lang w:val="en-US"/>
        </w:rPr>
        <w:t xml:space="preserve"> et al. </w:t>
      </w:r>
      <w:r w:rsidRPr="00DD2C1A">
        <w:rPr>
          <w:lang w:val="en-US"/>
        </w:rPr>
        <w:t>202</w:t>
      </w:r>
      <w:r w:rsidR="0074018C">
        <w:rPr>
          <w:lang w:val="en-US"/>
        </w:rPr>
        <w:t>4</w:t>
      </w:r>
      <w:r w:rsidR="00E73E69">
        <w:rPr>
          <w:lang w:val="en-US"/>
        </w:rPr>
        <w:t>a</w:t>
      </w:r>
      <w:r w:rsidRPr="00DD2C1A">
        <w:rPr>
          <w:lang w:val="en-US"/>
        </w:rPr>
        <w:t xml:space="preserve">). </w:t>
      </w:r>
    </w:p>
    <w:p w14:paraId="1AD2E40A" w14:textId="77777777" w:rsidR="009B09F9" w:rsidRPr="00E82205" w:rsidRDefault="009B09F9" w:rsidP="00A62633">
      <w:pPr>
        <w:pStyle w:val="Heading1"/>
        <w:tabs>
          <w:tab w:val="center" w:pos="1644"/>
        </w:tabs>
        <w:ind w:left="-15" w:firstLine="0"/>
        <w:jc w:val="both"/>
        <w:rPr>
          <w:rFonts w:ascii="Times New Roman" w:hAnsi="Times New Roman" w:cs="Times New Roman"/>
          <w:sz w:val="24"/>
          <w:szCs w:val="24"/>
        </w:rPr>
      </w:pPr>
      <w:r w:rsidRPr="00E82205">
        <w:rPr>
          <w:rFonts w:ascii="Times New Roman" w:hAnsi="Times New Roman" w:cs="Times New Roman"/>
          <w:sz w:val="24"/>
          <w:szCs w:val="24"/>
        </w:rPr>
        <w:t>2</w:t>
      </w:r>
      <w:r w:rsidRPr="00E82205">
        <w:rPr>
          <w:rFonts w:ascii="Times New Roman" w:hAnsi="Times New Roman" w:cs="Times New Roman"/>
          <w:sz w:val="24"/>
          <w:szCs w:val="24"/>
        </w:rPr>
        <w:tab/>
        <w:t xml:space="preserve">      Background and Motivation</w:t>
      </w:r>
    </w:p>
    <w:p w14:paraId="47FF6C16" w14:textId="4CDFE428" w:rsidR="00482F7C" w:rsidRPr="00A46122" w:rsidRDefault="00482F7C" w:rsidP="00BA7637">
      <w:pPr>
        <w:pStyle w:val="Newparagraph"/>
        <w:spacing w:after="3" w:line="473" w:lineRule="auto"/>
        <w:ind w:right="14" w:firstLine="0"/>
        <w:jc w:val="both"/>
        <w:rPr>
          <w:lang w:val="en-US"/>
        </w:rPr>
      </w:pPr>
      <w:r>
        <w:rPr>
          <w:lang w:val="en-US"/>
        </w:rPr>
        <w:t>T</w:t>
      </w:r>
      <w:r w:rsidRPr="00DD2C1A">
        <w:rPr>
          <w:lang w:val="en-US"/>
        </w:rPr>
        <w:t xml:space="preserve">raditional mixing diagrams (1/total Sr vs. </w:t>
      </w:r>
      <w:r w:rsidRPr="00DD2C1A">
        <w:rPr>
          <w:vertAlign w:val="superscript"/>
          <w:lang w:val="en-US"/>
        </w:rPr>
        <w:t>87</w:t>
      </w:r>
      <w:r w:rsidRPr="00DD2C1A">
        <w:rPr>
          <w:lang w:val="en-US"/>
        </w:rPr>
        <w:t>Sr:</w:t>
      </w:r>
      <w:r w:rsidRPr="00DD2C1A">
        <w:rPr>
          <w:vertAlign w:val="superscript"/>
          <w:lang w:val="en-US"/>
        </w:rPr>
        <w:t>86</w:t>
      </w:r>
      <w:r w:rsidRPr="00DD2C1A">
        <w:rPr>
          <w:lang w:val="en-US"/>
        </w:rPr>
        <w:t>Sr ratio); other forms of mixing diagrams (1/</w:t>
      </w:r>
      <w:r w:rsidRPr="00DD2C1A">
        <w:rPr>
          <w:vertAlign w:val="superscript"/>
          <w:lang w:val="en-US"/>
        </w:rPr>
        <w:t>86</w:t>
      </w:r>
      <w:r w:rsidRPr="00DD2C1A">
        <w:rPr>
          <w:lang w:val="en-US"/>
        </w:rPr>
        <w:t xml:space="preserve">Sr vs. </w:t>
      </w:r>
      <w:r w:rsidRPr="00DD2C1A">
        <w:rPr>
          <w:vertAlign w:val="superscript"/>
          <w:lang w:val="en-US"/>
        </w:rPr>
        <w:t>87</w:t>
      </w:r>
      <w:r w:rsidRPr="00DD2C1A">
        <w:rPr>
          <w:lang w:val="en-US"/>
        </w:rPr>
        <w:t>Sr:</w:t>
      </w:r>
      <w:r w:rsidRPr="00DD2C1A">
        <w:rPr>
          <w:vertAlign w:val="superscript"/>
          <w:lang w:val="en-US"/>
        </w:rPr>
        <w:t>86</w:t>
      </w:r>
      <w:r w:rsidRPr="00DD2C1A">
        <w:rPr>
          <w:lang w:val="en-US"/>
        </w:rPr>
        <w:t xml:space="preserve">Sr ratio); analyses of the relationship between ratio </w:t>
      </w:r>
      <w:r w:rsidR="00BC5432" w:rsidRPr="00BC5432">
        <w:rPr>
          <w:vertAlign w:val="superscript"/>
          <w:lang w:val="en-US"/>
        </w:rPr>
        <w:t>86</w:t>
      </w:r>
      <w:r w:rsidR="00BC5432">
        <w:rPr>
          <w:lang w:val="en-US"/>
        </w:rPr>
        <w:t>Sr</w:t>
      </w:r>
      <w:r w:rsidRPr="00DD2C1A">
        <w:rPr>
          <w:lang w:val="en-US"/>
        </w:rPr>
        <w:t xml:space="preserve"> and </w:t>
      </w:r>
      <w:r w:rsidR="00BC5432" w:rsidRPr="00BC5432">
        <w:rPr>
          <w:vertAlign w:val="superscript"/>
          <w:lang w:val="en-US"/>
        </w:rPr>
        <w:t>87</w:t>
      </w:r>
      <w:r w:rsidR="00BC5432">
        <w:rPr>
          <w:lang w:val="en-US"/>
        </w:rPr>
        <w:t xml:space="preserve">Sr </w:t>
      </w:r>
      <w:r w:rsidRPr="00DD2C1A">
        <w:rPr>
          <w:lang w:val="en-US"/>
        </w:rPr>
        <w:t xml:space="preserve">concentrations or content; and </w:t>
      </w:r>
      <w:r w:rsidRPr="00933D90">
        <w:rPr>
          <w:i/>
          <w:iCs/>
          <w:lang w:val="en-US"/>
        </w:rPr>
        <w:t>d</w:t>
      </w:r>
      <w:r w:rsidRPr="00DD2C1A">
        <w:rPr>
          <w:vertAlign w:val="superscript"/>
          <w:lang w:val="en-US"/>
        </w:rPr>
        <w:t>87</w:t>
      </w:r>
      <w:r w:rsidRPr="00DD2C1A">
        <w:rPr>
          <w:lang w:val="en-US"/>
        </w:rPr>
        <w:t>Sr/</w:t>
      </w:r>
      <w:r w:rsidRPr="00933D90">
        <w:rPr>
          <w:i/>
          <w:iCs/>
          <w:lang w:val="en-US"/>
        </w:rPr>
        <w:t>d</w:t>
      </w:r>
      <w:r w:rsidRPr="00DD2C1A">
        <w:rPr>
          <w:vertAlign w:val="superscript"/>
          <w:lang w:val="en-US"/>
        </w:rPr>
        <w:t>86</w:t>
      </w:r>
      <w:r w:rsidRPr="00DD2C1A">
        <w:rPr>
          <w:lang w:val="en-US"/>
        </w:rPr>
        <w:t xml:space="preserve">Sr derivatives </w:t>
      </w:r>
      <w:r w:rsidRPr="00DD2C1A">
        <w:rPr>
          <w:lang w:val="en-US" w:eastAsia="ja-JP"/>
        </w:rPr>
        <w:t>suggest that theoretical mathematical predictions occur in real Sr isotope datasets</w:t>
      </w:r>
      <w:r w:rsidRPr="00DD2C1A">
        <w:rPr>
          <w:lang w:val="en-US"/>
        </w:rPr>
        <w:t xml:space="preserve"> (</w:t>
      </w:r>
      <w:r w:rsidR="000E64D0">
        <w:rPr>
          <w:lang w:val="en-US"/>
        </w:rPr>
        <w:t xml:space="preserve">Moots et al. 2024b </w:t>
      </w:r>
      <w:r w:rsidR="00F626E9">
        <w:rPr>
          <w:lang w:val="en-US"/>
        </w:rPr>
        <w:t xml:space="preserve">Supplemental Material </w:t>
      </w:r>
      <w:r w:rsidR="00FE45E7">
        <w:rPr>
          <w:lang w:val="en-US"/>
        </w:rPr>
        <w:t>1</w:t>
      </w:r>
      <w:r w:rsidRPr="00DD2C1A">
        <w:rPr>
          <w:lang w:val="en-US"/>
        </w:rPr>
        <w:t xml:space="preserve">). </w:t>
      </w:r>
      <w:r w:rsidR="001722EF">
        <w:rPr>
          <w:lang w:val="en-US"/>
        </w:rPr>
        <w:t>Here we describe alternative procedures</w:t>
      </w:r>
      <w:r w:rsidR="00A85259">
        <w:rPr>
          <w:lang w:val="en-US"/>
        </w:rPr>
        <w:t xml:space="preserve"> that emphasize source evaluations</w:t>
      </w:r>
      <w:r w:rsidR="001722EF">
        <w:rPr>
          <w:lang w:val="en-US"/>
        </w:rPr>
        <w:t xml:space="preserve"> to better analyze </w:t>
      </w:r>
      <w:r w:rsidR="00D21C1A">
        <w:rPr>
          <w:lang w:val="en-US"/>
        </w:rPr>
        <w:t xml:space="preserve">non-strontium </w:t>
      </w:r>
      <w:r w:rsidR="001722EF">
        <w:rPr>
          <w:lang w:val="en-US"/>
        </w:rPr>
        <w:t>isotopic data</w:t>
      </w:r>
      <w:r w:rsidR="00D21C1A">
        <w:rPr>
          <w:lang w:val="en-US"/>
        </w:rPr>
        <w:t xml:space="preserve"> that</w:t>
      </w:r>
      <w:r w:rsidR="001722EF">
        <w:rPr>
          <w:lang w:val="en-US"/>
        </w:rPr>
        <w:t xml:space="preserve"> </w:t>
      </w:r>
      <w:r w:rsidRPr="00DD2C1A">
        <w:rPr>
          <w:lang w:val="en-US"/>
        </w:rPr>
        <w:t>could suggest widespread ratio issues.</w:t>
      </w:r>
    </w:p>
    <w:p w14:paraId="05E620C0" w14:textId="558A6E80" w:rsidR="00255BC1" w:rsidRPr="00E82205" w:rsidRDefault="00A84C57" w:rsidP="00A62633">
      <w:pPr>
        <w:pStyle w:val="Heading1"/>
        <w:tabs>
          <w:tab w:val="center" w:pos="1627"/>
        </w:tabs>
        <w:spacing w:line="264" w:lineRule="auto"/>
        <w:ind w:left="-14" w:firstLine="0"/>
        <w:jc w:val="both"/>
        <w:rPr>
          <w:rFonts w:ascii="Times New Roman" w:hAnsi="Times New Roman" w:cs="Times New Roman"/>
          <w:sz w:val="24"/>
          <w:szCs w:val="24"/>
        </w:rPr>
      </w:pPr>
      <w:r w:rsidRPr="00E82205">
        <w:rPr>
          <w:rFonts w:ascii="Times New Roman" w:hAnsi="Times New Roman" w:cs="Times New Roman"/>
          <w:sz w:val="24"/>
          <w:szCs w:val="24"/>
        </w:rPr>
        <w:t>3</w:t>
      </w:r>
      <w:r w:rsidR="00255BC1" w:rsidRPr="00E82205">
        <w:rPr>
          <w:rFonts w:ascii="Times New Roman" w:hAnsi="Times New Roman" w:cs="Times New Roman"/>
          <w:sz w:val="24"/>
          <w:szCs w:val="24"/>
        </w:rPr>
        <w:t xml:space="preserve">      Methods</w:t>
      </w:r>
    </w:p>
    <w:p w14:paraId="70DE22A3" w14:textId="48DCE2AA" w:rsidR="00BA7637" w:rsidRPr="00DD2C1A" w:rsidRDefault="00B1023A" w:rsidP="001763D8">
      <w:pPr>
        <w:pStyle w:val="Newparagraph"/>
        <w:spacing w:after="1" w:line="473" w:lineRule="auto"/>
        <w:ind w:right="14" w:firstLine="0"/>
        <w:jc w:val="both"/>
        <w:rPr>
          <w:lang w:val="en-US"/>
        </w:rPr>
      </w:pPr>
      <w:r>
        <w:rPr>
          <w:bCs/>
          <w:lang w:val="en-US"/>
        </w:rPr>
        <w:t>D</w:t>
      </w:r>
      <w:r w:rsidR="00BA7637" w:rsidRPr="00DD2C1A">
        <w:rPr>
          <w:bCs/>
          <w:lang w:val="en-US"/>
        </w:rPr>
        <w:t>ata re</w:t>
      </w:r>
      <w:r w:rsidR="00BA7637">
        <w:rPr>
          <w:bCs/>
          <w:lang w:val="en-US"/>
        </w:rPr>
        <w:t>-</w:t>
      </w:r>
      <w:r w:rsidR="00BA7637" w:rsidRPr="00DD2C1A">
        <w:rPr>
          <w:bCs/>
          <w:lang w:val="en-US"/>
        </w:rPr>
        <w:t xml:space="preserve">evaluations </w:t>
      </w:r>
      <w:r w:rsidR="00BA7637">
        <w:rPr>
          <w:bCs/>
          <w:lang w:val="en-US"/>
        </w:rPr>
        <w:t xml:space="preserve">involving isotopic analyses of N, C and S, </w:t>
      </w:r>
      <w:r w:rsidR="00BA7637" w:rsidRPr="00DD2C1A">
        <w:rPr>
          <w:bCs/>
          <w:lang w:val="en-US"/>
        </w:rPr>
        <w:t>from the following publications are presented:</w:t>
      </w:r>
      <w:r w:rsidR="00BA7637" w:rsidRPr="00DD2C1A">
        <w:rPr>
          <w:lang w:val="en-US"/>
        </w:rPr>
        <w:t xml:space="preserve"> (1) Moyo et al. (2021), (</w:t>
      </w:r>
      <w:r w:rsidR="00BA7637">
        <w:rPr>
          <w:lang w:val="en-US"/>
        </w:rPr>
        <w:t>2</w:t>
      </w:r>
      <w:r w:rsidR="00BA7637" w:rsidRPr="00DD2C1A">
        <w:rPr>
          <w:lang w:val="en-US"/>
        </w:rPr>
        <w:t>) Sandrock et al. (2005),</w:t>
      </w:r>
      <w:r w:rsidR="00BA7637">
        <w:rPr>
          <w:lang w:val="en-US"/>
        </w:rPr>
        <w:t xml:space="preserve"> and</w:t>
      </w:r>
      <w:r w:rsidR="00BA7637" w:rsidRPr="00DD2C1A">
        <w:rPr>
          <w:lang w:val="en-US"/>
        </w:rPr>
        <w:t xml:space="preserve"> (</w:t>
      </w:r>
      <w:r w:rsidR="00BA7637">
        <w:rPr>
          <w:lang w:val="en-US"/>
        </w:rPr>
        <w:t>3</w:t>
      </w:r>
      <w:r w:rsidR="00BA7637" w:rsidRPr="00DD2C1A">
        <w:rPr>
          <w:lang w:val="en-US"/>
        </w:rPr>
        <w:t>) House et al. (2022) Publication (1) deals with C and N isotope evaluations to evaluate trophic levels (only nitrogen isotopes were used in our re</w:t>
      </w:r>
      <w:r w:rsidR="00BA7637">
        <w:rPr>
          <w:lang w:val="en-US"/>
        </w:rPr>
        <w:t>-</w:t>
      </w:r>
      <w:r w:rsidR="00BA7637" w:rsidRPr="00DD2C1A">
        <w:rPr>
          <w:lang w:val="en-US"/>
        </w:rPr>
        <w:t>evaluation); Publication (</w:t>
      </w:r>
      <w:r w:rsidR="00BA7637">
        <w:rPr>
          <w:lang w:val="en-US"/>
        </w:rPr>
        <w:t>2</w:t>
      </w:r>
      <w:r w:rsidR="00BA7637" w:rsidRPr="00DD2C1A">
        <w:rPr>
          <w:lang w:val="en-US"/>
        </w:rPr>
        <w:t xml:space="preserve">) covers a </w:t>
      </w:r>
      <w:r w:rsidR="00BA7637" w:rsidRPr="00DD2C1A">
        <w:rPr>
          <w:vertAlign w:val="superscript"/>
          <w:lang w:val="en-US"/>
        </w:rPr>
        <w:t>15</w:t>
      </w:r>
      <w:r w:rsidR="00BA7637" w:rsidRPr="00DD2C1A">
        <w:rPr>
          <w:lang w:val="en-US"/>
        </w:rPr>
        <w:t>N depleted tracer study on ornamental plants grown in pots; Publication (</w:t>
      </w:r>
      <w:r w:rsidR="00BA7637">
        <w:rPr>
          <w:lang w:val="en-US"/>
        </w:rPr>
        <w:t>3</w:t>
      </w:r>
      <w:r w:rsidR="00BA7637" w:rsidRPr="00DD2C1A">
        <w:rPr>
          <w:lang w:val="en-US"/>
        </w:rPr>
        <w:t xml:space="preserve">) involves an isotopic analysis of </w:t>
      </w:r>
      <w:r w:rsidR="00BA7637" w:rsidRPr="00DD2C1A">
        <w:rPr>
          <w:vertAlign w:val="superscript"/>
          <w:lang w:val="en-US"/>
        </w:rPr>
        <w:t>13</w:t>
      </w:r>
      <w:r w:rsidR="00BA7637" w:rsidRPr="00DD2C1A">
        <w:rPr>
          <w:lang w:val="en-US"/>
        </w:rPr>
        <w:t xml:space="preserve">C and </w:t>
      </w:r>
      <w:r w:rsidR="00BA7637" w:rsidRPr="00DD2C1A">
        <w:rPr>
          <w:vertAlign w:val="superscript"/>
          <w:lang w:val="en-US"/>
        </w:rPr>
        <w:t>34</w:t>
      </w:r>
      <w:r w:rsidR="00BA7637" w:rsidRPr="00DD2C1A">
        <w:rPr>
          <w:lang w:val="en-US"/>
        </w:rPr>
        <w:t>S on samples collected by the Curiosity rover on Mars</w:t>
      </w:r>
      <w:r w:rsidR="00BA7637">
        <w:rPr>
          <w:lang w:val="en-US"/>
        </w:rPr>
        <w:t>.</w:t>
      </w:r>
      <w:r w:rsidR="00BA7637" w:rsidRPr="00DD2C1A">
        <w:rPr>
          <w:lang w:val="en-US"/>
        </w:rPr>
        <w:t xml:space="preserve"> </w:t>
      </w:r>
      <w:r w:rsidR="00BA7637">
        <w:rPr>
          <w:lang w:val="en-US"/>
        </w:rPr>
        <w:t>D</w:t>
      </w:r>
      <w:r w:rsidR="00BA7637" w:rsidRPr="00DD2C1A">
        <w:rPr>
          <w:lang w:val="en-US"/>
        </w:rPr>
        <w:t>ata reanalyz</w:t>
      </w:r>
      <w:r w:rsidR="00BA7637">
        <w:rPr>
          <w:lang w:val="en-US"/>
        </w:rPr>
        <w:t>e</w:t>
      </w:r>
      <w:r w:rsidR="00BA7637" w:rsidRPr="00DD2C1A">
        <w:rPr>
          <w:lang w:val="en-US"/>
        </w:rPr>
        <w:t xml:space="preserve">s are as explained in the </w:t>
      </w:r>
      <w:r w:rsidR="00E73E69">
        <w:rPr>
          <w:lang w:val="en-US"/>
        </w:rPr>
        <w:t xml:space="preserve">initial </w:t>
      </w:r>
      <w:r w:rsidR="00BA7637" w:rsidRPr="00DD2C1A">
        <w:rPr>
          <w:lang w:val="en-US"/>
        </w:rPr>
        <w:t>Sr isotope examples (</w:t>
      </w:r>
      <w:r w:rsidR="00C43188">
        <w:rPr>
          <w:lang w:val="en-US"/>
        </w:rPr>
        <w:t>M</w:t>
      </w:r>
      <w:r w:rsidR="0074018C">
        <w:rPr>
          <w:lang w:val="en-US"/>
        </w:rPr>
        <w:t>oots</w:t>
      </w:r>
      <w:r w:rsidR="00C43188">
        <w:rPr>
          <w:lang w:val="en-US"/>
        </w:rPr>
        <w:t xml:space="preserve"> et al.</w:t>
      </w:r>
      <w:r w:rsidR="00BA7637" w:rsidRPr="00DD2C1A">
        <w:rPr>
          <w:lang w:val="en-US"/>
        </w:rPr>
        <w:t xml:space="preserve"> 202</w:t>
      </w:r>
      <w:r w:rsidR="0074018C">
        <w:rPr>
          <w:lang w:val="en-US"/>
        </w:rPr>
        <w:t>4</w:t>
      </w:r>
      <w:r w:rsidR="00E73E69">
        <w:rPr>
          <w:lang w:val="en-US"/>
        </w:rPr>
        <w:t>b</w:t>
      </w:r>
      <w:r w:rsidR="00BA7637" w:rsidRPr="00DD2C1A">
        <w:rPr>
          <w:lang w:val="en-US"/>
        </w:rPr>
        <w:t xml:space="preserve">). However, no assumptions </w:t>
      </w:r>
      <w:r w:rsidR="00BA7637">
        <w:rPr>
          <w:lang w:val="en-US"/>
        </w:rPr>
        <w:t xml:space="preserve">(required when an element has more than two isotopic species) </w:t>
      </w:r>
      <w:r w:rsidR="00BA7637" w:rsidRPr="00DD2C1A">
        <w:rPr>
          <w:lang w:val="en-US"/>
        </w:rPr>
        <w:t xml:space="preserve">were </w:t>
      </w:r>
      <w:r w:rsidR="00BA7637">
        <w:rPr>
          <w:lang w:val="en-US"/>
        </w:rPr>
        <w:t xml:space="preserve">used </w:t>
      </w:r>
      <w:r w:rsidR="00BA7637" w:rsidRPr="00DD2C1A">
        <w:rPr>
          <w:lang w:val="en-US"/>
        </w:rPr>
        <w:t>when calculating denominator or numerator ratio values</w:t>
      </w:r>
      <w:r w:rsidR="00D30ECF">
        <w:rPr>
          <w:lang w:val="en-US"/>
        </w:rPr>
        <w:t xml:space="preserve"> for N and C studies</w:t>
      </w:r>
      <w:r w:rsidR="00BA7637" w:rsidRPr="00DD2C1A">
        <w:rPr>
          <w:lang w:val="en-US"/>
        </w:rPr>
        <w:t xml:space="preserve">. </w:t>
      </w:r>
      <w:r w:rsidR="00BA7637">
        <w:rPr>
          <w:lang w:val="en-US"/>
        </w:rPr>
        <w:t>Nitrogen and C only have</w:t>
      </w:r>
      <w:r w:rsidR="00BA7637" w:rsidRPr="00DD2C1A">
        <w:rPr>
          <w:lang w:val="en-US"/>
        </w:rPr>
        <w:t xml:space="preserve"> two major mass isotopes. </w:t>
      </w:r>
      <w:r w:rsidR="00BA7637">
        <w:rPr>
          <w:lang w:val="en-US"/>
        </w:rPr>
        <w:t xml:space="preserve">Sulfur has more </w:t>
      </w:r>
      <w:r w:rsidR="00BA7637">
        <w:rPr>
          <w:lang w:val="en-US"/>
        </w:rPr>
        <w:lastRenderedPageBreak/>
        <w:t>than two isotope species. However, d</w:t>
      </w:r>
      <w:r w:rsidR="00BA7637" w:rsidRPr="00DD2C1A">
        <w:rPr>
          <w:lang w:val="en-US"/>
        </w:rPr>
        <w:t>enominator vs. numerator plots were not conducted for S isotopes</w:t>
      </w:r>
      <w:r w:rsidR="00BA7637">
        <w:rPr>
          <w:lang w:val="en-US"/>
        </w:rPr>
        <w:t xml:space="preserve"> as </w:t>
      </w:r>
      <w:r w:rsidR="000033FC">
        <w:rPr>
          <w:lang w:val="en-US"/>
        </w:rPr>
        <w:t xml:space="preserve">traditional </w:t>
      </w:r>
      <w:r w:rsidR="00BA7637">
        <w:rPr>
          <w:lang w:val="en-US"/>
        </w:rPr>
        <w:t>mixing diagrams easily defined sources</w:t>
      </w:r>
      <w:r w:rsidR="00BA7637" w:rsidRPr="00DD2C1A">
        <w:rPr>
          <w:lang w:val="en-US"/>
        </w:rPr>
        <w:t xml:space="preserve">. For the Moyo et al. (2021) dataset, obvious outliers (shown in Figure </w:t>
      </w:r>
      <w:r w:rsidR="00DF7D1C">
        <w:rPr>
          <w:lang w:val="en-US"/>
        </w:rPr>
        <w:t>S</w:t>
      </w:r>
      <w:r w:rsidR="00BA7637" w:rsidRPr="00DD2C1A">
        <w:rPr>
          <w:lang w:val="en-US"/>
        </w:rPr>
        <w:t>1</w:t>
      </w:r>
      <w:r w:rsidR="000033FC">
        <w:rPr>
          <w:lang w:val="en-US"/>
        </w:rPr>
        <w:t>a</w:t>
      </w:r>
      <w:r w:rsidR="00BA7637" w:rsidRPr="00DD2C1A">
        <w:rPr>
          <w:lang w:val="en-US"/>
        </w:rPr>
        <w:t>) were removed before analysis to eliminate points statistically identified as having excessive residuals or excessive leverage, or both</w:t>
      </w:r>
      <w:r w:rsidR="000033FC">
        <w:rPr>
          <w:lang w:val="en-US"/>
        </w:rPr>
        <w:t xml:space="preserve"> in </w:t>
      </w:r>
      <w:r w:rsidR="000033FC" w:rsidRPr="000033FC">
        <w:rPr>
          <w:vertAlign w:val="superscript"/>
          <w:lang w:val="en-US"/>
        </w:rPr>
        <w:t>14</w:t>
      </w:r>
      <w:r w:rsidR="000033FC">
        <w:rPr>
          <w:lang w:val="en-US"/>
        </w:rPr>
        <w:t xml:space="preserve">N vs. </w:t>
      </w:r>
      <w:r w:rsidR="000033FC" w:rsidRPr="000033FC">
        <w:rPr>
          <w:vertAlign w:val="superscript"/>
          <w:lang w:val="en-US"/>
        </w:rPr>
        <w:t>15</w:t>
      </w:r>
      <w:r w:rsidR="000033FC">
        <w:rPr>
          <w:lang w:val="en-US"/>
        </w:rPr>
        <w:t>N plots</w:t>
      </w:r>
      <w:r w:rsidR="00BA7637" w:rsidRPr="00DD2C1A">
        <w:rPr>
          <w:lang w:val="en-US"/>
        </w:rPr>
        <w:t xml:space="preserve">. </w:t>
      </w:r>
    </w:p>
    <w:p w14:paraId="14E3C6F8" w14:textId="7AA08293" w:rsidR="00BA7637" w:rsidRDefault="00BA7637" w:rsidP="001763D8">
      <w:pPr>
        <w:pStyle w:val="Newparagraph"/>
        <w:spacing w:after="1" w:line="473" w:lineRule="auto"/>
        <w:ind w:right="14"/>
        <w:jc w:val="both"/>
        <w:rPr>
          <w:lang w:val="en-US"/>
        </w:rPr>
      </w:pPr>
      <w:r w:rsidRPr="00DD2C1A">
        <w:rPr>
          <w:lang w:val="en-US"/>
        </w:rPr>
        <w:t xml:space="preserve">Data for the tracer study (Sandrock et al. 2005) differs from most </w:t>
      </w:r>
      <w:r w:rsidRPr="00DD2C1A">
        <w:rPr>
          <w:vertAlign w:val="superscript"/>
          <w:lang w:val="en-US"/>
        </w:rPr>
        <w:t>15</w:t>
      </w:r>
      <w:r w:rsidRPr="00DD2C1A">
        <w:rPr>
          <w:lang w:val="en-US"/>
        </w:rPr>
        <w:t xml:space="preserve">N tracer studies. </w:t>
      </w:r>
      <w:r>
        <w:rPr>
          <w:lang w:val="en-US"/>
        </w:rPr>
        <w:t>T</w:t>
      </w:r>
      <w:r w:rsidRPr="00DD2C1A">
        <w:rPr>
          <w:lang w:val="en-US"/>
        </w:rPr>
        <w:t xml:space="preserve">o avoid background </w:t>
      </w:r>
      <w:r>
        <w:rPr>
          <w:lang w:val="en-US"/>
        </w:rPr>
        <w:t>and starting point concerns the authors</w:t>
      </w:r>
      <w:r w:rsidRPr="00DD2C1A">
        <w:rPr>
          <w:lang w:val="en-US"/>
        </w:rPr>
        <w:t xml:space="preserve"> expressed their data as N gained (and by inference </w:t>
      </w:r>
      <w:r w:rsidRPr="00DD2C1A">
        <w:rPr>
          <w:vertAlign w:val="superscript"/>
          <w:lang w:val="en-US"/>
        </w:rPr>
        <w:t>14</w:t>
      </w:r>
      <w:r w:rsidRPr="00DD2C1A">
        <w:rPr>
          <w:lang w:val="en-US"/>
        </w:rPr>
        <w:t xml:space="preserve">N and </w:t>
      </w:r>
      <w:r w:rsidRPr="00DD2C1A">
        <w:rPr>
          <w:vertAlign w:val="superscript"/>
          <w:lang w:val="en-US"/>
        </w:rPr>
        <w:t>15</w:t>
      </w:r>
      <w:r w:rsidRPr="00DD2C1A">
        <w:rPr>
          <w:lang w:val="en-US"/>
        </w:rPr>
        <w:t xml:space="preserve">N gained) rather than total N, </w:t>
      </w:r>
      <w:r w:rsidRPr="00DD2C1A">
        <w:rPr>
          <w:vertAlign w:val="superscript"/>
          <w:lang w:val="en-US"/>
        </w:rPr>
        <w:t>14</w:t>
      </w:r>
      <w:r w:rsidRPr="00DD2C1A">
        <w:rPr>
          <w:lang w:val="en-US"/>
        </w:rPr>
        <w:t xml:space="preserve">N and </w:t>
      </w:r>
      <w:r w:rsidRPr="00DD2C1A">
        <w:rPr>
          <w:vertAlign w:val="superscript"/>
          <w:lang w:val="en-US"/>
        </w:rPr>
        <w:t>15</w:t>
      </w:r>
      <w:r w:rsidRPr="00DD2C1A">
        <w:rPr>
          <w:lang w:val="en-US"/>
        </w:rPr>
        <w:t xml:space="preserve">N concentration and contents. The dry weight and total N at planting were subtracted from final measurements of dry weight and plant N to determine growth and N uptake during the experimental period. This effectively eliminates </w:t>
      </w:r>
      <w:r w:rsidRPr="00DD2C1A">
        <w:rPr>
          <w:i/>
          <w:iCs/>
          <w:lang w:val="en-US"/>
        </w:rPr>
        <w:t>y</w:t>
      </w:r>
      <w:r w:rsidRPr="00DD2C1A">
        <w:rPr>
          <w:lang w:val="en-US"/>
        </w:rPr>
        <w:t>-intercepts (background effects) forcing denominator</w:t>
      </w:r>
      <w:r w:rsidR="00847636">
        <w:rPr>
          <w:lang w:val="en-US"/>
        </w:rPr>
        <w:t xml:space="preserve"> (</w:t>
      </w:r>
      <w:r w:rsidR="00847636" w:rsidRPr="00847636">
        <w:rPr>
          <w:vertAlign w:val="superscript"/>
          <w:lang w:val="en-US"/>
        </w:rPr>
        <w:t>14</w:t>
      </w:r>
      <w:r w:rsidR="00847636">
        <w:rPr>
          <w:lang w:val="en-US"/>
        </w:rPr>
        <w:t>N)</w:t>
      </w:r>
      <w:r w:rsidRPr="00DD2C1A">
        <w:rPr>
          <w:lang w:val="en-US"/>
        </w:rPr>
        <w:t xml:space="preserve"> vs. numerator </w:t>
      </w:r>
      <w:r w:rsidR="00847636">
        <w:rPr>
          <w:lang w:val="en-US"/>
        </w:rPr>
        <w:t>(</w:t>
      </w:r>
      <w:r w:rsidR="00847636" w:rsidRPr="00847636">
        <w:rPr>
          <w:vertAlign w:val="superscript"/>
          <w:lang w:val="en-US"/>
        </w:rPr>
        <w:t>15</w:t>
      </w:r>
      <w:r w:rsidR="00847636">
        <w:rPr>
          <w:lang w:val="en-US"/>
        </w:rPr>
        <w:t xml:space="preserve">N) </w:t>
      </w:r>
      <w:r w:rsidRPr="00DD2C1A">
        <w:rPr>
          <w:lang w:val="en-US"/>
        </w:rPr>
        <w:t xml:space="preserve">functions to pass through the origin. Under these conditions, if sources change, a curvilinear function that approaches the origin (such as a power function) may better describe data. Without background concerns, more theoretically correct </w:t>
      </w:r>
      <w:r w:rsidR="00081233">
        <w:rPr>
          <w:lang w:val="en-US"/>
        </w:rPr>
        <w:t xml:space="preserve">predictive </w:t>
      </w:r>
      <w:r w:rsidRPr="00DD2C1A">
        <w:rPr>
          <w:lang w:val="en-US"/>
        </w:rPr>
        <w:t xml:space="preserve">curvilinear functions with non-zero </w:t>
      </w:r>
      <w:r w:rsidRPr="00DD2C1A">
        <w:rPr>
          <w:i/>
          <w:iCs/>
          <w:lang w:val="en-US"/>
        </w:rPr>
        <w:t>y</w:t>
      </w:r>
      <w:r w:rsidRPr="00DD2C1A">
        <w:rPr>
          <w:lang w:val="en-US"/>
        </w:rPr>
        <w:t>-intercepts that would apply to unadjusted data are not necessary.</w:t>
      </w:r>
    </w:p>
    <w:p w14:paraId="40D88753" w14:textId="6207249A" w:rsidR="00255BC1" w:rsidRPr="00E82205" w:rsidRDefault="00A84C57" w:rsidP="00A62633">
      <w:pPr>
        <w:pStyle w:val="Heading1"/>
        <w:tabs>
          <w:tab w:val="center" w:pos="1627"/>
        </w:tabs>
        <w:spacing w:line="264" w:lineRule="auto"/>
        <w:ind w:left="-14" w:firstLine="0"/>
        <w:jc w:val="both"/>
        <w:rPr>
          <w:rFonts w:ascii="Times New Roman" w:hAnsi="Times New Roman" w:cs="Times New Roman"/>
          <w:sz w:val="24"/>
          <w:szCs w:val="24"/>
        </w:rPr>
      </w:pPr>
      <w:r w:rsidRPr="00E82205">
        <w:rPr>
          <w:rFonts w:ascii="Times New Roman" w:hAnsi="Times New Roman" w:cs="Times New Roman"/>
          <w:sz w:val="24"/>
          <w:szCs w:val="24"/>
        </w:rPr>
        <w:t>4</w:t>
      </w:r>
      <w:r w:rsidR="00255BC1" w:rsidRPr="00E82205">
        <w:rPr>
          <w:rFonts w:ascii="Times New Roman" w:hAnsi="Times New Roman" w:cs="Times New Roman"/>
          <w:sz w:val="24"/>
          <w:szCs w:val="24"/>
        </w:rPr>
        <w:t xml:space="preserve">      Data </w:t>
      </w:r>
      <w:r w:rsidRPr="00E82205">
        <w:rPr>
          <w:rFonts w:ascii="Times New Roman" w:hAnsi="Times New Roman" w:cs="Times New Roman"/>
          <w:sz w:val="24"/>
          <w:szCs w:val="24"/>
        </w:rPr>
        <w:t>Re-e</w:t>
      </w:r>
      <w:r w:rsidR="00255BC1" w:rsidRPr="00E82205">
        <w:rPr>
          <w:rFonts w:ascii="Times New Roman" w:hAnsi="Times New Roman" w:cs="Times New Roman"/>
          <w:sz w:val="24"/>
          <w:szCs w:val="24"/>
        </w:rPr>
        <w:t>valuations</w:t>
      </w:r>
    </w:p>
    <w:p w14:paraId="70C0C0B8" w14:textId="46710751" w:rsidR="007A4D06" w:rsidRDefault="007A4D06" w:rsidP="00A62633">
      <w:pPr>
        <w:pStyle w:val="Heading1"/>
        <w:spacing w:after="3" w:line="473" w:lineRule="auto"/>
        <w:ind w:left="0" w:right="14"/>
        <w:jc w:val="both"/>
        <w:rPr>
          <w:rFonts w:ascii="Times New Roman" w:hAnsi="Times New Roman" w:cs="Times New Roman"/>
          <w:sz w:val="24"/>
          <w:szCs w:val="24"/>
        </w:rPr>
      </w:pPr>
      <w:r w:rsidRPr="007A4D06">
        <w:rPr>
          <w:rFonts w:ascii="Times New Roman" w:hAnsi="Times New Roman" w:cs="Times New Roman"/>
          <w:sz w:val="24"/>
          <w:szCs w:val="24"/>
        </w:rPr>
        <w:t xml:space="preserve">4.1 Study 1) </w:t>
      </w:r>
      <w:r w:rsidR="000B02B9" w:rsidRPr="007E4695">
        <w:rPr>
          <w:rFonts w:ascii="Times New Roman" w:hAnsi="Times New Roman" w:cs="Times New Roman"/>
          <w:sz w:val="24"/>
          <w:szCs w:val="24"/>
        </w:rPr>
        <w:t xml:space="preserve">Total N Differences Confound the Interpretation of </w:t>
      </w:r>
      <w:r w:rsidR="000B02B9" w:rsidRPr="007E4695">
        <w:rPr>
          <w:rFonts w:ascii="Times New Roman" w:hAnsi="Times New Roman" w:cs="Times New Roman"/>
          <w:sz w:val="24"/>
          <w:szCs w:val="24"/>
          <w:vertAlign w:val="superscript"/>
        </w:rPr>
        <w:t>15</w:t>
      </w:r>
      <w:r w:rsidR="000B02B9" w:rsidRPr="007E4695">
        <w:rPr>
          <w:rFonts w:ascii="Times New Roman" w:hAnsi="Times New Roman" w:cs="Times New Roman"/>
          <w:sz w:val="24"/>
          <w:szCs w:val="24"/>
        </w:rPr>
        <w:t>N Defined Trophic Levels</w:t>
      </w:r>
      <w:r w:rsidR="000B02B9" w:rsidRPr="007A4D06">
        <w:rPr>
          <w:rFonts w:ascii="Times New Roman" w:hAnsi="Times New Roman" w:cs="Times New Roman"/>
          <w:sz w:val="24"/>
          <w:szCs w:val="24"/>
        </w:rPr>
        <w:t xml:space="preserve"> </w:t>
      </w:r>
    </w:p>
    <w:p w14:paraId="1291F436" w14:textId="3F132F25" w:rsidR="00BA7637" w:rsidRPr="00023D70" w:rsidRDefault="00BA7637" w:rsidP="000B02B9">
      <w:pPr>
        <w:pStyle w:val="Paragraph"/>
        <w:spacing w:before="0" w:after="3" w:line="473" w:lineRule="auto"/>
        <w:ind w:right="14"/>
        <w:jc w:val="both"/>
        <w:rPr>
          <w:lang w:val="en-US"/>
        </w:rPr>
      </w:pPr>
      <w:r>
        <w:rPr>
          <w:lang w:val="en-US"/>
        </w:rPr>
        <w:t>Seaside sparrows</w:t>
      </w:r>
      <w:r w:rsidRPr="00DD2C1A">
        <w:rPr>
          <w:lang w:val="en-US"/>
        </w:rPr>
        <w:t xml:space="preserve"> (</w:t>
      </w:r>
      <w:r w:rsidRPr="007F61B2">
        <w:rPr>
          <w:i/>
          <w:iCs/>
          <w:lang w:val="en-US"/>
        </w:rPr>
        <w:t>Ammospiza maritima</w:t>
      </w:r>
      <w:r w:rsidRPr="00DD2C1A">
        <w:rPr>
          <w:lang w:val="en-US"/>
        </w:rPr>
        <w:t>) and marsh rice rats (</w:t>
      </w:r>
      <w:r w:rsidRPr="007F61B2">
        <w:rPr>
          <w:i/>
          <w:iCs/>
          <w:lang w:val="en-US"/>
        </w:rPr>
        <w:t>Oryzomys palustris</w:t>
      </w:r>
      <w:r w:rsidRPr="00DD2C1A">
        <w:rPr>
          <w:lang w:val="en-US"/>
        </w:rPr>
        <w:t xml:space="preserve">) are two ubiquitous terrestrial vertebrates that are thought to be bioindicators of </w:t>
      </w:r>
      <w:r>
        <w:rPr>
          <w:lang w:val="en-US"/>
        </w:rPr>
        <w:t xml:space="preserve">animal responses to </w:t>
      </w:r>
      <w:r w:rsidRPr="00DD2C1A">
        <w:rPr>
          <w:lang w:val="en-US"/>
        </w:rPr>
        <w:t>oil spills in saltmarsh ecosystems (Moyo et al. 2021). To improve the utility of these omnivorous taxa as bioindicators, Moyo et al. (2021) used carbon and nitrogen stable isotope analys</w:t>
      </w:r>
      <w:r>
        <w:rPr>
          <w:lang w:val="en-US"/>
        </w:rPr>
        <w:t>e</w:t>
      </w:r>
      <w:r w:rsidRPr="00DD2C1A">
        <w:rPr>
          <w:lang w:val="en-US"/>
        </w:rPr>
        <w:t xml:space="preserve">s to quantify their trophic niches </w:t>
      </w:r>
      <w:r>
        <w:rPr>
          <w:lang w:val="en-US"/>
        </w:rPr>
        <w:t>in</w:t>
      </w:r>
      <w:r w:rsidRPr="00DD2C1A">
        <w:rPr>
          <w:lang w:val="en-US"/>
        </w:rPr>
        <w:t xml:space="preserve"> saltmarshes in coastal Louisiana (USA) with differing oiling histories. </w:t>
      </w:r>
      <w:r>
        <w:rPr>
          <w:lang w:val="en-US"/>
        </w:rPr>
        <w:t xml:space="preserve">In this </w:t>
      </w:r>
      <w:r w:rsidR="000033FC">
        <w:rPr>
          <w:noProof/>
          <w:lang w:val="en-US"/>
        </w:rPr>
        <w:t>example,</w:t>
      </w:r>
      <w:r>
        <w:rPr>
          <w:noProof/>
          <w:lang w:val="en-US"/>
        </w:rPr>
        <w:t xml:space="preserve"> linear </w:t>
      </w:r>
      <w:r>
        <w:rPr>
          <w:noProof/>
          <w:vertAlign w:val="superscript"/>
          <w:lang w:val="en-US"/>
        </w:rPr>
        <w:t>14</w:t>
      </w:r>
      <w:r>
        <w:rPr>
          <w:noProof/>
          <w:lang w:val="en-US"/>
        </w:rPr>
        <w:t xml:space="preserve">N vs. </w:t>
      </w:r>
      <w:r>
        <w:rPr>
          <w:noProof/>
          <w:vertAlign w:val="superscript"/>
          <w:lang w:val="en-US"/>
        </w:rPr>
        <w:t>15</w:t>
      </w:r>
      <w:r>
        <w:rPr>
          <w:noProof/>
          <w:lang w:val="en-US"/>
        </w:rPr>
        <w:t xml:space="preserve">N relationships that produce linear mixing lines adequately explain the results. </w:t>
      </w:r>
    </w:p>
    <w:p w14:paraId="5C3CFC1D" w14:textId="0DEFDDB6" w:rsidR="00BA7637" w:rsidRDefault="00BA7637" w:rsidP="004E3245">
      <w:pPr>
        <w:pStyle w:val="Paragraph"/>
        <w:spacing w:before="0" w:after="3" w:line="473" w:lineRule="auto"/>
        <w:ind w:right="14" w:firstLine="720"/>
        <w:jc w:val="both"/>
      </w:pPr>
      <w:r w:rsidRPr="00DD2C1A">
        <w:rPr>
          <w:lang w:val="en-US"/>
        </w:rPr>
        <w:t>A re</w:t>
      </w:r>
      <w:r>
        <w:rPr>
          <w:lang w:val="en-US"/>
        </w:rPr>
        <w:t>-</w:t>
      </w:r>
      <w:r w:rsidRPr="00DD2C1A">
        <w:rPr>
          <w:lang w:val="en-US"/>
        </w:rPr>
        <w:t xml:space="preserve">evaluation of the Moyo et al. (2021) study suggests that using </w:t>
      </w:r>
      <w:r w:rsidRPr="006E4912">
        <w:rPr>
          <w:vertAlign w:val="superscript"/>
          <w:lang w:val="en-US"/>
        </w:rPr>
        <w:t>14</w:t>
      </w:r>
      <w:r w:rsidRPr="00DD2C1A">
        <w:rPr>
          <w:lang w:val="en-US"/>
        </w:rPr>
        <w:t xml:space="preserve">N vs. </w:t>
      </w:r>
      <w:r w:rsidRPr="006E4912">
        <w:rPr>
          <w:vertAlign w:val="superscript"/>
          <w:lang w:val="en-US"/>
        </w:rPr>
        <w:t>15</w:t>
      </w:r>
      <w:r w:rsidRPr="00DD2C1A">
        <w:rPr>
          <w:lang w:val="en-US"/>
        </w:rPr>
        <w:t xml:space="preserve">N slopes </w:t>
      </w:r>
      <w:r w:rsidRPr="00DD2C1A">
        <w:rPr>
          <w:lang w:val="en-US"/>
        </w:rPr>
        <w:lastRenderedPageBreak/>
        <w:t xml:space="preserve">provides better resolution of trophic level assignment for sparrows and marsh rats, than using either </w:t>
      </w:r>
      <w:r w:rsidRPr="006E4912">
        <w:rPr>
          <w:vertAlign w:val="superscript"/>
          <w:lang w:val="en-US"/>
        </w:rPr>
        <w:t>15</w:t>
      </w:r>
      <w:r w:rsidRPr="00DD2C1A">
        <w:rPr>
          <w:lang w:val="en-US"/>
        </w:rPr>
        <w:t>N:</w:t>
      </w:r>
      <w:r w:rsidRPr="006E4912">
        <w:rPr>
          <w:vertAlign w:val="superscript"/>
          <w:lang w:val="en-US"/>
        </w:rPr>
        <w:t>14</w:t>
      </w:r>
      <w:r w:rsidRPr="00DD2C1A">
        <w:rPr>
          <w:lang w:val="en-US"/>
        </w:rPr>
        <w:t>N ratios or Bayesian statistical applications on bivariate δ</w:t>
      </w:r>
      <w:r w:rsidRPr="006E4912">
        <w:rPr>
          <w:vertAlign w:val="superscript"/>
          <w:lang w:val="en-US"/>
        </w:rPr>
        <w:t>13</w:t>
      </w:r>
      <w:r w:rsidRPr="00DD2C1A">
        <w:rPr>
          <w:lang w:val="en-US"/>
        </w:rPr>
        <w:t>C vs. δ</w:t>
      </w:r>
      <w:r w:rsidRPr="006E4912">
        <w:rPr>
          <w:vertAlign w:val="superscript"/>
          <w:lang w:val="en-US"/>
        </w:rPr>
        <w:t>15</w:t>
      </w:r>
      <w:r w:rsidRPr="00DD2C1A">
        <w:rPr>
          <w:lang w:val="en-US"/>
        </w:rPr>
        <w:t xml:space="preserve">N plots. The </w:t>
      </w:r>
      <w:r w:rsidRPr="006E4912">
        <w:rPr>
          <w:vertAlign w:val="superscript"/>
          <w:lang w:val="en-US"/>
        </w:rPr>
        <w:t>15</w:t>
      </w:r>
      <w:r w:rsidRPr="00DD2C1A">
        <w:rPr>
          <w:lang w:val="en-US"/>
        </w:rPr>
        <w:t>N:</w:t>
      </w:r>
      <w:r w:rsidRPr="006E4912">
        <w:rPr>
          <w:vertAlign w:val="superscript"/>
          <w:lang w:val="en-US"/>
        </w:rPr>
        <w:t>14</w:t>
      </w:r>
      <w:r w:rsidRPr="00DD2C1A">
        <w:rPr>
          <w:lang w:val="en-US"/>
        </w:rPr>
        <w:t xml:space="preserve">N ratios and the Bayesian-statistical results for trophic position and niche width provide similar information. </w:t>
      </w:r>
      <w:r w:rsidR="000033FC">
        <w:rPr>
          <w:lang w:val="en-US"/>
        </w:rPr>
        <w:t>Bayesian defined tr</w:t>
      </w:r>
      <w:r w:rsidR="00037578">
        <w:rPr>
          <w:lang w:val="en-US"/>
        </w:rPr>
        <w:t>o</w:t>
      </w:r>
      <w:r w:rsidR="000033FC">
        <w:rPr>
          <w:lang w:val="en-US"/>
        </w:rPr>
        <w:t xml:space="preserve">phic levels for various treatments are related to </w:t>
      </w:r>
      <w:r w:rsidR="000033FC" w:rsidRPr="00DD2C1A">
        <w:rPr>
          <w:lang w:val="en-US"/>
        </w:rPr>
        <w:t>δ</w:t>
      </w:r>
      <w:r w:rsidR="000033FC" w:rsidRPr="006E4912">
        <w:rPr>
          <w:vertAlign w:val="superscript"/>
          <w:lang w:val="en-US"/>
        </w:rPr>
        <w:t>15</w:t>
      </w:r>
      <w:r w:rsidR="000033FC" w:rsidRPr="00DD2C1A">
        <w:rPr>
          <w:lang w:val="en-US"/>
        </w:rPr>
        <w:t xml:space="preserve">N values </w:t>
      </w:r>
      <w:r w:rsidR="000033FC">
        <w:rPr>
          <w:lang w:val="en-US"/>
        </w:rPr>
        <w:t xml:space="preserve">over the </w:t>
      </w:r>
      <w:r w:rsidR="00D03B1D">
        <w:rPr>
          <w:lang w:val="en-US"/>
        </w:rPr>
        <w:t>three-year</w:t>
      </w:r>
      <w:r w:rsidR="000033FC">
        <w:rPr>
          <w:lang w:val="en-US"/>
        </w:rPr>
        <w:t xml:space="preserve"> period (r</w:t>
      </w:r>
      <w:r w:rsidR="000033FC" w:rsidRPr="000033FC">
        <w:rPr>
          <w:vertAlign w:val="superscript"/>
          <w:lang w:val="en-US"/>
        </w:rPr>
        <w:t>2</w:t>
      </w:r>
      <w:r w:rsidR="000033FC">
        <w:rPr>
          <w:lang w:val="en-US"/>
        </w:rPr>
        <w:t xml:space="preserve"> = 0.671). The r</w:t>
      </w:r>
      <w:r w:rsidR="000033FC" w:rsidRPr="000033FC">
        <w:rPr>
          <w:vertAlign w:val="superscript"/>
          <w:lang w:val="en-US"/>
        </w:rPr>
        <w:t xml:space="preserve">2 </w:t>
      </w:r>
      <w:r w:rsidR="000033FC">
        <w:rPr>
          <w:lang w:val="en-US"/>
        </w:rPr>
        <w:t>values for year 1, 2 and 3 are 0.817, 0.978 and 0.961 respectively. Bayesian defined niche width</w:t>
      </w:r>
      <w:r w:rsidR="00037578">
        <w:rPr>
          <w:lang w:val="en-US"/>
        </w:rPr>
        <w:t>s</w:t>
      </w:r>
      <w:r w:rsidR="000033FC">
        <w:rPr>
          <w:lang w:val="en-US"/>
        </w:rPr>
        <w:t xml:space="preserve"> are related to </w:t>
      </w:r>
      <w:r w:rsidR="000033FC" w:rsidRPr="00DD2C1A">
        <w:rPr>
          <w:lang w:val="en-US"/>
        </w:rPr>
        <w:t>δ</w:t>
      </w:r>
      <w:r w:rsidR="000033FC" w:rsidRPr="006E4912">
        <w:rPr>
          <w:vertAlign w:val="superscript"/>
          <w:lang w:val="en-US"/>
        </w:rPr>
        <w:t>15</w:t>
      </w:r>
      <w:r w:rsidR="000033FC" w:rsidRPr="00DD2C1A">
        <w:rPr>
          <w:lang w:val="en-US"/>
        </w:rPr>
        <w:t xml:space="preserve">N </w:t>
      </w:r>
      <w:r w:rsidR="00037578">
        <w:rPr>
          <w:lang w:val="en-US"/>
        </w:rPr>
        <w:t>standard errors</w:t>
      </w:r>
      <w:r w:rsidR="000033FC" w:rsidRPr="00DD2C1A">
        <w:rPr>
          <w:lang w:val="en-US"/>
        </w:rPr>
        <w:t xml:space="preserve"> </w:t>
      </w:r>
      <w:r w:rsidR="000033FC">
        <w:rPr>
          <w:lang w:val="en-US"/>
        </w:rPr>
        <w:t xml:space="preserve">over the </w:t>
      </w:r>
      <w:r w:rsidR="00D03B1D">
        <w:rPr>
          <w:lang w:val="en-US"/>
        </w:rPr>
        <w:t>three-year</w:t>
      </w:r>
      <w:r w:rsidR="000033FC">
        <w:rPr>
          <w:lang w:val="en-US"/>
        </w:rPr>
        <w:t xml:space="preserve"> period (r</w:t>
      </w:r>
      <w:r w:rsidR="000033FC" w:rsidRPr="000033FC">
        <w:rPr>
          <w:vertAlign w:val="superscript"/>
          <w:lang w:val="en-US"/>
        </w:rPr>
        <w:t>2</w:t>
      </w:r>
      <w:r w:rsidR="000033FC">
        <w:rPr>
          <w:lang w:val="en-US"/>
        </w:rPr>
        <w:t xml:space="preserve"> = 0.</w:t>
      </w:r>
      <w:r w:rsidR="00037578">
        <w:rPr>
          <w:lang w:val="en-US"/>
        </w:rPr>
        <w:t>769</w:t>
      </w:r>
      <w:r w:rsidR="000033FC">
        <w:rPr>
          <w:lang w:val="en-US"/>
        </w:rPr>
        <w:t xml:space="preserve">). </w:t>
      </w:r>
      <w:r w:rsidR="00037578">
        <w:rPr>
          <w:lang w:val="en-US"/>
        </w:rPr>
        <w:t>The r</w:t>
      </w:r>
      <w:r w:rsidR="00037578" w:rsidRPr="000033FC">
        <w:rPr>
          <w:vertAlign w:val="superscript"/>
          <w:lang w:val="en-US"/>
        </w:rPr>
        <w:t xml:space="preserve">2 </w:t>
      </w:r>
      <w:r w:rsidR="00037578">
        <w:rPr>
          <w:lang w:val="en-US"/>
        </w:rPr>
        <w:t>values for year 1, 2 and 3 are 0.760, 0.923 and 0.989 respectively.</w:t>
      </w:r>
      <w:r w:rsidR="000033FC">
        <w:rPr>
          <w:lang w:val="en-US"/>
        </w:rPr>
        <w:t xml:space="preserve"> </w:t>
      </w:r>
      <w:r w:rsidRPr="00DD2C1A">
        <w:rPr>
          <w:lang w:val="en-US"/>
        </w:rPr>
        <w:t>However, δ</w:t>
      </w:r>
      <w:r w:rsidRPr="006E4912">
        <w:rPr>
          <w:vertAlign w:val="superscript"/>
          <w:lang w:val="en-US"/>
        </w:rPr>
        <w:t>15</w:t>
      </w:r>
      <w:r w:rsidRPr="00DD2C1A">
        <w:rPr>
          <w:lang w:val="en-US"/>
        </w:rPr>
        <w:t xml:space="preserve">N values and the Bayesian </w:t>
      </w:r>
      <w:r w:rsidR="00063786">
        <w:rPr>
          <w:lang w:val="en-US"/>
        </w:rPr>
        <w:t>approaches may not</w:t>
      </w:r>
      <w:r w:rsidRPr="00DD2C1A">
        <w:rPr>
          <w:lang w:val="en-US"/>
        </w:rPr>
        <w:t xml:space="preserve"> reveal sources or niche width. </w:t>
      </w:r>
      <w:r>
        <w:rPr>
          <w:lang w:val="en-US"/>
        </w:rPr>
        <w:t>S</w:t>
      </w:r>
      <w:r w:rsidRPr="00DD2C1A">
        <w:rPr>
          <w:lang w:val="en-US"/>
        </w:rPr>
        <w:t>imple</w:t>
      </w:r>
      <w:r>
        <w:rPr>
          <w:lang w:val="en-US"/>
        </w:rPr>
        <w:t xml:space="preserve"> confounded</w:t>
      </w:r>
      <w:r w:rsidRPr="00DD2C1A">
        <w:rPr>
          <w:lang w:val="en-US"/>
        </w:rPr>
        <w:t xml:space="preserve"> </w:t>
      </w:r>
      <w:r w:rsidRPr="006E4912">
        <w:rPr>
          <w:vertAlign w:val="superscript"/>
          <w:lang w:val="en-US"/>
        </w:rPr>
        <w:t>15</w:t>
      </w:r>
      <w:r w:rsidRPr="00DD2C1A">
        <w:rPr>
          <w:lang w:val="en-US"/>
        </w:rPr>
        <w:t>N:</w:t>
      </w:r>
      <w:r w:rsidRPr="006E4912">
        <w:rPr>
          <w:vertAlign w:val="superscript"/>
          <w:lang w:val="en-US"/>
        </w:rPr>
        <w:t>14</w:t>
      </w:r>
      <w:r w:rsidRPr="00DD2C1A">
        <w:rPr>
          <w:lang w:val="en-US"/>
        </w:rPr>
        <w:t>N ratios</w:t>
      </w:r>
      <w:r>
        <w:rPr>
          <w:lang w:val="en-US"/>
        </w:rPr>
        <w:t xml:space="preserve"> </w:t>
      </w:r>
      <w:r w:rsidRPr="00DD2C1A">
        <w:rPr>
          <w:rFonts w:asciiTheme="majorBidi" w:hAnsiTheme="majorBidi" w:cstheme="majorBidi"/>
          <w:lang w:val="en-US"/>
        </w:rPr>
        <w:t xml:space="preserve">may not quantify sources. </w:t>
      </w:r>
      <w:r w:rsidR="00063786">
        <w:rPr>
          <w:rFonts w:asciiTheme="majorBidi" w:hAnsiTheme="majorBidi" w:cstheme="majorBidi"/>
          <w:lang w:val="en-US"/>
        </w:rPr>
        <w:t>S</w:t>
      </w:r>
      <w:r w:rsidRPr="00DD2C1A">
        <w:rPr>
          <w:rFonts w:asciiTheme="majorBidi" w:hAnsiTheme="majorBidi" w:cstheme="majorBidi"/>
          <w:lang w:val="en-US"/>
        </w:rPr>
        <w:t xml:space="preserve">tandard errors </w:t>
      </w:r>
      <w:r w:rsidR="00063786">
        <w:rPr>
          <w:rFonts w:asciiTheme="majorBidi" w:hAnsiTheme="majorBidi" w:cstheme="majorBidi"/>
          <w:lang w:val="en-US"/>
        </w:rPr>
        <w:t>may not define niche width.</w:t>
      </w:r>
      <w:r w:rsidRPr="00DD2C1A">
        <w:rPr>
          <w:rFonts w:asciiTheme="majorBidi" w:hAnsiTheme="majorBidi" w:cstheme="majorBidi"/>
          <w:lang w:val="en-US"/>
        </w:rPr>
        <w:t xml:space="preserve"> </w:t>
      </w:r>
    </w:p>
    <w:p w14:paraId="751B8A61" w14:textId="358C0324" w:rsidR="00BA7637" w:rsidRPr="00DD2C1A" w:rsidRDefault="00BA7637" w:rsidP="000B02B9">
      <w:pPr>
        <w:pStyle w:val="Newparagraph"/>
        <w:spacing w:after="3" w:line="473" w:lineRule="auto"/>
        <w:ind w:right="14"/>
        <w:jc w:val="both"/>
        <w:rPr>
          <w:rFonts w:asciiTheme="majorBidi" w:hAnsiTheme="majorBidi" w:cstheme="majorBidi"/>
          <w:lang w:val="en-US"/>
        </w:rPr>
      </w:pPr>
      <w:r w:rsidRPr="00DD2C1A">
        <w:rPr>
          <w:lang w:val="en-US"/>
        </w:rPr>
        <w:t>Expanding the analysis to include other species</w:t>
      </w:r>
      <w:r>
        <w:rPr>
          <w:lang w:val="en-US"/>
        </w:rPr>
        <w:t>,</w:t>
      </w:r>
      <w:r w:rsidRPr="00DD2C1A">
        <w:rPr>
          <w:lang w:val="en-US"/>
        </w:rPr>
        <w:t xml:space="preserve"> </w:t>
      </w:r>
      <w:r>
        <w:rPr>
          <w:lang w:val="en-US"/>
        </w:rPr>
        <w:t>mussels (</w:t>
      </w:r>
      <w:r w:rsidRPr="00A32164">
        <w:rPr>
          <w:i/>
          <w:iCs/>
          <w:lang w:val="en-US"/>
        </w:rPr>
        <w:t>Geukensia demissa</w:t>
      </w:r>
      <w:r>
        <w:rPr>
          <w:lang w:val="en-US"/>
        </w:rPr>
        <w:t xml:space="preserve">), insects (Blissidae family and </w:t>
      </w:r>
      <w:r w:rsidRPr="00A32164">
        <w:rPr>
          <w:i/>
          <w:iCs/>
          <w:lang w:val="en-US"/>
        </w:rPr>
        <w:t>Prokelisia</w:t>
      </w:r>
      <w:r>
        <w:rPr>
          <w:lang w:val="en-US"/>
        </w:rPr>
        <w:t xml:space="preserve"> species), plants (</w:t>
      </w:r>
      <w:r w:rsidRPr="00A32164">
        <w:rPr>
          <w:i/>
          <w:iCs/>
          <w:lang w:val="en-US"/>
        </w:rPr>
        <w:t>Spartina alterniflora</w:t>
      </w:r>
      <w:r>
        <w:rPr>
          <w:lang w:val="en-US"/>
        </w:rPr>
        <w:t xml:space="preserve">) and phytoplankton </w:t>
      </w:r>
      <w:r w:rsidRPr="00DD2C1A">
        <w:rPr>
          <w:lang w:val="en-US"/>
        </w:rPr>
        <w:t>in the original authors</w:t>
      </w:r>
      <w:r>
        <w:rPr>
          <w:lang w:val="en-US"/>
        </w:rPr>
        <w:t>’</w:t>
      </w:r>
      <w:r w:rsidRPr="00DD2C1A">
        <w:rPr>
          <w:lang w:val="en-US"/>
        </w:rPr>
        <w:t xml:space="preserve"> supplemental material reveals that source analyses produce different trophic level assignments than simple </w:t>
      </w:r>
      <w:r w:rsidRPr="000F62CF">
        <w:rPr>
          <w:vertAlign w:val="superscript"/>
          <w:lang w:val="en-US"/>
        </w:rPr>
        <w:t>15</w:t>
      </w:r>
      <w:r w:rsidRPr="00DD2C1A">
        <w:rPr>
          <w:lang w:val="en-US"/>
        </w:rPr>
        <w:t>N:</w:t>
      </w:r>
      <w:r w:rsidRPr="000F62CF">
        <w:rPr>
          <w:vertAlign w:val="superscript"/>
          <w:lang w:val="en-US"/>
        </w:rPr>
        <w:t>14</w:t>
      </w:r>
      <w:r w:rsidRPr="00DD2C1A">
        <w:rPr>
          <w:lang w:val="en-US"/>
        </w:rPr>
        <w:t xml:space="preserve">N ratios. As shown below, five different types of source analyses (slopes; y-intercept adjusted ratios; </w:t>
      </w:r>
      <w:r w:rsidR="00847636">
        <w:rPr>
          <w:lang w:val="en-US"/>
        </w:rPr>
        <w:t xml:space="preserve">average derivatives; </w:t>
      </w:r>
      <w:r w:rsidRPr="00DD2C1A">
        <w:rPr>
          <w:lang w:val="en-US"/>
        </w:rPr>
        <w:t>traditional mixing</w:t>
      </w:r>
      <w:r w:rsidRPr="00DD2C1A">
        <w:rPr>
          <w:rFonts w:asciiTheme="majorBidi" w:hAnsiTheme="majorBidi" w:cstheme="majorBidi"/>
          <w:lang w:val="en-US"/>
        </w:rPr>
        <w:t xml:space="preserve"> diagrams with 1/total N </w:t>
      </w:r>
      <w:r w:rsidR="001722EF">
        <w:rPr>
          <w:rFonts w:asciiTheme="majorBidi" w:hAnsiTheme="majorBidi" w:cstheme="majorBidi"/>
          <w:lang w:val="en-US"/>
        </w:rPr>
        <w:t xml:space="preserve">(in mass units) </w:t>
      </w:r>
      <w:r w:rsidRPr="00DD2C1A">
        <w:rPr>
          <w:rFonts w:asciiTheme="majorBidi" w:hAnsiTheme="majorBidi" w:cstheme="majorBidi"/>
          <w:lang w:val="en-US"/>
        </w:rPr>
        <w:t xml:space="preserve">as the </w:t>
      </w:r>
      <w:r w:rsidRPr="00DD2C1A">
        <w:rPr>
          <w:rFonts w:asciiTheme="majorBidi" w:hAnsiTheme="majorBidi" w:cstheme="majorBidi"/>
          <w:i/>
          <w:iCs/>
          <w:lang w:val="en-US"/>
        </w:rPr>
        <w:t>x</w:t>
      </w:r>
      <w:r w:rsidRPr="00DD2C1A">
        <w:rPr>
          <w:rFonts w:asciiTheme="majorBidi" w:hAnsiTheme="majorBidi" w:cstheme="majorBidi"/>
          <w:lang w:val="en-US"/>
        </w:rPr>
        <w:t>-axis</w:t>
      </w:r>
      <w:r w:rsidR="00847636">
        <w:rPr>
          <w:rFonts w:asciiTheme="majorBidi" w:hAnsiTheme="majorBidi" w:cstheme="majorBidi"/>
          <w:lang w:val="en-US"/>
        </w:rPr>
        <w:t>; and</w:t>
      </w:r>
      <w:r w:rsidRPr="00DD2C1A">
        <w:rPr>
          <w:rFonts w:asciiTheme="majorBidi" w:hAnsiTheme="majorBidi" w:cstheme="majorBidi"/>
          <w:lang w:val="en-US"/>
        </w:rPr>
        <w:t xml:space="preserve"> </w:t>
      </w:r>
      <w:r>
        <w:rPr>
          <w:rFonts w:asciiTheme="majorBidi" w:hAnsiTheme="majorBidi" w:cstheme="majorBidi"/>
          <w:lang w:val="en-US"/>
        </w:rPr>
        <w:t>a</w:t>
      </w:r>
      <w:r w:rsidRPr="00DD2C1A">
        <w:rPr>
          <w:rFonts w:asciiTheme="majorBidi" w:hAnsiTheme="majorBidi" w:cstheme="majorBidi"/>
          <w:lang w:val="en-US"/>
        </w:rPr>
        <w:t xml:space="preserve"> mixing diagram with 1/total </w:t>
      </w:r>
      <w:r w:rsidRPr="00DD2C1A">
        <w:rPr>
          <w:rFonts w:asciiTheme="majorBidi" w:hAnsiTheme="majorBidi" w:cstheme="majorBidi"/>
          <w:vertAlign w:val="superscript"/>
          <w:lang w:val="en-US"/>
        </w:rPr>
        <w:t>15</w:t>
      </w:r>
      <w:r w:rsidRPr="00DD2C1A">
        <w:rPr>
          <w:rFonts w:asciiTheme="majorBidi" w:hAnsiTheme="majorBidi" w:cstheme="majorBidi"/>
          <w:lang w:val="en-US"/>
        </w:rPr>
        <w:t xml:space="preserve">N </w:t>
      </w:r>
      <w:r w:rsidR="001722EF">
        <w:rPr>
          <w:rFonts w:asciiTheme="majorBidi" w:hAnsiTheme="majorBidi" w:cstheme="majorBidi"/>
          <w:lang w:val="en-US"/>
        </w:rPr>
        <w:t xml:space="preserve">(in molar units) </w:t>
      </w:r>
      <w:r w:rsidRPr="00DD2C1A">
        <w:rPr>
          <w:rFonts w:asciiTheme="majorBidi" w:hAnsiTheme="majorBidi" w:cstheme="majorBidi"/>
          <w:lang w:val="en-US"/>
        </w:rPr>
        <w:t xml:space="preserve">as the </w:t>
      </w:r>
      <w:r w:rsidRPr="00DD2C1A">
        <w:rPr>
          <w:rFonts w:asciiTheme="majorBidi" w:hAnsiTheme="majorBidi" w:cstheme="majorBidi"/>
          <w:i/>
          <w:iCs/>
          <w:lang w:val="en-US"/>
        </w:rPr>
        <w:t>x</w:t>
      </w:r>
      <w:r w:rsidRPr="00DD2C1A">
        <w:rPr>
          <w:rFonts w:asciiTheme="majorBidi" w:hAnsiTheme="majorBidi" w:cstheme="majorBidi"/>
          <w:lang w:val="en-US"/>
        </w:rPr>
        <w:t>-axis</w:t>
      </w:r>
      <w:r>
        <w:rPr>
          <w:rFonts w:asciiTheme="majorBidi" w:hAnsiTheme="majorBidi" w:cstheme="majorBidi"/>
          <w:lang w:val="en-US"/>
        </w:rPr>
        <w:t xml:space="preserve"> that is mathematically linked to </w:t>
      </w:r>
      <w:r w:rsidRPr="00F74A7D">
        <w:rPr>
          <w:rFonts w:asciiTheme="majorBidi" w:hAnsiTheme="majorBidi" w:cstheme="majorBidi"/>
          <w:vertAlign w:val="superscript"/>
          <w:lang w:val="en-US"/>
        </w:rPr>
        <w:t>86</w:t>
      </w:r>
      <w:r>
        <w:rPr>
          <w:rFonts w:asciiTheme="majorBidi" w:hAnsiTheme="majorBidi" w:cstheme="majorBidi"/>
          <w:lang w:val="en-US"/>
        </w:rPr>
        <w:t xml:space="preserve">Sr vs. </w:t>
      </w:r>
      <w:r w:rsidRPr="00F74A7D">
        <w:rPr>
          <w:rFonts w:asciiTheme="majorBidi" w:hAnsiTheme="majorBidi" w:cstheme="majorBidi"/>
          <w:vertAlign w:val="superscript"/>
          <w:lang w:val="en-US"/>
        </w:rPr>
        <w:t>87</w:t>
      </w:r>
      <w:r>
        <w:rPr>
          <w:rFonts w:asciiTheme="majorBidi" w:hAnsiTheme="majorBidi" w:cstheme="majorBidi"/>
          <w:lang w:val="en-US"/>
        </w:rPr>
        <w:t>Sr plots</w:t>
      </w:r>
      <w:r w:rsidRPr="00DD2C1A">
        <w:rPr>
          <w:rFonts w:asciiTheme="majorBidi" w:hAnsiTheme="majorBidi" w:cstheme="majorBidi"/>
          <w:lang w:val="en-US"/>
        </w:rPr>
        <w:t xml:space="preserve">) all produce similar interpretations. A plot of total N vs. </w:t>
      </w:r>
      <w:r w:rsidRPr="00DD2C1A">
        <w:rPr>
          <w:rFonts w:asciiTheme="majorBidi" w:hAnsiTheme="majorBidi" w:cstheme="majorBidi"/>
          <w:vertAlign w:val="superscript"/>
          <w:lang w:val="en-US"/>
        </w:rPr>
        <w:t>15</w:t>
      </w:r>
      <w:r w:rsidRPr="00DD2C1A">
        <w:rPr>
          <w:rFonts w:asciiTheme="majorBidi" w:hAnsiTheme="majorBidi" w:cstheme="majorBidi"/>
          <w:lang w:val="en-US"/>
        </w:rPr>
        <w:t>N:</w:t>
      </w:r>
      <w:r w:rsidRPr="00DD2C1A">
        <w:rPr>
          <w:rFonts w:asciiTheme="majorBidi" w:hAnsiTheme="majorBidi" w:cstheme="majorBidi"/>
          <w:vertAlign w:val="superscript"/>
          <w:lang w:val="en-US"/>
        </w:rPr>
        <w:t>14</w:t>
      </w:r>
      <w:r w:rsidRPr="00DD2C1A">
        <w:rPr>
          <w:rFonts w:asciiTheme="majorBidi" w:hAnsiTheme="majorBidi" w:cstheme="majorBidi"/>
          <w:lang w:val="en-US"/>
        </w:rPr>
        <w:t xml:space="preserve">N ratios (Figure </w:t>
      </w:r>
      <w:r w:rsidR="00DF7D1C">
        <w:rPr>
          <w:rFonts w:asciiTheme="majorBidi" w:hAnsiTheme="majorBidi" w:cstheme="majorBidi"/>
          <w:lang w:val="en-US"/>
        </w:rPr>
        <w:t>S</w:t>
      </w:r>
      <w:r w:rsidRPr="00DD2C1A">
        <w:rPr>
          <w:rFonts w:asciiTheme="majorBidi" w:hAnsiTheme="majorBidi" w:cstheme="majorBidi"/>
          <w:lang w:val="en-US"/>
        </w:rPr>
        <w:t>1</w:t>
      </w:r>
      <w:r w:rsidR="004E3245">
        <w:rPr>
          <w:rFonts w:asciiTheme="majorBidi" w:hAnsiTheme="majorBidi" w:cstheme="majorBidi"/>
          <w:lang w:val="en-US"/>
        </w:rPr>
        <w:t>a</w:t>
      </w:r>
      <w:r w:rsidRPr="00DD2C1A">
        <w:rPr>
          <w:rFonts w:asciiTheme="majorBidi" w:hAnsiTheme="majorBidi" w:cstheme="majorBidi"/>
          <w:lang w:val="en-US"/>
        </w:rPr>
        <w:t>) reveals</w:t>
      </w:r>
      <w:r>
        <w:rPr>
          <w:rFonts w:asciiTheme="majorBidi" w:hAnsiTheme="majorBidi" w:cstheme="majorBidi"/>
          <w:lang w:val="en-US"/>
        </w:rPr>
        <w:t xml:space="preserve"> excluded</w:t>
      </w:r>
      <w:r w:rsidRPr="00DD2C1A">
        <w:rPr>
          <w:rFonts w:asciiTheme="majorBidi" w:hAnsiTheme="majorBidi" w:cstheme="majorBidi"/>
          <w:lang w:val="en-US"/>
        </w:rPr>
        <w:t xml:space="preserve"> outliers</w:t>
      </w:r>
      <w:r>
        <w:rPr>
          <w:rFonts w:asciiTheme="majorBidi" w:hAnsiTheme="majorBidi" w:cstheme="majorBidi"/>
          <w:lang w:val="en-US"/>
        </w:rPr>
        <w:t>.</w:t>
      </w:r>
    </w:p>
    <w:p w14:paraId="456F1CF9" w14:textId="4115A32A" w:rsidR="00BA7637" w:rsidRPr="004E3245" w:rsidRDefault="00BA7637" w:rsidP="004E3245">
      <w:pPr>
        <w:pStyle w:val="Newparagraph"/>
        <w:spacing w:after="3" w:line="473" w:lineRule="auto"/>
        <w:ind w:right="14"/>
        <w:jc w:val="both"/>
        <w:rPr>
          <w:lang w:val="en-US"/>
        </w:rPr>
      </w:pPr>
      <w:r>
        <w:rPr>
          <w:lang w:val="en-US"/>
        </w:rPr>
        <w:t xml:space="preserve">Figure </w:t>
      </w:r>
      <w:r w:rsidR="00DF7D1C">
        <w:rPr>
          <w:lang w:val="en-US"/>
        </w:rPr>
        <w:t>S</w:t>
      </w:r>
      <w:r>
        <w:rPr>
          <w:lang w:val="en-US"/>
        </w:rPr>
        <w:t>1</w:t>
      </w:r>
      <w:r w:rsidR="004E3245">
        <w:rPr>
          <w:lang w:val="en-US"/>
        </w:rPr>
        <w:t>b</w:t>
      </w:r>
      <w:r>
        <w:rPr>
          <w:lang w:val="en-US"/>
        </w:rPr>
        <w:t xml:space="preserve"> presents plots of </w:t>
      </w:r>
      <w:r w:rsidRPr="009F60D2">
        <w:rPr>
          <w:vertAlign w:val="superscript"/>
          <w:lang w:val="en-US"/>
        </w:rPr>
        <w:t>15</w:t>
      </w:r>
      <w:r>
        <w:rPr>
          <w:lang w:val="en-US"/>
        </w:rPr>
        <w:t xml:space="preserve">N vs. </w:t>
      </w:r>
      <w:r w:rsidRPr="009F60D2">
        <w:rPr>
          <w:vertAlign w:val="superscript"/>
          <w:lang w:val="en-US"/>
        </w:rPr>
        <w:t>14</w:t>
      </w:r>
      <w:r>
        <w:rPr>
          <w:lang w:val="en-US"/>
        </w:rPr>
        <w:t xml:space="preserve">N for sparrows and march rats. Figure </w:t>
      </w:r>
      <w:r w:rsidR="00DF7D1C">
        <w:rPr>
          <w:lang w:val="en-US"/>
        </w:rPr>
        <w:t>S</w:t>
      </w:r>
      <w:r>
        <w:rPr>
          <w:lang w:val="en-US"/>
        </w:rPr>
        <w:t>1</w:t>
      </w:r>
      <w:r w:rsidR="004E3245">
        <w:rPr>
          <w:lang w:val="en-US"/>
        </w:rPr>
        <w:t>c</w:t>
      </w:r>
      <w:r>
        <w:rPr>
          <w:lang w:val="en-US"/>
        </w:rPr>
        <w:t xml:space="preserve"> presents similar plots for mussels, insects, plants and phytoplankton. </w:t>
      </w:r>
      <w:r w:rsidRPr="00DD2C1A">
        <w:rPr>
          <w:lang w:val="en-US"/>
        </w:rPr>
        <w:t xml:space="preserve">Differences in </w:t>
      </w:r>
      <w:r w:rsidRPr="00DD2C1A">
        <w:rPr>
          <w:vertAlign w:val="superscript"/>
          <w:lang w:val="en-US"/>
        </w:rPr>
        <w:t>14</w:t>
      </w:r>
      <w:r w:rsidRPr="00DD2C1A">
        <w:rPr>
          <w:lang w:val="en-US"/>
        </w:rPr>
        <w:t xml:space="preserve">N vs. </w:t>
      </w:r>
      <w:r w:rsidRPr="00DD2C1A">
        <w:rPr>
          <w:vertAlign w:val="superscript"/>
          <w:lang w:val="en-US"/>
        </w:rPr>
        <w:t>15</w:t>
      </w:r>
      <w:r w:rsidRPr="00DD2C1A">
        <w:rPr>
          <w:lang w:val="en-US"/>
        </w:rPr>
        <w:t>N slope (0.0037498) and</w:t>
      </w:r>
      <w:r>
        <w:rPr>
          <w:lang w:val="en-US"/>
        </w:rPr>
        <w:t xml:space="preserve"> mean</w:t>
      </w:r>
      <w:r w:rsidRPr="00DD2C1A">
        <w:rPr>
          <w:lang w:val="en-US"/>
        </w:rPr>
        <w:t xml:space="preserve"> </w:t>
      </w:r>
      <w:r w:rsidRPr="00DD2C1A">
        <w:rPr>
          <w:vertAlign w:val="superscript"/>
          <w:lang w:val="en-US"/>
        </w:rPr>
        <w:t>15</w:t>
      </w:r>
      <w:r w:rsidRPr="00DD2C1A">
        <w:rPr>
          <w:lang w:val="en-US"/>
        </w:rPr>
        <w:t>N:</w:t>
      </w:r>
      <w:r w:rsidRPr="00DD2C1A">
        <w:rPr>
          <w:vertAlign w:val="superscript"/>
          <w:lang w:val="en-US"/>
        </w:rPr>
        <w:t>14</w:t>
      </w:r>
      <w:r w:rsidRPr="00DD2C1A">
        <w:rPr>
          <w:lang w:val="en-US"/>
        </w:rPr>
        <w:t>N ratio (0.0037603) were greatest for phytoplankton. Two factors affect how much isotopic ratios are confounded</w:t>
      </w:r>
      <w:r w:rsidR="004E3245">
        <w:rPr>
          <w:lang w:val="en-US"/>
        </w:rPr>
        <w:t xml:space="preserve"> (</w:t>
      </w:r>
      <w:r w:rsidR="00C43188">
        <w:rPr>
          <w:lang w:val="en-US"/>
        </w:rPr>
        <w:t>M</w:t>
      </w:r>
      <w:r w:rsidR="0074018C">
        <w:rPr>
          <w:lang w:val="en-US"/>
        </w:rPr>
        <w:t>oots</w:t>
      </w:r>
      <w:r w:rsidR="00C43188">
        <w:rPr>
          <w:lang w:val="en-US"/>
        </w:rPr>
        <w:t xml:space="preserve"> et al.</w:t>
      </w:r>
      <w:r w:rsidR="004E3245">
        <w:rPr>
          <w:lang w:val="en-US"/>
        </w:rPr>
        <w:t xml:space="preserve"> 202</w:t>
      </w:r>
      <w:r w:rsidR="0074018C">
        <w:rPr>
          <w:lang w:val="en-US"/>
        </w:rPr>
        <w:t>4</w:t>
      </w:r>
      <w:r w:rsidR="00E73E69">
        <w:rPr>
          <w:lang w:val="en-US"/>
        </w:rPr>
        <w:t>a</w:t>
      </w:r>
      <w:r w:rsidR="004E3245">
        <w:rPr>
          <w:lang w:val="en-US"/>
        </w:rPr>
        <w:t>; Supplemental Material</w:t>
      </w:r>
      <w:r w:rsidRPr="00DD2C1A">
        <w:rPr>
          <w:lang w:val="en-US"/>
        </w:rPr>
        <w:t xml:space="preserve">) the size of the </w:t>
      </w:r>
      <w:r w:rsidRPr="009F60D2">
        <w:rPr>
          <w:vertAlign w:val="superscript"/>
          <w:lang w:val="en-US"/>
        </w:rPr>
        <w:t>1</w:t>
      </w:r>
      <w:r>
        <w:rPr>
          <w:vertAlign w:val="superscript"/>
          <w:lang w:val="en-US"/>
        </w:rPr>
        <w:t>4</w:t>
      </w:r>
      <w:r>
        <w:rPr>
          <w:lang w:val="en-US"/>
        </w:rPr>
        <w:t xml:space="preserve">N vs. </w:t>
      </w:r>
      <w:r w:rsidRPr="009F60D2">
        <w:rPr>
          <w:vertAlign w:val="superscript"/>
          <w:lang w:val="en-US"/>
        </w:rPr>
        <w:t>15</w:t>
      </w:r>
      <w:r>
        <w:rPr>
          <w:lang w:val="en-US"/>
        </w:rPr>
        <w:t xml:space="preserve">N </w:t>
      </w:r>
      <w:r w:rsidRPr="00DD2C1A">
        <w:rPr>
          <w:i/>
          <w:iCs/>
          <w:lang w:val="en-US"/>
        </w:rPr>
        <w:t>y</w:t>
      </w:r>
      <w:r w:rsidRPr="00DD2C1A">
        <w:rPr>
          <w:lang w:val="en-US"/>
        </w:rPr>
        <w:t>-intercept</w:t>
      </w:r>
      <w:r>
        <w:rPr>
          <w:lang w:val="en-US"/>
        </w:rPr>
        <w:t>s</w:t>
      </w:r>
      <w:r w:rsidRPr="00DD2C1A">
        <w:rPr>
          <w:lang w:val="en-US"/>
        </w:rPr>
        <w:t xml:space="preserve"> and 2) the distance </w:t>
      </w:r>
      <w:r>
        <w:rPr>
          <w:lang w:val="en-US"/>
        </w:rPr>
        <w:t xml:space="preserve">of data points </w:t>
      </w:r>
      <w:r w:rsidRPr="00DD2C1A">
        <w:rPr>
          <w:lang w:val="en-US"/>
        </w:rPr>
        <w:t xml:space="preserve">from the origin. The positive </w:t>
      </w:r>
      <w:r w:rsidRPr="00DD2C1A">
        <w:rPr>
          <w:i/>
          <w:iCs/>
          <w:lang w:val="en-US"/>
        </w:rPr>
        <w:t>y</w:t>
      </w:r>
      <w:r w:rsidRPr="00DD2C1A">
        <w:rPr>
          <w:lang w:val="en-US"/>
        </w:rPr>
        <w:t xml:space="preserve">-intercept is 10-fold greater for marsh rats, thus marsh rat </w:t>
      </w:r>
      <w:r w:rsidRPr="00DD2C1A">
        <w:rPr>
          <w:vertAlign w:val="superscript"/>
          <w:lang w:val="en-US"/>
        </w:rPr>
        <w:t>15</w:t>
      </w:r>
      <w:r w:rsidRPr="00DD2C1A">
        <w:rPr>
          <w:lang w:val="en-US"/>
        </w:rPr>
        <w:t>N:</w:t>
      </w:r>
      <w:r w:rsidRPr="00DD2C1A">
        <w:rPr>
          <w:vertAlign w:val="superscript"/>
          <w:lang w:val="en-US"/>
        </w:rPr>
        <w:t>14</w:t>
      </w:r>
      <w:r w:rsidRPr="00DD2C1A">
        <w:rPr>
          <w:lang w:val="en-US"/>
        </w:rPr>
        <w:t xml:space="preserve">N ratios are more confounded than ratios for sparrows. </w:t>
      </w:r>
      <w:r>
        <w:rPr>
          <w:lang w:val="en-US"/>
        </w:rPr>
        <w:t>For functions with positive y-intercepts, l</w:t>
      </w:r>
      <w:r w:rsidRPr="00DD2C1A">
        <w:rPr>
          <w:lang w:val="en-US"/>
        </w:rPr>
        <w:t xml:space="preserve">ow values for the denominator </w:t>
      </w:r>
      <w:r w:rsidRPr="00DD2C1A">
        <w:rPr>
          <w:lang w:val="en-US"/>
        </w:rPr>
        <w:lastRenderedPageBreak/>
        <w:t xml:space="preserve">will lead to higher </w:t>
      </w:r>
      <w:r w:rsidRPr="00DD2C1A">
        <w:rPr>
          <w:vertAlign w:val="superscript"/>
          <w:lang w:val="en-US"/>
        </w:rPr>
        <w:t>15</w:t>
      </w:r>
      <w:r w:rsidRPr="00DD2C1A">
        <w:rPr>
          <w:lang w:val="en-US"/>
        </w:rPr>
        <w:t>N:</w:t>
      </w:r>
      <w:r w:rsidRPr="00DD2C1A">
        <w:rPr>
          <w:vertAlign w:val="superscript"/>
          <w:lang w:val="en-US"/>
        </w:rPr>
        <w:t>14</w:t>
      </w:r>
      <w:r w:rsidRPr="00DD2C1A">
        <w:rPr>
          <w:lang w:val="en-US"/>
        </w:rPr>
        <w:t xml:space="preserve">N ratios. Therefore, the </w:t>
      </w:r>
      <w:r w:rsidRPr="00DD2C1A">
        <w:rPr>
          <w:vertAlign w:val="superscript"/>
          <w:lang w:val="en-US"/>
        </w:rPr>
        <w:t>15</w:t>
      </w:r>
      <w:r w:rsidRPr="00DD2C1A">
        <w:rPr>
          <w:lang w:val="en-US"/>
        </w:rPr>
        <w:t>N:</w:t>
      </w:r>
      <w:r w:rsidRPr="00DD2C1A">
        <w:rPr>
          <w:vertAlign w:val="superscript"/>
          <w:lang w:val="en-US"/>
        </w:rPr>
        <w:t>14</w:t>
      </w:r>
      <w:r w:rsidRPr="00DD2C1A">
        <w:rPr>
          <w:lang w:val="en-US"/>
        </w:rPr>
        <w:t>N ratio for phytoplankton</w:t>
      </w:r>
      <w:r>
        <w:rPr>
          <w:lang w:val="en-US"/>
        </w:rPr>
        <w:t xml:space="preserve">, with much smaller amounts of </w:t>
      </w:r>
      <w:r w:rsidRPr="00CB16CE">
        <w:rPr>
          <w:vertAlign w:val="superscript"/>
          <w:lang w:val="en-US"/>
        </w:rPr>
        <w:t>14</w:t>
      </w:r>
      <w:r>
        <w:rPr>
          <w:lang w:val="en-US"/>
        </w:rPr>
        <w:t>N,</w:t>
      </w:r>
      <w:r w:rsidRPr="00DD2C1A">
        <w:rPr>
          <w:lang w:val="en-US"/>
        </w:rPr>
        <w:t xml:space="preserve"> is more confounded than ratios for other species. </w:t>
      </w:r>
    </w:p>
    <w:p w14:paraId="52B743F0" w14:textId="77777777" w:rsidR="00BA7637" w:rsidRPr="009C1B69" w:rsidRDefault="00BA7637" w:rsidP="000B02B9">
      <w:pPr>
        <w:pStyle w:val="Figurecaption"/>
        <w:spacing w:before="0" w:after="3" w:line="473" w:lineRule="auto"/>
        <w:ind w:right="14"/>
        <w:jc w:val="both"/>
        <w:rPr>
          <w:lang w:val="en-US"/>
        </w:rPr>
      </w:pPr>
      <w:r w:rsidRPr="00DD2C1A">
        <w:rPr>
          <w:noProof/>
          <w:lang w:val="en-US" w:eastAsia="en-IN" w:bidi="he-IL"/>
        </w:rPr>
        <w:drawing>
          <wp:inline distT="0" distB="0" distL="0" distR="0" wp14:anchorId="10C3BACF" wp14:editId="3FE2577D">
            <wp:extent cx="4571429" cy="2828571"/>
            <wp:effectExtent l="0" t="0" r="635" b="0"/>
            <wp:docPr id="623095052" name="Picture 62309505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catter chart&#10;&#10;Description automatically generated"/>
                    <pic:cNvPicPr/>
                  </pic:nvPicPr>
                  <pic:blipFill>
                    <a:blip r:embed="rId8"/>
                    <a:stretch>
                      <a:fillRect/>
                    </a:stretch>
                  </pic:blipFill>
                  <pic:spPr>
                    <a:xfrm>
                      <a:off x="0" y="0"/>
                      <a:ext cx="4571429" cy="2828571"/>
                    </a:xfrm>
                    <a:prstGeom prst="rect">
                      <a:avLst/>
                    </a:prstGeom>
                  </pic:spPr>
                </pic:pic>
              </a:graphicData>
            </a:graphic>
          </wp:inline>
        </w:drawing>
      </w:r>
    </w:p>
    <w:p w14:paraId="5BB632F7" w14:textId="3F1B304A" w:rsidR="00BA7637" w:rsidRPr="00502DFB" w:rsidRDefault="00BA7637" w:rsidP="000B02B9">
      <w:pPr>
        <w:pStyle w:val="Figurecaption"/>
        <w:spacing w:before="0" w:after="3" w:line="473" w:lineRule="auto"/>
        <w:ind w:right="14"/>
        <w:jc w:val="both"/>
        <w:rPr>
          <w:lang w:val="en-US"/>
        </w:rPr>
      </w:pPr>
      <w:r w:rsidRPr="00DD2C1A">
        <w:rPr>
          <w:lang w:val="en-US"/>
        </w:rPr>
        <w:t xml:space="preserve">Figure </w:t>
      </w:r>
      <w:r w:rsidR="000E4A64">
        <w:rPr>
          <w:lang w:val="en-US"/>
        </w:rPr>
        <w:t>S</w:t>
      </w:r>
      <w:r w:rsidRPr="00DD2C1A">
        <w:rPr>
          <w:lang w:val="en-US"/>
        </w:rPr>
        <w:t>1</w:t>
      </w:r>
      <w:r w:rsidR="004E3245">
        <w:rPr>
          <w:lang w:val="en-US"/>
        </w:rPr>
        <w:t>a</w:t>
      </w:r>
      <w:r w:rsidRPr="00DD2C1A">
        <w:rPr>
          <w:lang w:val="en-US"/>
        </w:rPr>
        <w:t xml:space="preserve">. The relationship between total N and </w:t>
      </w:r>
      <w:r w:rsidRPr="00DD2C1A">
        <w:rPr>
          <w:vertAlign w:val="superscript"/>
          <w:lang w:val="en-US"/>
        </w:rPr>
        <w:t>15</w:t>
      </w:r>
      <w:r w:rsidRPr="00DD2C1A">
        <w:rPr>
          <w:lang w:val="en-US"/>
        </w:rPr>
        <w:t>N:</w:t>
      </w:r>
      <w:r w:rsidRPr="00DD2C1A">
        <w:rPr>
          <w:vertAlign w:val="superscript"/>
          <w:lang w:val="en-US"/>
        </w:rPr>
        <w:t>14</w:t>
      </w:r>
      <w:r w:rsidRPr="00DD2C1A">
        <w:rPr>
          <w:lang w:val="en-US"/>
        </w:rPr>
        <w:t>N ratio for six different organism types, revealing different distributions</w:t>
      </w:r>
      <w:r w:rsidRPr="00AF2F0F">
        <w:rPr>
          <w:lang w:val="en-US"/>
        </w:rPr>
        <w:t xml:space="preserve"> </w:t>
      </w:r>
      <w:r>
        <w:rPr>
          <w:lang w:val="en-US"/>
        </w:rPr>
        <w:t>for a trophic level study in a Louisiana, USA marsh</w:t>
      </w:r>
      <w:r w:rsidRPr="00DD2C1A">
        <w:rPr>
          <w:lang w:val="en-US"/>
        </w:rPr>
        <w:t xml:space="preserve">. Outliers in the original datasets are also shown. The remaining data was used to </w:t>
      </w:r>
      <w:r>
        <w:rPr>
          <w:lang w:val="en-US"/>
        </w:rPr>
        <w:t xml:space="preserve">create Figures </w:t>
      </w:r>
      <w:r w:rsidR="00DF7D1C">
        <w:rPr>
          <w:lang w:val="en-US"/>
        </w:rPr>
        <w:t>S</w:t>
      </w:r>
      <w:r>
        <w:rPr>
          <w:lang w:val="en-US"/>
        </w:rPr>
        <w:t>1</w:t>
      </w:r>
      <w:r w:rsidR="004E3245">
        <w:rPr>
          <w:lang w:val="en-US"/>
        </w:rPr>
        <w:t>b</w:t>
      </w:r>
      <w:r>
        <w:rPr>
          <w:lang w:val="en-US"/>
        </w:rPr>
        <w:t>-</w:t>
      </w:r>
      <w:r w:rsidR="004E3245">
        <w:rPr>
          <w:lang w:val="en-US"/>
        </w:rPr>
        <w:t>e</w:t>
      </w:r>
      <w:r w:rsidRPr="00DD2C1A">
        <w:rPr>
          <w:lang w:val="en-US"/>
        </w:rPr>
        <w:t xml:space="preserve">. The same outliers identified above had excessive residuals or excessive leverage (or both) in </w:t>
      </w:r>
      <w:r w:rsidRPr="00DD2C1A">
        <w:rPr>
          <w:vertAlign w:val="superscript"/>
          <w:lang w:val="en-US"/>
        </w:rPr>
        <w:t>14</w:t>
      </w:r>
      <w:r w:rsidRPr="00DD2C1A">
        <w:rPr>
          <w:lang w:val="en-US"/>
        </w:rPr>
        <w:t xml:space="preserve">N vs. </w:t>
      </w:r>
      <w:r w:rsidRPr="00DD2C1A">
        <w:rPr>
          <w:vertAlign w:val="superscript"/>
          <w:lang w:val="en-US"/>
        </w:rPr>
        <w:t>15</w:t>
      </w:r>
      <w:r w:rsidRPr="00DD2C1A">
        <w:rPr>
          <w:lang w:val="en-US"/>
        </w:rPr>
        <w:t>N regressions. Data after supplemental material provided by Moyo et al. (2021).</w:t>
      </w:r>
    </w:p>
    <w:p w14:paraId="77CE1355" w14:textId="77777777" w:rsidR="00BA7637" w:rsidRPr="00D35575" w:rsidRDefault="00BA7637" w:rsidP="000B02B9">
      <w:pPr>
        <w:ind w:left="0" w:right="14"/>
        <w:rPr>
          <w:rFonts w:asciiTheme="majorBidi" w:hAnsiTheme="majorBidi" w:cstheme="majorBidi"/>
        </w:rPr>
      </w:pPr>
      <w:r w:rsidRPr="00502DFB">
        <w:rPr>
          <w:noProof/>
        </w:rPr>
        <w:drawing>
          <wp:inline distT="0" distB="0" distL="0" distR="0" wp14:anchorId="69432A67" wp14:editId="50BEA302">
            <wp:extent cx="4571429" cy="2752381"/>
            <wp:effectExtent l="0" t="0" r="635" b="0"/>
            <wp:docPr id="1485792076" name="Picture 1" descr="A graph of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792076" name="Picture 1" descr="A graph of numbers and lines&#10;&#10;Description automatically generated"/>
                    <pic:cNvPicPr/>
                  </pic:nvPicPr>
                  <pic:blipFill>
                    <a:blip r:embed="rId9"/>
                    <a:stretch>
                      <a:fillRect/>
                    </a:stretch>
                  </pic:blipFill>
                  <pic:spPr>
                    <a:xfrm>
                      <a:off x="0" y="0"/>
                      <a:ext cx="4571429" cy="2752381"/>
                    </a:xfrm>
                    <a:prstGeom prst="rect">
                      <a:avLst/>
                    </a:prstGeom>
                  </pic:spPr>
                </pic:pic>
              </a:graphicData>
            </a:graphic>
          </wp:inline>
        </w:drawing>
      </w:r>
    </w:p>
    <w:p w14:paraId="37C88968" w14:textId="5711207D" w:rsidR="00BA7637" w:rsidRPr="00DD2C1A" w:rsidRDefault="00BA7637" w:rsidP="000B02B9">
      <w:pPr>
        <w:pStyle w:val="Figurecaption"/>
        <w:spacing w:before="0" w:after="3" w:line="473" w:lineRule="auto"/>
        <w:ind w:right="14"/>
        <w:jc w:val="both"/>
        <w:rPr>
          <w:lang w:val="en-US"/>
        </w:rPr>
      </w:pPr>
      <w:r w:rsidRPr="00DD2C1A">
        <w:rPr>
          <w:lang w:val="en-US"/>
        </w:rPr>
        <w:lastRenderedPageBreak/>
        <w:t xml:space="preserve">Figure </w:t>
      </w:r>
      <w:r w:rsidR="000E4A64">
        <w:rPr>
          <w:lang w:val="en-US"/>
        </w:rPr>
        <w:t>S</w:t>
      </w:r>
      <w:r w:rsidRPr="00DD2C1A">
        <w:rPr>
          <w:lang w:val="en-US"/>
        </w:rPr>
        <w:t>1</w:t>
      </w:r>
      <w:r w:rsidR="00E81EA6">
        <w:rPr>
          <w:lang w:val="en-US"/>
        </w:rPr>
        <w:t>b</w:t>
      </w:r>
      <w:r w:rsidRPr="00DD2C1A">
        <w:rPr>
          <w:lang w:val="en-US"/>
        </w:rPr>
        <w:t xml:space="preserve">. The relationship between </w:t>
      </w:r>
      <w:r w:rsidRPr="00DD2C1A">
        <w:rPr>
          <w:vertAlign w:val="superscript"/>
          <w:lang w:val="en-US"/>
        </w:rPr>
        <w:t>14</w:t>
      </w:r>
      <w:r w:rsidRPr="00DD2C1A">
        <w:rPr>
          <w:lang w:val="en-US"/>
        </w:rPr>
        <w:t xml:space="preserve">N vs. </w:t>
      </w:r>
      <w:r w:rsidRPr="00DD2C1A">
        <w:rPr>
          <w:vertAlign w:val="superscript"/>
          <w:lang w:val="en-US"/>
        </w:rPr>
        <w:t>15</w:t>
      </w:r>
      <w:r w:rsidRPr="00DD2C1A">
        <w:rPr>
          <w:lang w:val="en-US"/>
        </w:rPr>
        <w:t>N for sparrows and marsh rats</w:t>
      </w:r>
      <w:r w:rsidRPr="00AF2F0F">
        <w:rPr>
          <w:lang w:val="en-US"/>
        </w:rPr>
        <w:t xml:space="preserve"> </w:t>
      </w:r>
      <w:r>
        <w:rPr>
          <w:lang w:val="en-US"/>
        </w:rPr>
        <w:t>for a trophic level study in a Louisiana, USA marsh</w:t>
      </w:r>
      <w:r w:rsidRPr="00DD2C1A">
        <w:rPr>
          <w:lang w:val="en-US"/>
        </w:rPr>
        <w:t xml:space="preserve">. Differences in </w:t>
      </w:r>
      <w:r w:rsidRPr="00DD2C1A">
        <w:rPr>
          <w:vertAlign w:val="superscript"/>
          <w:lang w:val="en-US"/>
        </w:rPr>
        <w:t>14</w:t>
      </w:r>
      <w:r w:rsidRPr="00DD2C1A">
        <w:rPr>
          <w:lang w:val="en-US"/>
        </w:rPr>
        <w:t xml:space="preserve">N vs. </w:t>
      </w:r>
      <w:r w:rsidRPr="00DD2C1A">
        <w:rPr>
          <w:vertAlign w:val="superscript"/>
          <w:lang w:val="en-US"/>
        </w:rPr>
        <w:t>15</w:t>
      </w:r>
      <w:r w:rsidRPr="00DD2C1A">
        <w:rPr>
          <w:lang w:val="en-US"/>
        </w:rPr>
        <w:t xml:space="preserve">N slope between sparrows and marsh rats (0.0037586 vs. 0.0037371) are much greater than differences in </w:t>
      </w:r>
      <w:r w:rsidRPr="00DD2C1A">
        <w:rPr>
          <w:vertAlign w:val="superscript"/>
          <w:lang w:val="en-US"/>
        </w:rPr>
        <w:t>15</w:t>
      </w:r>
      <w:r w:rsidRPr="00DD2C1A">
        <w:rPr>
          <w:lang w:val="en-US"/>
        </w:rPr>
        <w:t>N:</w:t>
      </w:r>
      <w:r w:rsidRPr="00DD2C1A">
        <w:rPr>
          <w:vertAlign w:val="superscript"/>
          <w:lang w:val="en-US"/>
        </w:rPr>
        <w:t>14</w:t>
      </w:r>
      <w:r w:rsidRPr="00DD2C1A">
        <w:rPr>
          <w:lang w:val="en-US"/>
        </w:rPr>
        <w:t xml:space="preserve">N ratios (0.0037603 vs. 0.0037498). Data after Moyo et al. (2021). </w:t>
      </w:r>
    </w:p>
    <w:p w14:paraId="234C396B" w14:textId="77777777" w:rsidR="00BA7637" w:rsidRDefault="00BA7637" w:rsidP="000B02B9">
      <w:pPr>
        <w:pStyle w:val="Newparagraph"/>
        <w:spacing w:after="3" w:line="473" w:lineRule="auto"/>
        <w:ind w:right="14" w:firstLine="0"/>
        <w:jc w:val="both"/>
        <w:rPr>
          <w:lang w:val="en-US"/>
        </w:rPr>
      </w:pPr>
      <w:r>
        <w:rPr>
          <w:lang w:val="en-US"/>
        </w:rPr>
        <w:t>-</w:t>
      </w:r>
    </w:p>
    <w:p w14:paraId="3E438128" w14:textId="7CE3A2B0" w:rsidR="00BA7637" w:rsidRDefault="00BA7637" w:rsidP="000B02B9">
      <w:pPr>
        <w:pStyle w:val="Newparagraph"/>
        <w:spacing w:after="3" w:line="473" w:lineRule="auto"/>
        <w:ind w:right="14"/>
        <w:jc w:val="both"/>
        <w:rPr>
          <w:lang w:val="en-US"/>
        </w:rPr>
      </w:pPr>
      <w:r w:rsidRPr="00DD2C1A">
        <w:rPr>
          <w:lang w:val="en-US"/>
        </w:rPr>
        <w:t>All</w:t>
      </w:r>
      <w:r w:rsidR="00081233">
        <w:rPr>
          <w:lang w:val="en-US"/>
        </w:rPr>
        <w:t xml:space="preserve"> six</w:t>
      </w:r>
      <w:r w:rsidRPr="00DD2C1A">
        <w:rPr>
          <w:lang w:val="en-US"/>
        </w:rPr>
        <w:t xml:space="preserve"> </w:t>
      </w:r>
      <w:r w:rsidRPr="00DD2C1A">
        <w:rPr>
          <w:vertAlign w:val="superscript"/>
          <w:lang w:val="en-US"/>
        </w:rPr>
        <w:t>14</w:t>
      </w:r>
      <w:r w:rsidRPr="00DD2C1A">
        <w:rPr>
          <w:lang w:val="en-US"/>
        </w:rPr>
        <w:t xml:space="preserve">N vs. </w:t>
      </w:r>
      <w:r w:rsidRPr="00DD2C1A">
        <w:rPr>
          <w:vertAlign w:val="superscript"/>
          <w:lang w:val="en-US"/>
        </w:rPr>
        <w:t>15</w:t>
      </w:r>
      <w:r w:rsidRPr="00DD2C1A">
        <w:rPr>
          <w:lang w:val="en-US"/>
        </w:rPr>
        <w:t xml:space="preserve">N plots have positive </w:t>
      </w:r>
      <w:r w:rsidRPr="00DD2C1A">
        <w:rPr>
          <w:i/>
          <w:iCs/>
          <w:lang w:val="en-US"/>
        </w:rPr>
        <w:t>y</w:t>
      </w:r>
      <w:r w:rsidRPr="00DD2C1A">
        <w:rPr>
          <w:lang w:val="en-US"/>
        </w:rPr>
        <w:t>-intercepts (Figure</w:t>
      </w:r>
      <w:r w:rsidR="000E4A64">
        <w:rPr>
          <w:lang w:val="en-US"/>
        </w:rPr>
        <w:t>s</w:t>
      </w:r>
      <w:r w:rsidRPr="00DD2C1A">
        <w:rPr>
          <w:lang w:val="en-US"/>
        </w:rPr>
        <w:t xml:space="preserve"> </w:t>
      </w:r>
      <w:r w:rsidR="000E4A64">
        <w:rPr>
          <w:lang w:val="en-US"/>
        </w:rPr>
        <w:t>S</w:t>
      </w:r>
      <w:r w:rsidRPr="00DD2C1A">
        <w:rPr>
          <w:lang w:val="en-US"/>
        </w:rPr>
        <w:t>1</w:t>
      </w:r>
      <w:r w:rsidR="00E81EA6">
        <w:rPr>
          <w:lang w:val="en-US"/>
        </w:rPr>
        <w:t>b</w:t>
      </w:r>
      <w:r w:rsidRPr="00DD2C1A">
        <w:rPr>
          <w:lang w:val="en-US"/>
        </w:rPr>
        <w:t xml:space="preserve"> and </w:t>
      </w:r>
      <w:r w:rsidR="00E81EA6">
        <w:rPr>
          <w:lang w:val="en-US"/>
        </w:rPr>
        <w:t>c</w:t>
      </w:r>
      <w:r w:rsidRPr="00DD2C1A">
        <w:rPr>
          <w:lang w:val="en-US"/>
        </w:rPr>
        <w:t xml:space="preserve">) for different trophic groups (phytoplankton, plants, insects, mussels, marsh rats and sparrows), suggesting that individuals with lowest </w:t>
      </w:r>
      <w:r w:rsidRPr="00DD2C1A">
        <w:rPr>
          <w:vertAlign w:val="superscript"/>
          <w:lang w:val="en-US"/>
        </w:rPr>
        <w:t>15</w:t>
      </w:r>
      <w:r w:rsidRPr="00DD2C1A">
        <w:rPr>
          <w:lang w:val="en-US"/>
        </w:rPr>
        <w:t xml:space="preserve">N content could have overestimated </w:t>
      </w:r>
      <w:r w:rsidRPr="00DD2C1A">
        <w:rPr>
          <w:vertAlign w:val="superscript"/>
          <w:lang w:val="en-US"/>
        </w:rPr>
        <w:t>15</w:t>
      </w:r>
      <w:r w:rsidRPr="00DD2C1A">
        <w:rPr>
          <w:lang w:val="en-US"/>
        </w:rPr>
        <w:t>N:</w:t>
      </w:r>
      <w:r w:rsidRPr="00DD2C1A">
        <w:rPr>
          <w:vertAlign w:val="superscript"/>
          <w:lang w:val="en-US"/>
        </w:rPr>
        <w:t>14</w:t>
      </w:r>
      <w:r w:rsidRPr="00DD2C1A">
        <w:rPr>
          <w:lang w:val="en-US"/>
        </w:rPr>
        <w:t xml:space="preserve">N ratios. An overestimate of </w:t>
      </w:r>
      <w:r w:rsidRPr="00DD2C1A">
        <w:rPr>
          <w:vertAlign w:val="superscript"/>
          <w:lang w:val="en-US"/>
        </w:rPr>
        <w:t>15</w:t>
      </w:r>
      <w:r w:rsidRPr="00DD2C1A">
        <w:rPr>
          <w:lang w:val="en-US"/>
        </w:rPr>
        <w:t>N:</w:t>
      </w:r>
      <w:r w:rsidRPr="00DD2C1A">
        <w:rPr>
          <w:vertAlign w:val="superscript"/>
          <w:lang w:val="en-US"/>
        </w:rPr>
        <w:t>14</w:t>
      </w:r>
      <w:r w:rsidRPr="00DD2C1A">
        <w:rPr>
          <w:lang w:val="en-US"/>
        </w:rPr>
        <w:t xml:space="preserve">N ratios for low values of </w:t>
      </w:r>
      <w:r w:rsidRPr="00DD2C1A">
        <w:rPr>
          <w:vertAlign w:val="superscript"/>
          <w:lang w:val="en-US"/>
        </w:rPr>
        <w:t>14</w:t>
      </w:r>
      <w:r w:rsidRPr="00DD2C1A">
        <w:rPr>
          <w:lang w:val="en-US"/>
        </w:rPr>
        <w:t>N (or total N) will bias results causing an overall overestimate</w:t>
      </w:r>
      <w:r>
        <w:rPr>
          <w:lang w:val="en-US"/>
        </w:rPr>
        <w:t xml:space="preserve"> of a mean</w:t>
      </w:r>
      <w:r w:rsidRPr="00DD2C1A">
        <w:rPr>
          <w:lang w:val="en-US"/>
        </w:rPr>
        <w:t xml:space="preserve">. This appears to be true </w:t>
      </w:r>
      <w:r>
        <w:rPr>
          <w:lang w:val="en-US"/>
        </w:rPr>
        <w:t xml:space="preserve">when comparing raw ratios to any of the  source estimates presented in Figure </w:t>
      </w:r>
      <w:r w:rsidR="000E4A64">
        <w:rPr>
          <w:lang w:val="en-US"/>
        </w:rPr>
        <w:t>S</w:t>
      </w:r>
      <w:r>
        <w:rPr>
          <w:lang w:val="en-US"/>
        </w:rPr>
        <w:t>1</w:t>
      </w:r>
      <w:r w:rsidR="00A548E6">
        <w:rPr>
          <w:lang w:val="en-US"/>
        </w:rPr>
        <w:t>d</w:t>
      </w:r>
      <w:r>
        <w:rPr>
          <w:lang w:val="en-US"/>
        </w:rPr>
        <w:t xml:space="preserve"> </w:t>
      </w:r>
      <w:r w:rsidRPr="00DD2C1A">
        <w:rPr>
          <w:lang w:val="en-US"/>
        </w:rPr>
        <w:t>(paired Wilcoxon-test (</w:t>
      </w:r>
      <w:r w:rsidRPr="00DD2C1A">
        <w:rPr>
          <w:i/>
          <w:iCs/>
          <w:lang w:val="en-US"/>
        </w:rPr>
        <w:t xml:space="preserve">p </w:t>
      </w:r>
      <w:r w:rsidRPr="00DD2C1A">
        <w:rPr>
          <w:lang w:val="en-US"/>
        </w:rPr>
        <w:t>= 0.03125</w:t>
      </w:r>
      <w:r>
        <w:rPr>
          <w:lang w:val="en-US"/>
        </w:rPr>
        <w:t>))</w:t>
      </w:r>
      <w:r w:rsidRPr="00DD2C1A">
        <w:rPr>
          <w:lang w:val="en-US"/>
        </w:rPr>
        <w:t xml:space="preserve"> across all species. However, this </w:t>
      </w:r>
      <w:r>
        <w:rPr>
          <w:lang w:val="en-US"/>
        </w:rPr>
        <w:t xml:space="preserve">error </w:t>
      </w:r>
      <w:r w:rsidRPr="00DD2C1A">
        <w:rPr>
          <w:lang w:val="en-US"/>
        </w:rPr>
        <w:t xml:space="preserve">is only serious for phytoplankton and marsh rats where trophic positions are severely overestimated with simple ratios. </w:t>
      </w:r>
      <w:r>
        <w:rPr>
          <w:lang w:val="en-US"/>
        </w:rPr>
        <w:t xml:space="preserve">This real data example is consistent with simulation estimates using combinations of </w:t>
      </w:r>
      <w:r w:rsidRPr="00481982">
        <w:rPr>
          <w:i/>
          <w:iCs/>
          <w:lang w:val="en-US"/>
        </w:rPr>
        <w:t>y</w:t>
      </w:r>
      <w:r>
        <w:rPr>
          <w:lang w:val="en-US"/>
        </w:rPr>
        <w:t>-intercept size and the distance of data points from the origin in a denominator vs. numerator plot to predict the degree of confoundedness (</w:t>
      </w:r>
      <w:r w:rsidR="00D04415">
        <w:rPr>
          <w:lang w:val="en-US"/>
        </w:rPr>
        <w:t>M</w:t>
      </w:r>
      <w:r w:rsidR="0074018C">
        <w:rPr>
          <w:lang w:val="en-US"/>
        </w:rPr>
        <w:t>oots</w:t>
      </w:r>
      <w:r w:rsidR="00D04415">
        <w:rPr>
          <w:lang w:val="en-US"/>
        </w:rPr>
        <w:t xml:space="preserve"> </w:t>
      </w:r>
      <w:r w:rsidR="00C43188">
        <w:rPr>
          <w:lang w:val="en-US"/>
        </w:rPr>
        <w:t xml:space="preserve">et al. </w:t>
      </w:r>
      <w:r>
        <w:rPr>
          <w:lang w:val="en-US"/>
        </w:rPr>
        <w:t>202</w:t>
      </w:r>
      <w:r w:rsidR="0074018C">
        <w:rPr>
          <w:lang w:val="en-US"/>
        </w:rPr>
        <w:t>4</w:t>
      </w:r>
      <w:r w:rsidR="00E73E69">
        <w:rPr>
          <w:lang w:val="en-US"/>
        </w:rPr>
        <w:t>a</w:t>
      </w:r>
      <w:r>
        <w:rPr>
          <w:lang w:val="en-US"/>
        </w:rPr>
        <w:t xml:space="preserve">; Supplemental Material). </w:t>
      </w:r>
      <w:r w:rsidRPr="00DD2C1A">
        <w:rPr>
          <w:lang w:val="en-US"/>
        </w:rPr>
        <w:t xml:space="preserve">The five different source analyses all produce similar values. </w:t>
      </w:r>
    </w:p>
    <w:p w14:paraId="3EBEB9B7" w14:textId="77777777" w:rsidR="00BA7637" w:rsidRPr="00DD2C1A" w:rsidRDefault="00BA7637" w:rsidP="000B02B9">
      <w:pPr>
        <w:pStyle w:val="Paragraph"/>
        <w:spacing w:before="0" w:after="3" w:line="473" w:lineRule="auto"/>
        <w:ind w:right="14" w:firstLine="720"/>
        <w:jc w:val="both"/>
        <w:rPr>
          <w:lang w:val="en-US"/>
        </w:rPr>
      </w:pPr>
    </w:p>
    <w:p w14:paraId="35E787AF" w14:textId="77777777" w:rsidR="00BA7637" w:rsidRPr="00D35575" w:rsidRDefault="00BA7637" w:rsidP="000B02B9">
      <w:pPr>
        <w:ind w:left="0" w:right="14"/>
        <w:rPr>
          <w:rFonts w:asciiTheme="majorBidi" w:hAnsiTheme="majorBidi" w:cstheme="majorBidi"/>
        </w:rPr>
      </w:pPr>
      <w:r w:rsidRPr="00502DFB">
        <w:rPr>
          <w:noProof/>
        </w:rPr>
        <w:drawing>
          <wp:inline distT="0" distB="0" distL="0" distR="0" wp14:anchorId="3C806BA7" wp14:editId="25AEBD09">
            <wp:extent cx="4580952" cy="2695238"/>
            <wp:effectExtent l="0" t="0" r="0" b="0"/>
            <wp:docPr id="1618349491" name="Picture 1" descr="A picture containing text, screenshot, fon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349491" name="Picture 1" descr="A picture containing text, screenshot, font, plot&#10;&#10;Description automatically generated"/>
                    <pic:cNvPicPr/>
                  </pic:nvPicPr>
                  <pic:blipFill>
                    <a:blip r:embed="rId10"/>
                    <a:stretch>
                      <a:fillRect/>
                    </a:stretch>
                  </pic:blipFill>
                  <pic:spPr>
                    <a:xfrm>
                      <a:off x="0" y="0"/>
                      <a:ext cx="4580952" cy="2695238"/>
                    </a:xfrm>
                    <a:prstGeom prst="rect">
                      <a:avLst/>
                    </a:prstGeom>
                  </pic:spPr>
                </pic:pic>
              </a:graphicData>
            </a:graphic>
          </wp:inline>
        </w:drawing>
      </w:r>
    </w:p>
    <w:p w14:paraId="0E4D1520" w14:textId="3E06A657" w:rsidR="00BA7637" w:rsidRPr="00DD2C1A" w:rsidRDefault="00BA7637" w:rsidP="000B02B9">
      <w:pPr>
        <w:pStyle w:val="Figurecaption"/>
        <w:spacing w:before="0" w:after="3" w:line="473" w:lineRule="auto"/>
        <w:ind w:right="14"/>
        <w:jc w:val="both"/>
        <w:rPr>
          <w:lang w:val="en-US"/>
        </w:rPr>
      </w:pPr>
      <w:r w:rsidRPr="00DD2C1A">
        <w:rPr>
          <w:lang w:val="en-US"/>
        </w:rPr>
        <w:lastRenderedPageBreak/>
        <w:t xml:space="preserve">Figure </w:t>
      </w:r>
      <w:r w:rsidR="000E4A64">
        <w:rPr>
          <w:lang w:val="en-US"/>
        </w:rPr>
        <w:t>S</w:t>
      </w:r>
      <w:r w:rsidRPr="00DD2C1A">
        <w:rPr>
          <w:lang w:val="en-US"/>
        </w:rPr>
        <w:t>1</w:t>
      </w:r>
      <w:r w:rsidR="00E81EA6">
        <w:rPr>
          <w:lang w:val="en-US"/>
        </w:rPr>
        <w:t>c</w:t>
      </w:r>
      <w:r w:rsidRPr="00DD2C1A">
        <w:rPr>
          <w:lang w:val="en-US"/>
        </w:rPr>
        <w:t xml:space="preserve">. The relationship between </w:t>
      </w:r>
      <w:r w:rsidRPr="00DD2C1A">
        <w:rPr>
          <w:vertAlign w:val="superscript"/>
          <w:lang w:val="en-US"/>
        </w:rPr>
        <w:t>14</w:t>
      </w:r>
      <w:r w:rsidRPr="00DD2C1A">
        <w:rPr>
          <w:lang w:val="en-US"/>
        </w:rPr>
        <w:t xml:space="preserve">N vs. </w:t>
      </w:r>
      <w:r w:rsidRPr="00DD2C1A">
        <w:rPr>
          <w:vertAlign w:val="superscript"/>
          <w:lang w:val="en-US"/>
        </w:rPr>
        <w:t>15</w:t>
      </w:r>
      <w:r w:rsidRPr="00DD2C1A">
        <w:rPr>
          <w:lang w:val="en-US"/>
        </w:rPr>
        <w:t>N for mussels, insects, plants and phytoplankton</w:t>
      </w:r>
      <w:r w:rsidRPr="00AF2F0F">
        <w:rPr>
          <w:lang w:val="en-US"/>
        </w:rPr>
        <w:t xml:space="preserve"> </w:t>
      </w:r>
      <w:r>
        <w:rPr>
          <w:lang w:val="en-US"/>
        </w:rPr>
        <w:t>for a trophic level study in a Louisiana, USA marsh</w:t>
      </w:r>
      <w:r w:rsidRPr="00DD2C1A">
        <w:rPr>
          <w:lang w:val="en-US"/>
        </w:rPr>
        <w:t>. Data after supplemental material provided Moyo et al. (2021).</w:t>
      </w:r>
    </w:p>
    <w:p w14:paraId="3E302A37" w14:textId="77777777" w:rsidR="00BA7637" w:rsidRPr="00D35575" w:rsidRDefault="00BA7637" w:rsidP="000B02B9">
      <w:pPr>
        <w:ind w:left="0" w:right="14"/>
        <w:rPr>
          <w:rFonts w:asciiTheme="majorBidi" w:hAnsiTheme="majorBidi" w:cstheme="majorBidi"/>
        </w:rPr>
      </w:pPr>
      <w:bookmarkStart w:id="0" w:name="OLE_LINK1"/>
      <w:r w:rsidRPr="00502DFB">
        <w:rPr>
          <w:noProof/>
        </w:rPr>
        <w:drawing>
          <wp:inline distT="0" distB="0" distL="0" distR="0" wp14:anchorId="3B96D42B" wp14:editId="24563D8E">
            <wp:extent cx="4580952" cy="2866667"/>
            <wp:effectExtent l="0" t="0" r="0" b="0"/>
            <wp:docPr id="94919021" name="Picture 1" descr="A picture containing text, screenshot,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19021" name="Picture 1" descr="A picture containing text, screenshot, diagram, plot&#10;&#10;Description automatically generated"/>
                    <pic:cNvPicPr/>
                  </pic:nvPicPr>
                  <pic:blipFill>
                    <a:blip r:embed="rId11"/>
                    <a:stretch>
                      <a:fillRect/>
                    </a:stretch>
                  </pic:blipFill>
                  <pic:spPr>
                    <a:xfrm>
                      <a:off x="0" y="0"/>
                      <a:ext cx="4580952" cy="2866667"/>
                    </a:xfrm>
                    <a:prstGeom prst="rect">
                      <a:avLst/>
                    </a:prstGeom>
                  </pic:spPr>
                </pic:pic>
              </a:graphicData>
            </a:graphic>
          </wp:inline>
        </w:drawing>
      </w:r>
    </w:p>
    <w:p w14:paraId="58D065A8" w14:textId="2D76FCBB" w:rsidR="00BA7637" w:rsidRPr="00DD2C1A" w:rsidRDefault="00BA7637" w:rsidP="000B02B9">
      <w:pPr>
        <w:pStyle w:val="Figurecaption"/>
        <w:spacing w:before="0" w:after="3" w:line="473" w:lineRule="auto"/>
        <w:ind w:right="14"/>
        <w:jc w:val="both"/>
        <w:rPr>
          <w:rFonts w:asciiTheme="majorBidi" w:hAnsiTheme="majorBidi" w:cstheme="majorBidi"/>
          <w:lang w:val="en-US"/>
        </w:rPr>
      </w:pPr>
      <w:r w:rsidRPr="00DD2C1A">
        <w:rPr>
          <w:lang w:val="en-US"/>
        </w:rPr>
        <w:t xml:space="preserve">Figure </w:t>
      </w:r>
      <w:r w:rsidR="000E4A64">
        <w:rPr>
          <w:lang w:val="en-US"/>
        </w:rPr>
        <w:t>S</w:t>
      </w:r>
      <w:r w:rsidRPr="00DD2C1A">
        <w:rPr>
          <w:lang w:val="en-US"/>
        </w:rPr>
        <w:t>1</w:t>
      </w:r>
      <w:r w:rsidR="00E81EA6">
        <w:rPr>
          <w:lang w:val="en-US"/>
        </w:rPr>
        <w:t>d</w:t>
      </w:r>
      <w:r w:rsidRPr="00DD2C1A">
        <w:rPr>
          <w:lang w:val="en-US"/>
        </w:rPr>
        <w:t xml:space="preserve">. A comparison of </w:t>
      </w:r>
      <w:r>
        <w:rPr>
          <w:lang w:val="en-US"/>
        </w:rPr>
        <w:t>observed</w:t>
      </w:r>
      <w:r w:rsidRPr="00DD2C1A">
        <w:rPr>
          <w:lang w:val="en-US"/>
        </w:rPr>
        <w:t xml:space="preserve"> </w:t>
      </w:r>
      <w:r w:rsidRPr="000F62CF">
        <w:rPr>
          <w:vertAlign w:val="superscript"/>
          <w:lang w:val="en-US"/>
        </w:rPr>
        <w:t>15</w:t>
      </w:r>
      <w:r w:rsidRPr="00DD2C1A">
        <w:rPr>
          <w:lang w:val="en-US"/>
        </w:rPr>
        <w:t>N:</w:t>
      </w:r>
      <w:r w:rsidRPr="000F62CF">
        <w:rPr>
          <w:vertAlign w:val="superscript"/>
          <w:lang w:val="en-US"/>
        </w:rPr>
        <w:t>14</w:t>
      </w:r>
      <w:r w:rsidRPr="00DD2C1A">
        <w:rPr>
          <w:lang w:val="en-US"/>
        </w:rPr>
        <w:t xml:space="preserve">N ratios with five different estimates of </w:t>
      </w:r>
      <w:r w:rsidRPr="000F62CF">
        <w:rPr>
          <w:vertAlign w:val="superscript"/>
          <w:lang w:val="en-US"/>
        </w:rPr>
        <w:t>15</w:t>
      </w:r>
      <w:r w:rsidRPr="00DD2C1A">
        <w:rPr>
          <w:lang w:val="en-US"/>
        </w:rPr>
        <w:t>N:</w:t>
      </w:r>
      <w:r w:rsidRPr="000F62CF">
        <w:rPr>
          <w:vertAlign w:val="superscript"/>
          <w:lang w:val="en-US"/>
        </w:rPr>
        <w:t>14</w:t>
      </w:r>
      <w:r w:rsidRPr="00DD2C1A">
        <w:rPr>
          <w:lang w:val="en-US"/>
        </w:rPr>
        <w:t xml:space="preserve">N </w:t>
      </w:r>
      <w:r>
        <w:rPr>
          <w:lang w:val="en-US"/>
        </w:rPr>
        <w:t xml:space="preserve">source </w:t>
      </w:r>
      <w:r w:rsidRPr="00DD2C1A">
        <w:rPr>
          <w:lang w:val="en-US"/>
        </w:rPr>
        <w:t xml:space="preserve">ratio (traditional mixing diagrams with 1/total N as the x-axis; the more mathematical linked mixing diagram with 1/total </w:t>
      </w:r>
      <w:r w:rsidRPr="000F62CF">
        <w:rPr>
          <w:vertAlign w:val="superscript"/>
          <w:lang w:val="en-US"/>
        </w:rPr>
        <w:t>15</w:t>
      </w:r>
      <w:r w:rsidRPr="00DD2C1A">
        <w:rPr>
          <w:lang w:val="en-US"/>
        </w:rPr>
        <w:t xml:space="preserve">N as the </w:t>
      </w:r>
      <w:r w:rsidRPr="00422F40">
        <w:rPr>
          <w:i/>
          <w:iCs/>
          <w:lang w:val="en-US"/>
        </w:rPr>
        <w:t>x</w:t>
      </w:r>
      <w:r w:rsidRPr="00DD2C1A">
        <w:rPr>
          <w:lang w:val="en-US"/>
        </w:rPr>
        <w:t xml:space="preserve">-axis; </w:t>
      </w:r>
      <w:r w:rsidRPr="009A78D3">
        <w:rPr>
          <w:vertAlign w:val="superscript"/>
          <w:lang w:val="en-US"/>
        </w:rPr>
        <w:t>14</w:t>
      </w:r>
      <w:r>
        <w:rPr>
          <w:lang w:val="en-US"/>
        </w:rPr>
        <w:t xml:space="preserve">N vs. </w:t>
      </w:r>
      <w:r w:rsidRPr="009A78D3">
        <w:rPr>
          <w:vertAlign w:val="superscript"/>
          <w:lang w:val="en-US"/>
        </w:rPr>
        <w:t>15</w:t>
      </w:r>
      <w:r>
        <w:rPr>
          <w:lang w:val="en-US"/>
        </w:rPr>
        <w:t xml:space="preserve">N </w:t>
      </w:r>
      <w:r w:rsidRPr="00DD2C1A">
        <w:rPr>
          <w:lang w:val="en-US"/>
        </w:rPr>
        <w:t xml:space="preserve">slopes; </w:t>
      </w:r>
      <w:r w:rsidRPr="00422F40">
        <w:rPr>
          <w:i/>
          <w:iCs/>
          <w:lang w:val="en-US"/>
        </w:rPr>
        <w:t>y</w:t>
      </w:r>
      <w:r w:rsidRPr="00DD2C1A">
        <w:rPr>
          <w:lang w:val="en-US"/>
        </w:rPr>
        <w:t>-intercept</w:t>
      </w:r>
      <w:r w:rsidRPr="00DD2C1A">
        <w:rPr>
          <w:rFonts w:asciiTheme="majorBidi" w:hAnsiTheme="majorBidi" w:cstheme="majorBidi"/>
          <w:lang w:val="en-US"/>
        </w:rPr>
        <w:t xml:space="preserve"> adjusted ratios; and average derivatives) for </w:t>
      </w:r>
      <w:r>
        <w:rPr>
          <w:rFonts w:asciiTheme="majorBidi" w:hAnsiTheme="majorBidi" w:cstheme="majorBidi"/>
          <w:lang w:val="en-US"/>
        </w:rPr>
        <w:t>six</w:t>
      </w:r>
      <w:r w:rsidRPr="00DD2C1A">
        <w:rPr>
          <w:rFonts w:asciiTheme="majorBidi" w:hAnsiTheme="majorBidi" w:cstheme="majorBidi"/>
          <w:lang w:val="en-US"/>
        </w:rPr>
        <w:t xml:space="preserve"> different organism types</w:t>
      </w:r>
      <w:r w:rsidRPr="00AF2F0F">
        <w:rPr>
          <w:lang w:val="en-US"/>
        </w:rPr>
        <w:t xml:space="preserve"> </w:t>
      </w:r>
      <w:r>
        <w:rPr>
          <w:lang w:val="en-US"/>
        </w:rPr>
        <w:t>for a trophic level study in a Louisiana, USA marsh</w:t>
      </w:r>
      <w:r w:rsidRPr="00DD2C1A">
        <w:rPr>
          <w:rFonts w:asciiTheme="majorBidi" w:hAnsiTheme="majorBidi" w:cstheme="majorBidi"/>
          <w:lang w:val="en-US"/>
        </w:rPr>
        <w:t xml:space="preserve">. Data after supplemental material provided </w:t>
      </w:r>
      <w:r w:rsidR="00A548E6">
        <w:rPr>
          <w:rFonts w:asciiTheme="majorBidi" w:hAnsiTheme="majorBidi" w:cstheme="majorBidi"/>
          <w:lang w:val="en-US"/>
        </w:rPr>
        <w:t xml:space="preserve">by </w:t>
      </w:r>
      <w:r w:rsidRPr="00DD2C1A">
        <w:rPr>
          <w:rFonts w:asciiTheme="majorBidi" w:hAnsiTheme="majorBidi" w:cstheme="majorBidi"/>
          <w:lang w:val="en-US"/>
        </w:rPr>
        <w:t>Moyo et al. (2021)</w:t>
      </w:r>
      <w:bookmarkEnd w:id="0"/>
      <w:r w:rsidRPr="00DD2C1A">
        <w:rPr>
          <w:rFonts w:asciiTheme="majorBidi" w:hAnsiTheme="majorBidi" w:cstheme="majorBidi"/>
          <w:lang w:val="en-US"/>
        </w:rPr>
        <w:t>.</w:t>
      </w:r>
    </w:p>
    <w:p w14:paraId="4DD8CA87" w14:textId="77777777" w:rsidR="00BA7637" w:rsidRPr="00DD2C1A" w:rsidRDefault="00BA7637" w:rsidP="000B02B9">
      <w:pPr>
        <w:pStyle w:val="Newparagraph"/>
        <w:spacing w:after="3" w:line="473" w:lineRule="auto"/>
        <w:ind w:right="14" w:firstLine="0"/>
        <w:jc w:val="both"/>
        <w:rPr>
          <w:lang w:val="en-US"/>
        </w:rPr>
      </w:pPr>
      <w:r>
        <w:rPr>
          <w:lang w:val="en-US"/>
        </w:rPr>
        <w:t>-</w:t>
      </w:r>
    </w:p>
    <w:p w14:paraId="419A8CBD" w14:textId="769738EB" w:rsidR="00BA7637" w:rsidRPr="00E81EA6" w:rsidRDefault="00BA7637" w:rsidP="00E81EA6">
      <w:pPr>
        <w:pStyle w:val="Newparagraph"/>
        <w:spacing w:after="3" w:line="473" w:lineRule="auto"/>
        <w:ind w:right="14"/>
        <w:jc w:val="both"/>
        <w:rPr>
          <w:lang w:val="en-US"/>
        </w:rPr>
      </w:pPr>
      <w:r w:rsidRPr="00DD2C1A">
        <w:rPr>
          <w:lang w:val="en-US"/>
        </w:rPr>
        <w:t xml:space="preserve">Figure </w:t>
      </w:r>
      <w:r w:rsidR="000E4A64">
        <w:rPr>
          <w:lang w:val="en-US"/>
        </w:rPr>
        <w:t>S</w:t>
      </w:r>
      <w:r w:rsidRPr="00DD2C1A">
        <w:rPr>
          <w:lang w:val="en-US"/>
        </w:rPr>
        <w:t>1</w:t>
      </w:r>
      <w:r w:rsidR="00E81EA6">
        <w:rPr>
          <w:lang w:val="en-US"/>
        </w:rPr>
        <w:t>e</w:t>
      </w:r>
      <w:r w:rsidRPr="00DD2C1A">
        <w:rPr>
          <w:lang w:val="en-US"/>
        </w:rPr>
        <w:t xml:space="preserve"> presents the relationship between spline smoothed cubic derivatives and </w:t>
      </w:r>
      <w:r w:rsidRPr="00DD2C1A">
        <w:rPr>
          <w:vertAlign w:val="superscript"/>
          <w:lang w:val="en-US"/>
        </w:rPr>
        <w:t>14</w:t>
      </w:r>
      <w:r w:rsidRPr="00DD2C1A">
        <w:rPr>
          <w:lang w:val="en-US"/>
        </w:rPr>
        <w:t>N concentration for sparrows, marsh rats and mussels. There was no detectable consistent curvature (</w:t>
      </w:r>
      <w:r w:rsidRPr="00DD2C1A">
        <w:rPr>
          <w:i/>
          <w:iCs/>
          <w:lang w:val="en-US"/>
        </w:rPr>
        <w:t>x</w:t>
      </w:r>
      <w:r w:rsidRPr="00DD2C1A">
        <w:rPr>
          <w:vertAlign w:val="superscript"/>
          <w:lang w:val="en-US"/>
        </w:rPr>
        <w:t>2</w:t>
      </w:r>
      <w:r w:rsidRPr="00DD2C1A">
        <w:rPr>
          <w:lang w:val="en-US"/>
        </w:rPr>
        <w:t xml:space="preserve"> terms not significant) in </w:t>
      </w:r>
      <w:r w:rsidRPr="00DD2C1A">
        <w:rPr>
          <w:vertAlign w:val="superscript"/>
          <w:lang w:val="en-US"/>
        </w:rPr>
        <w:t>14</w:t>
      </w:r>
      <w:r w:rsidRPr="00DD2C1A">
        <w:rPr>
          <w:lang w:val="en-US"/>
        </w:rPr>
        <w:t xml:space="preserve">N vs. </w:t>
      </w:r>
      <w:r w:rsidRPr="00DD2C1A">
        <w:rPr>
          <w:vertAlign w:val="superscript"/>
          <w:lang w:val="en-US"/>
        </w:rPr>
        <w:t>15</w:t>
      </w:r>
      <w:r w:rsidRPr="00DD2C1A">
        <w:rPr>
          <w:lang w:val="en-US"/>
        </w:rPr>
        <w:t>N best</w:t>
      </w:r>
      <w:r>
        <w:rPr>
          <w:lang w:val="en-US"/>
        </w:rPr>
        <w:t>-</w:t>
      </w:r>
      <w:r w:rsidRPr="00DD2C1A">
        <w:rPr>
          <w:lang w:val="en-US"/>
        </w:rPr>
        <w:t xml:space="preserve">fit equations for these three species. Although average derivatives for all species closely align with other estimates of sources (Figure </w:t>
      </w:r>
      <w:r w:rsidR="000E4A64">
        <w:rPr>
          <w:lang w:val="en-US"/>
        </w:rPr>
        <w:t>S</w:t>
      </w:r>
      <w:r w:rsidRPr="00DD2C1A">
        <w:rPr>
          <w:lang w:val="en-US"/>
        </w:rPr>
        <w:t>1</w:t>
      </w:r>
      <w:r w:rsidR="00E81EA6">
        <w:rPr>
          <w:lang w:val="en-US"/>
        </w:rPr>
        <w:t>d</w:t>
      </w:r>
      <w:r w:rsidRPr="00DD2C1A">
        <w:rPr>
          <w:lang w:val="en-US"/>
        </w:rPr>
        <w:t xml:space="preserve">) there is considerable variation for phytoplankton, plants and insects (data not shown) that suggests subtle changes (likely data noise) in the relationship between </w:t>
      </w:r>
      <w:r w:rsidRPr="00DD2C1A">
        <w:rPr>
          <w:vertAlign w:val="superscript"/>
          <w:lang w:val="en-US"/>
        </w:rPr>
        <w:t>14</w:t>
      </w:r>
      <w:r w:rsidRPr="00DD2C1A">
        <w:rPr>
          <w:lang w:val="en-US"/>
        </w:rPr>
        <w:t xml:space="preserve">N and </w:t>
      </w:r>
      <w:r w:rsidRPr="00DD2C1A">
        <w:rPr>
          <w:vertAlign w:val="superscript"/>
          <w:lang w:val="en-US"/>
        </w:rPr>
        <w:t>15</w:t>
      </w:r>
      <w:r w:rsidRPr="00DD2C1A">
        <w:rPr>
          <w:lang w:val="en-US"/>
        </w:rPr>
        <w:t>N. However, for mussel, marsh rat</w:t>
      </w:r>
      <w:r>
        <w:rPr>
          <w:lang w:val="en-US"/>
        </w:rPr>
        <w:t>,</w:t>
      </w:r>
      <w:r w:rsidRPr="00DD2C1A">
        <w:rPr>
          <w:lang w:val="en-US"/>
        </w:rPr>
        <w:t xml:space="preserve"> and sparrow the derivatives are remarkably flat suggesting unchanging </w:t>
      </w:r>
      <w:r w:rsidRPr="00DD2C1A">
        <w:rPr>
          <w:lang w:val="en-US"/>
        </w:rPr>
        <w:lastRenderedPageBreak/>
        <w:t>sources. For these three species</w:t>
      </w:r>
      <w:r w:rsidR="00063786">
        <w:rPr>
          <w:lang w:val="en-US"/>
        </w:rPr>
        <w:t>,</w:t>
      </w:r>
      <w:r w:rsidRPr="00DD2C1A">
        <w:rPr>
          <w:lang w:val="en-US"/>
        </w:rPr>
        <w:t xml:space="preserve"> derivatives suggest very different trophic position</w:t>
      </w:r>
      <w:r w:rsidR="00063786">
        <w:rPr>
          <w:lang w:val="en-US"/>
        </w:rPr>
        <w:t>s</w:t>
      </w:r>
      <w:r w:rsidRPr="00DD2C1A">
        <w:rPr>
          <w:lang w:val="en-US"/>
        </w:rPr>
        <w:t xml:space="preserve"> (sparrow &gt; mussel</w:t>
      </w:r>
      <w:r>
        <w:rPr>
          <w:lang w:val="en-US"/>
        </w:rPr>
        <w:t xml:space="preserve"> </w:t>
      </w:r>
      <w:r w:rsidRPr="00DD2C1A">
        <w:rPr>
          <w:lang w:val="en-US"/>
        </w:rPr>
        <w:t xml:space="preserve">&gt;&gt; marsh rat) than </w:t>
      </w:r>
      <w:r w:rsidRPr="00DD2C1A">
        <w:rPr>
          <w:vertAlign w:val="superscript"/>
          <w:lang w:val="en-US"/>
        </w:rPr>
        <w:t>15</w:t>
      </w:r>
      <w:r w:rsidRPr="00DD2C1A">
        <w:rPr>
          <w:lang w:val="en-US"/>
        </w:rPr>
        <w:t>N:</w:t>
      </w:r>
      <w:r w:rsidRPr="00DD2C1A">
        <w:rPr>
          <w:vertAlign w:val="superscript"/>
          <w:lang w:val="en-US"/>
        </w:rPr>
        <w:t>14</w:t>
      </w:r>
      <w:r w:rsidRPr="00DD2C1A">
        <w:rPr>
          <w:lang w:val="en-US"/>
        </w:rPr>
        <w:t xml:space="preserve">N ratios (sparrow ≈ marsh rat &gt; mussel). </w:t>
      </w:r>
      <w:r w:rsidR="00063786">
        <w:rPr>
          <w:lang w:val="en-US"/>
        </w:rPr>
        <w:t>D</w:t>
      </w:r>
      <w:r w:rsidRPr="00DD2C1A">
        <w:rPr>
          <w:lang w:val="en-US"/>
        </w:rPr>
        <w:t>erivative</w:t>
      </w:r>
      <w:r w:rsidR="00063786">
        <w:rPr>
          <w:lang w:val="en-US"/>
        </w:rPr>
        <w:t>s</w:t>
      </w:r>
      <w:r w:rsidRPr="00DD2C1A">
        <w:rPr>
          <w:lang w:val="en-US"/>
        </w:rPr>
        <w:t xml:space="preserve"> support </w:t>
      </w:r>
      <w:r w:rsidR="00B26A82">
        <w:rPr>
          <w:lang w:val="en-US"/>
        </w:rPr>
        <w:t xml:space="preserve">the </w:t>
      </w:r>
      <w:r w:rsidRPr="00DD2C1A">
        <w:rPr>
          <w:lang w:val="en-US"/>
        </w:rPr>
        <w:t xml:space="preserve">differences </w:t>
      </w:r>
      <w:r w:rsidR="00B26A82">
        <w:rPr>
          <w:lang w:val="en-US"/>
        </w:rPr>
        <w:t xml:space="preserve">found </w:t>
      </w:r>
      <w:r w:rsidRPr="00DD2C1A">
        <w:rPr>
          <w:lang w:val="en-US"/>
        </w:rPr>
        <w:t xml:space="preserve">for the other five source analyses for these </w:t>
      </w:r>
      <w:r w:rsidR="00ED33C0">
        <w:rPr>
          <w:lang w:val="en-US"/>
        </w:rPr>
        <w:t xml:space="preserve">three </w:t>
      </w:r>
      <w:r w:rsidR="00063786">
        <w:rPr>
          <w:lang w:val="en-US"/>
        </w:rPr>
        <w:t>species</w:t>
      </w:r>
      <w:r w:rsidRPr="00DD2C1A">
        <w:rPr>
          <w:lang w:val="en-US"/>
        </w:rPr>
        <w:t xml:space="preserve"> </w:t>
      </w:r>
      <w:r w:rsidR="00063786">
        <w:rPr>
          <w:lang w:val="en-US"/>
        </w:rPr>
        <w:t>(</w:t>
      </w:r>
      <w:r w:rsidRPr="00DD2C1A">
        <w:rPr>
          <w:lang w:val="en-US"/>
        </w:rPr>
        <w:t xml:space="preserve">Figure </w:t>
      </w:r>
      <w:r w:rsidR="000E4A64">
        <w:rPr>
          <w:lang w:val="en-US"/>
        </w:rPr>
        <w:t>S</w:t>
      </w:r>
      <w:r w:rsidRPr="00DD2C1A">
        <w:rPr>
          <w:lang w:val="en-US"/>
        </w:rPr>
        <w:t>1</w:t>
      </w:r>
      <w:r w:rsidR="00E81EA6">
        <w:rPr>
          <w:lang w:val="en-US"/>
        </w:rPr>
        <w:t>d</w:t>
      </w:r>
      <w:r w:rsidR="00063786">
        <w:rPr>
          <w:lang w:val="en-US"/>
        </w:rPr>
        <w:t>)</w:t>
      </w:r>
      <w:r w:rsidRPr="00DD2C1A">
        <w:rPr>
          <w:lang w:val="en-US"/>
        </w:rPr>
        <w:t xml:space="preserve">. </w:t>
      </w:r>
    </w:p>
    <w:p w14:paraId="61160D71" w14:textId="77777777" w:rsidR="00BA7637" w:rsidRPr="00D35575" w:rsidRDefault="00BA7637" w:rsidP="000B02B9">
      <w:pPr>
        <w:ind w:left="0" w:right="14"/>
        <w:rPr>
          <w:rFonts w:asciiTheme="majorBidi" w:hAnsiTheme="majorBidi" w:cstheme="majorBidi"/>
        </w:rPr>
      </w:pPr>
      <w:r w:rsidRPr="00502DFB">
        <w:rPr>
          <w:noProof/>
        </w:rPr>
        <w:drawing>
          <wp:inline distT="0" distB="0" distL="0" distR="0" wp14:anchorId="1B843273" wp14:editId="399032A8">
            <wp:extent cx="4580952" cy="2752381"/>
            <wp:effectExtent l="0" t="0" r="0" b="0"/>
            <wp:docPr id="1207701463" name="Picture 1" descr="A picture containing text, screenshot, soft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701463" name="Picture 1" descr="A picture containing text, screenshot, software&#10;&#10;Description automatically generated"/>
                    <pic:cNvPicPr/>
                  </pic:nvPicPr>
                  <pic:blipFill>
                    <a:blip r:embed="rId12"/>
                    <a:stretch>
                      <a:fillRect/>
                    </a:stretch>
                  </pic:blipFill>
                  <pic:spPr>
                    <a:xfrm>
                      <a:off x="0" y="0"/>
                      <a:ext cx="4580952" cy="2752381"/>
                    </a:xfrm>
                    <a:prstGeom prst="rect">
                      <a:avLst/>
                    </a:prstGeom>
                  </pic:spPr>
                </pic:pic>
              </a:graphicData>
            </a:graphic>
          </wp:inline>
        </w:drawing>
      </w:r>
    </w:p>
    <w:p w14:paraId="260E9FA3" w14:textId="2D91E630" w:rsidR="00BA7637" w:rsidRDefault="00BA7637" w:rsidP="000B02B9">
      <w:pPr>
        <w:pStyle w:val="Figurecaption"/>
        <w:spacing w:before="0" w:after="3" w:line="473" w:lineRule="auto"/>
        <w:ind w:right="14"/>
        <w:jc w:val="both"/>
        <w:rPr>
          <w:lang w:val="en-US"/>
        </w:rPr>
      </w:pPr>
      <w:r w:rsidRPr="00DD2C1A">
        <w:rPr>
          <w:lang w:val="en-US"/>
        </w:rPr>
        <w:t xml:space="preserve">Figure </w:t>
      </w:r>
      <w:r w:rsidR="000E4A64">
        <w:rPr>
          <w:lang w:val="en-US"/>
        </w:rPr>
        <w:t>S</w:t>
      </w:r>
      <w:r w:rsidRPr="00DD2C1A">
        <w:rPr>
          <w:lang w:val="en-US"/>
        </w:rPr>
        <w:t>1</w:t>
      </w:r>
      <w:r w:rsidR="00E81EA6">
        <w:rPr>
          <w:lang w:val="en-US"/>
        </w:rPr>
        <w:t>e</w:t>
      </w:r>
      <w:r w:rsidRPr="00DD2C1A">
        <w:rPr>
          <w:lang w:val="en-US"/>
        </w:rPr>
        <w:t xml:space="preserve">. The relationship between spline smoothed cubic derivatives and </w:t>
      </w:r>
      <w:r w:rsidRPr="00DD2C1A">
        <w:rPr>
          <w:vertAlign w:val="superscript"/>
          <w:lang w:val="en-US"/>
        </w:rPr>
        <w:t>14</w:t>
      </w:r>
      <w:r w:rsidRPr="00DD2C1A">
        <w:rPr>
          <w:lang w:val="en-US"/>
        </w:rPr>
        <w:t>N concentration for mussels, marsh rats and sparrows</w:t>
      </w:r>
      <w:r w:rsidRPr="00AF2F0F">
        <w:rPr>
          <w:lang w:val="en-US"/>
        </w:rPr>
        <w:t xml:space="preserve"> </w:t>
      </w:r>
      <w:r>
        <w:rPr>
          <w:lang w:val="en-US"/>
        </w:rPr>
        <w:t>for a trophic level study in a Louisiana, USA marsh</w:t>
      </w:r>
      <w:r w:rsidRPr="00DD2C1A">
        <w:rPr>
          <w:lang w:val="en-US"/>
        </w:rPr>
        <w:t xml:space="preserve">. There was no detectable curvature (significant </w:t>
      </w:r>
      <w:r w:rsidRPr="00DD2C1A">
        <w:rPr>
          <w:i/>
          <w:iCs/>
          <w:lang w:val="en-US"/>
        </w:rPr>
        <w:t>x</w:t>
      </w:r>
      <w:r w:rsidRPr="00DD2C1A">
        <w:rPr>
          <w:vertAlign w:val="superscript"/>
          <w:lang w:val="en-US"/>
        </w:rPr>
        <w:t>2</w:t>
      </w:r>
      <w:r w:rsidRPr="00DD2C1A">
        <w:rPr>
          <w:lang w:val="en-US"/>
        </w:rPr>
        <w:t xml:space="preserve"> terms in polynomial best</w:t>
      </w:r>
      <w:r>
        <w:rPr>
          <w:lang w:val="en-US"/>
        </w:rPr>
        <w:t>-</w:t>
      </w:r>
      <w:r w:rsidRPr="00DD2C1A">
        <w:rPr>
          <w:lang w:val="en-US"/>
        </w:rPr>
        <w:t xml:space="preserve">fit </w:t>
      </w:r>
      <w:r w:rsidRPr="00DD2C1A">
        <w:rPr>
          <w:vertAlign w:val="superscript"/>
          <w:lang w:val="en-US"/>
        </w:rPr>
        <w:t>14</w:t>
      </w:r>
      <w:r w:rsidRPr="00DD2C1A">
        <w:rPr>
          <w:lang w:val="en-US"/>
        </w:rPr>
        <w:t xml:space="preserve">N vs. </w:t>
      </w:r>
      <w:r w:rsidRPr="00DD2C1A">
        <w:rPr>
          <w:vertAlign w:val="superscript"/>
          <w:lang w:val="en-US"/>
        </w:rPr>
        <w:t>15</w:t>
      </w:r>
      <w:r w:rsidRPr="00DD2C1A">
        <w:rPr>
          <w:lang w:val="en-US"/>
        </w:rPr>
        <w:t>N equations)</w:t>
      </w:r>
      <w:r>
        <w:rPr>
          <w:lang w:val="en-US"/>
        </w:rPr>
        <w:t>.</w:t>
      </w:r>
      <w:r w:rsidRPr="00DD2C1A">
        <w:rPr>
          <w:lang w:val="en-US"/>
        </w:rPr>
        <w:t xml:space="preserve"> Data after supplemental material provided </w:t>
      </w:r>
      <w:r w:rsidR="00A548E6">
        <w:rPr>
          <w:lang w:val="en-US"/>
        </w:rPr>
        <w:t xml:space="preserve">by </w:t>
      </w:r>
      <w:r w:rsidRPr="00DD2C1A">
        <w:rPr>
          <w:lang w:val="en-US"/>
        </w:rPr>
        <w:t>Moyo et al. (2021).</w:t>
      </w:r>
    </w:p>
    <w:p w14:paraId="1A0F0629" w14:textId="77777777" w:rsidR="00BA7637" w:rsidRPr="006003AB" w:rsidRDefault="00BA7637" w:rsidP="000B02B9">
      <w:pPr>
        <w:pStyle w:val="Articletitle"/>
        <w:spacing w:after="3" w:line="473" w:lineRule="auto"/>
        <w:ind w:right="14"/>
        <w:jc w:val="both"/>
        <w:rPr>
          <w:sz w:val="24"/>
          <w:lang w:val="en-US"/>
        </w:rPr>
      </w:pPr>
      <w:r>
        <w:rPr>
          <w:sz w:val="24"/>
          <w:lang w:val="en-US"/>
        </w:rPr>
        <w:t>-</w:t>
      </w:r>
    </w:p>
    <w:p w14:paraId="4D6C137B" w14:textId="0A2A5FFE" w:rsidR="00BA7637" w:rsidRPr="00DD2C1A" w:rsidRDefault="00BA7637" w:rsidP="000B02B9">
      <w:pPr>
        <w:pStyle w:val="Newparagraph"/>
        <w:spacing w:after="3" w:line="473" w:lineRule="auto"/>
        <w:ind w:right="14"/>
        <w:jc w:val="both"/>
        <w:rPr>
          <w:lang w:val="en-US"/>
        </w:rPr>
      </w:pPr>
      <w:r w:rsidRPr="00DD2C1A">
        <w:rPr>
          <w:lang w:val="en-US"/>
        </w:rPr>
        <w:t>The original authors hypothesized that sparrows and marsh rats have similar trophic levels as they are both omnivores. With the large number of replicates (400 and 125 for sparrows and marsh rats respectively) small differences in the authors δ</w:t>
      </w:r>
      <w:r w:rsidRPr="00DD2C1A">
        <w:rPr>
          <w:vertAlign w:val="superscript"/>
          <w:lang w:val="en-US"/>
        </w:rPr>
        <w:t>15</w:t>
      </w:r>
      <w:r w:rsidRPr="00DD2C1A">
        <w:rPr>
          <w:lang w:val="en-US"/>
        </w:rPr>
        <w:t xml:space="preserve">N (~ 0.7 delta units) or </w:t>
      </w:r>
      <w:r w:rsidRPr="00DD2C1A">
        <w:rPr>
          <w:vertAlign w:val="superscript"/>
          <w:lang w:val="en-US"/>
        </w:rPr>
        <w:t>15</w:t>
      </w:r>
      <w:r w:rsidRPr="00DD2C1A">
        <w:rPr>
          <w:lang w:val="en-US"/>
        </w:rPr>
        <w:t>N:</w:t>
      </w:r>
      <w:r w:rsidRPr="00DD2C1A">
        <w:rPr>
          <w:vertAlign w:val="superscript"/>
          <w:lang w:val="en-US"/>
        </w:rPr>
        <w:t>14</w:t>
      </w:r>
      <w:r w:rsidRPr="00DD2C1A">
        <w:rPr>
          <w:lang w:val="en-US"/>
        </w:rPr>
        <w:t xml:space="preserve">N ratios shown in Figure </w:t>
      </w:r>
      <w:r w:rsidR="000E4A64">
        <w:rPr>
          <w:lang w:val="en-US"/>
        </w:rPr>
        <w:t>S</w:t>
      </w:r>
      <w:r w:rsidRPr="00DD2C1A">
        <w:rPr>
          <w:lang w:val="en-US"/>
        </w:rPr>
        <w:t>1</w:t>
      </w:r>
      <w:r w:rsidR="00E81EA6">
        <w:rPr>
          <w:lang w:val="en-US"/>
        </w:rPr>
        <w:t xml:space="preserve">d </w:t>
      </w:r>
      <w:r w:rsidRPr="00DD2C1A">
        <w:rPr>
          <w:lang w:val="en-US"/>
        </w:rPr>
        <w:t>are statistically significant (</w:t>
      </w:r>
      <w:r w:rsidRPr="00DD2C1A">
        <w:rPr>
          <w:i/>
          <w:iCs/>
          <w:lang w:val="en-US"/>
        </w:rPr>
        <w:t>p</w:t>
      </w:r>
      <w:r w:rsidRPr="00DD2C1A">
        <w:rPr>
          <w:lang w:val="en-US"/>
        </w:rPr>
        <w:t xml:space="preserve"> &lt; 0.05). This suggests sparrows occupy a slightly higher trophic level than marsh rats. However, when the five alternate source methods </w:t>
      </w:r>
      <w:r w:rsidR="00623066">
        <w:rPr>
          <w:lang w:val="en-US"/>
        </w:rPr>
        <w:t xml:space="preserve">in </w:t>
      </w:r>
      <w:r w:rsidRPr="00DD2C1A">
        <w:rPr>
          <w:lang w:val="en-US"/>
        </w:rPr>
        <w:t xml:space="preserve">Figure </w:t>
      </w:r>
      <w:r w:rsidR="000E4A64">
        <w:rPr>
          <w:lang w:val="en-US"/>
        </w:rPr>
        <w:t>S</w:t>
      </w:r>
      <w:r w:rsidRPr="00DD2C1A">
        <w:rPr>
          <w:lang w:val="en-US"/>
        </w:rPr>
        <w:t xml:space="preserve">1f are averaged, sparrows have a </w:t>
      </w:r>
      <w:r w:rsidRPr="00DD2C1A">
        <w:rPr>
          <w:vertAlign w:val="superscript"/>
          <w:lang w:val="en-US"/>
        </w:rPr>
        <w:t>15</w:t>
      </w:r>
      <w:r w:rsidRPr="00DD2C1A">
        <w:rPr>
          <w:lang w:val="en-US"/>
        </w:rPr>
        <w:t>N:</w:t>
      </w:r>
      <w:r w:rsidRPr="00DD2C1A">
        <w:rPr>
          <w:vertAlign w:val="superscript"/>
          <w:lang w:val="en-US"/>
        </w:rPr>
        <w:t>14</w:t>
      </w:r>
      <w:r w:rsidRPr="00DD2C1A">
        <w:rPr>
          <w:lang w:val="en-US"/>
        </w:rPr>
        <w:t xml:space="preserve">N </w:t>
      </w:r>
      <w:r>
        <w:rPr>
          <w:lang w:val="en-US"/>
        </w:rPr>
        <w:t xml:space="preserve">source </w:t>
      </w:r>
      <w:r w:rsidRPr="00DD2C1A">
        <w:rPr>
          <w:lang w:val="en-US"/>
        </w:rPr>
        <w:t>ratio of 0.003759 vs. 0.003737 for marsh rats (an ~2.7 delta unit difference).</w:t>
      </w:r>
      <w:r w:rsidR="00A548E6">
        <w:rPr>
          <w:lang w:val="en-US"/>
        </w:rPr>
        <w:t xml:space="preserve"> Converting the derivatives for sparrows and marsh rats in Figure S1e to delta values indicates a delta unit difference similar to the </w:t>
      </w:r>
      <w:r w:rsidR="00806341">
        <w:rPr>
          <w:lang w:val="en-US"/>
        </w:rPr>
        <w:t>del</w:t>
      </w:r>
      <w:r w:rsidR="00623066">
        <w:rPr>
          <w:lang w:val="en-US"/>
        </w:rPr>
        <w:t>t</w:t>
      </w:r>
      <w:r w:rsidR="00806341">
        <w:rPr>
          <w:lang w:val="en-US"/>
        </w:rPr>
        <w:t xml:space="preserve">a difference listed above. </w:t>
      </w:r>
    </w:p>
    <w:p w14:paraId="4634458D" w14:textId="77777777" w:rsidR="00BA7637" w:rsidRPr="00DD2C1A" w:rsidRDefault="00BA7637" w:rsidP="000B02B9">
      <w:pPr>
        <w:pStyle w:val="Newparagraph"/>
        <w:spacing w:after="3" w:line="473" w:lineRule="auto"/>
        <w:ind w:right="14"/>
        <w:jc w:val="both"/>
        <w:rPr>
          <w:lang w:val="en-US" w:eastAsia="ja-JP"/>
        </w:rPr>
      </w:pPr>
      <w:r w:rsidRPr="00DD2C1A">
        <w:rPr>
          <w:lang w:val="en-US"/>
        </w:rPr>
        <w:lastRenderedPageBreak/>
        <w:t>If one is interested in trophic levels, sources are the crucial factor to evaluate. One wants to know what different organisms eat, rather than what their often-confounded observed ratios are. Slopes or other slope-related source estimates are a better trophic level evaluation choice than confounded ratios or approaches where two possibly confounded ratios are plotted against each other.</w:t>
      </w:r>
      <w:r w:rsidRPr="00DD2C1A">
        <w:rPr>
          <w:lang w:val="en-US" w:eastAsia="ja-JP"/>
        </w:rPr>
        <w:t xml:space="preserve"> </w:t>
      </w:r>
      <w:r>
        <w:rPr>
          <w:lang w:val="en-US" w:eastAsia="ja-JP"/>
        </w:rPr>
        <w:t>Determining how common scaling errors are among the copious isotopic trophic level studies in the literature is beyond the scope of this report.</w:t>
      </w:r>
    </w:p>
    <w:p w14:paraId="5E5D1354" w14:textId="2A384E87" w:rsidR="00BA7637" w:rsidRPr="00DD2C1A" w:rsidRDefault="00BA7637" w:rsidP="000B02B9">
      <w:pPr>
        <w:pStyle w:val="Newparagraph"/>
        <w:spacing w:after="3" w:line="473" w:lineRule="auto"/>
        <w:ind w:right="14"/>
        <w:jc w:val="both"/>
        <w:rPr>
          <w:lang w:val="en-US" w:eastAsia="ja-JP"/>
        </w:rPr>
      </w:pPr>
      <w:r w:rsidRPr="00DD2C1A">
        <w:rPr>
          <w:lang w:val="en-US" w:eastAsia="ja-JP"/>
        </w:rPr>
        <w:t xml:space="preserve">Organism size and the covarying total N content could be important factors influencing </w:t>
      </w:r>
      <w:r w:rsidRPr="00DD2C1A">
        <w:rPr>
          <w:vertAlign w:val="superscript"/>
          <w:lang w:val="en-US" w:eastAsia="ja-JP"/>
        </w:rPr>
        <w:t>15</w:t>
      </w:r>
      <w:r w:rsidRPr="00DD2C1A">
        <w:rPr>
          <w:lang w:val="en-US" w:eastAsia="ja-JP"/>
        </w:rPr>
        <w:t>N:</w:t>
      </w:r>
      <w:r w:rsidRPr="00DD2C1A">
        <w:rPr>
          <w:vertAlign w:val="superscript"/>
          <w:lang w:val="en-US" w:eastAsia="ja-JP"/>
        </w:rPr>
        <w:t>14</w:t>
      </w:r>
      <w:r w:rsidRPr="00DD2C1A">
        <w:rPr>
          <w:lang w:val="en-US" w:eastAsia="ja-JP"/>
        </w:rPr>
        <w:t xml:space="preserve">N ratios. There is strong theoretical (Layman et al. 2005) and observational (McGarvey et al. 2020) evidence that predators are usually larger than their prey. Villamarín et al. </w:t>
      </w:r>
      <w:r>
        <w:rPr>
          <w:lang w:val="en-US" w:eastAsia="ja-JP"/>
        </w:rPr>
        <w:t>(</w:t>
      </w:r>
      <w:r w:rsidRPr="00DD2C1A">
        <w:rPr>
          <w:lang w:val="en-US" w:eastAsia="ja-JP"/>
        </w:rPr>
        <w:t>2018</w:t>
      </w:r>
      <w:r>
        <w:rPr>
          <w:lang w:val="en-US" w:eastAsia="ja-JP"/>
        </w:rPr>
        <w:t xml:space="preserve">) studying crocodilians and </w:t>
      </w:r>
      <w:r w:rsidRPr="00DD2C1A">
        <w:rPr>
          <w:lang w:val="en-US" w:eastAsia="ja-JP"/>
        </w:rPr>
        <w:t xml:space="preserve">Jacobi et al. </w:t>
      </w:r>
      <w:r>
        <w:rPr>
          <w:lang w:val="en-US" w:eastAsia="ja-JP"/>
        </w:rPr>
        <w:t>(</w:t>
      </w:r>
      <w:r w:rsidRPr="00DD2C1A">
        <w:rPr>
          <w:lang w:val="en-US" w:eastAsia="ja-JP"/>
        </w:rPr>
        <w:t xml:space="preserve">2020) </w:t>
      </w:r>
      <w:r>
        <w:rPr>
          <w:lang w:val="en-US" w:eastAsia="ja-JP"/>
        </w:rPr>
        <w:t xml:space="preserve">studying an Amazon fish </w:t>
      </w:r>
      <w:r w:rsidRPr="00DD2C1A">
        <w:rPr>
          <w:lang w:val="en-US" w:eastAsia="ja-JP"/>
        </w:rPr>
        <w:t>(</w:t>
      </w:r>
      <w:r w:rsidRPr="00DD2C1A">
        <w:rPr>
          <w:i/>
          <w:iCs/>
          <w:lang w:val="en-US" w:eastAsia="ja-JP"/>
        </w:rPr>
        <w:t>Arapaima</w:t>
      </w:r>
      <w:r w:rsidRPr="00DD2C1A">
        <w:rPr>
          <w:lang w:val="en-US" w:eastAsia="ja-JP"/>
        </w:rPr>
        <w:t>)</w:t>
      </w:r>
      <w:r>
        <w:rPr>
          <w:lang w:val="en-US" w:eastAsia="ja-JP"/>
        </w:rPr>
        <w:t xml:space="preserve">, </w:t>
      </w:r>
      <w:r w:rsidRPr="00DD2C1A">
        <w:rPr>
          <w:lang w:val="en-US" w:eastAsia="ja-JP"/>
        </w:rPr>
        <w:t xml:space="preserve">suggest it is possible that body size (and covarying total N) indirectly contribute to </w:t>
      </w:r>
      <w:r w:rsidRPr="00DD2C1A">
        <w:rPr>
          <w:vertAlign w:val="superscript"/>
          <w:lang w:val="en-US" w:eastAsia="ja-JP"/>
        </w:rPr>
        <w:t>15</w:t>
      </w:r>
      <w:r w:rsidRPr="00DD2C1A">
        <w:rPr>
          <w:lang w:val="en-US" w:eastAsia="ja-JP"/>
        </w:rPr>
        <w:t>N:</w:t>
      </w:r>
      <w:r w:rsidRPr="00DD2C1A">
        <w:rPr>
          <w:vertAlign w:val="superscript"/>
          <w:lang w:val="en-US" w:eastAsia="ja-JP"/>
        </w:rPr>
        <w:t>14</w:t>
      </w:r>
      <w:r w:rsidRPr="00DD2C1A">
        <w:rPr>
          <w:lang w:val="en-US" w:eastAsia="ja-JP"/>
        </w:rPr>
        <w:t xml:space="preserve">N ratio differences between predators and prey. This could either mask or enhance trophic level induced isotopic </w:t>
      </w:r>
      <w:r w:rsidR="00FE3557">
        <w:rPr>
          <w:lang w:val="en-US" w:eastAsia="ja-JP"/>
        </w:rPr>
        <w:t>differences</w:t>
      </w:r>
      <w:r w:rsidRPr="00DD2C1A">
        <w:rPr>
          <w:lang w:val="en-US" w:eastAsia="ja-JP"/>
        </w:rPr>
        <w:t xml:space="preserve">. </w:t>
      </w:r>
      <w:r>
        <w:rPr>
          <w:lang w:val="en-US" w:eastAsia="ja-JP"/>
        </w:rPr>
        <w:t xml:space="preserve">In the </w:t>
      </w:r>
      <w:r w:rsidRPr="00DD2C1A">
        <w:rPr>
          <w:lang w:val="en-US" w:eastAsia="ja-JP"/>
        </w:rPr>
        <w:t xml:space="preserve">Villamarín et al. (2018) </w:t>
      </w:r>
      <w:r>
        <w:rPr>
          <w:lang w:val="en-US" w:eastAsia="ja-JP"/>
        </w:rPr>
        <w:t xml:space="preserve">study, </w:t>
      </w:r>
      <w:r w:rsidRPr="00DD2C1A">
        <w:rPr>
          <w:lang w:val="en-US" w:eastAsia="ja-JP"/>
        </w:rPr>
        <w:t xml:space="preserve">stable isotope estimates of trophic position in crocodilians are not supported by diet (stomach contents). </w:t>
      </w:r>
    </w:p>
    <w:p w14:paraId="33BB66F1" w14:textId="76216A41" w:rsidR="00BA7637" w:rsidRPr="00DD2C1A" w:rsidRDefault="00BA7637" w:rsidP="000B02B9">
      <w:pPr>
        <w:pStyle w:val="Newparagraph"/>
        <w:spacing w:after="3" w:line="473" w:lineRule="auto"/>
        <w:ind w:right="14"/>
        <w:jc w:val="both"/>
        <w:rPr>
          <w:lang w:val="en-US" w:eastAsia="ja-JP"/>
        </w:rPr>
      </w:pPr>
      <w:r w:rsidRPr="00DD2C1A">
        <w:rPr>
          <w:lang w:val="en-US" w:eastAsia="ja-JP"/>
        </w:rPr>
        <w:t>Whitledge and Rabeni (1997) also present data where isotopic defined trophic levels do not agree with stomach contents in crayfish (</w:t>
      </w:r>
      <w:r w:rsidRPr="00DD2C1A">
        <w:rPr>
          <w:i/>
          <w:iCs/>
          <w:lang w:val="en-US" w:eastAsia="ja-JP"/>
        </w:rPr>
        <w:t>Orconectes</w:t>
      </w:r>
      <w:r w:rsidRPr="00DD2C1A">
        <w:rPr>
          <w:lang w:val="en-US" w:eastAsia="ja-JP"/>
        </w:rPr>
        <w:t xml:space="preserve"> species). </w:t>
      </w:r>
      <w:r>
        <w:rPr>
          <w:lang w:val="en-US" w:eastAsia="ja-JP"/>
        </w:rPr>
        <w:t>This</w:t>
      </w:r>
      <w:r w:rsidRPr="00DD2C1A">
        <w:rPr>
          <w:lang w:val="en-US" w:eastAsia="ja-JP"/>
        </w:rPr>
        <w:t xml:space="preserve"> discrepancy is explained by extremely low assimilation efficiency (14%) for detritus material that constitutes over 80% of the crayfish diet. However, assimilation efficiency is much higher (~85%) for detritus in other crayfish (</w:t>
      </w:r>
      <w:r w:rsidRPr="00DD2C1A">
        <w:rPr>
          <w:i/>
          <w:iCs/>
          <w:shd w:val="clear" w:color="auto" w:fill="FFFFFF"/>
          <w:lang w:val="en-US"/>
        </w:rPr>
        <w:t>Austropotamobius pallipes</w:t>
      </w:r>
      <w:r w:rsidRPr="00DD2C1A">
        <w:rPr>
          <w:shd w:val="clear" w:color="auto" w:fill="FFFFFF"/>
          <w:lang w:val="en-US"/>
        </w:rPr>
        <w:t>)</w:t>
      </w:r>
      <w:r w:rsidRPr="00DD2C1A">
        <w:rPr>
          <w:lang w:val="en-US" w:eastAsia="ja-JP"/>
        </w:rPr>
        <w:t xml:space="preserve"> studies (</w:t>
      </w:r>
      <w:r w:rsidRPr="00DD2C1A">
        <w:rPr>
          <w:shd w:val="clear" w:color="auto" w:fill="FFFFFF"/>
          <w:lang w:val="en-US"/>
        </w:rPr>
        <w:t xml:space="preserve">Gherardi </w:t>
      </w:r>
      <w:r w:rsidRPr="00DD2C1A">
        <w:rPr>
          <w:lang w:val="en-US" w:eastAsia="ja-JP"/>
        </w:rPr>
        <w:t>et al.</w:t>
      </w:r>
      <w:r w:rsidRPr="00DD2C1A">
        <w:rPr>
          <w:shd w:val="clear" w:color="auto" w:fill="FFFFFF"/>
          <w:lang w:val="en-US"/>
        </w:rPr>
        <w:t xml:space="preserve"> 2004)</w:t>
      </w:r>
      <w:r w:rsidRPr="00DD2C1A">
        <w:rPr>
          <w:lang w:val="en-US" w:eastAsia="ja-JP"/>
        </w:rPr>
        <w:t xml:space="preserve">. Furthermore, even with gut-content corrections based on assimilation values, Whitledge and Rabeni’s (1997) isotopic approaches overestimate animal input and underestimate detritus input by 15% and 21% respectively. </w:t>
      </w:r>
      <w:r>
        <w:rPr>
          <w:lang w:val="en-US" w:eastAsia="ja-JP"/>
        </w:rPr>
        <w:t>T</w:t>
      </w:r>
      <w:r w:rsidRPr="00DD2C1A">
        <w:rPr>
          <w:lang w:val="en-US" w:eastAsia="ja-JP"/>
        </w:rPr>
        <w:t>rophic position</w:t>
      </w:r>
      <w:r>
        <w:rPr>
          <w:lang w:val="en-US" w:eastAsia="ja-JP"/>
        </w:rPr>
        <w:t xml:space="preserve"> assignment</w:t>
      </w:r>
      <w:r w:rsidRPr="00DD2C1A">
        <w:rPr>
          <w:lang w:val="en-US" w:eastAsia="ja-JP"/>
        </w:rPr>
        <w:t xml:space="preserve"> could be confounded by total N content. </w:t>
      </w:r>
    </w:p>
    <w:p w14:paraId="3768F4D5" w14:textId="77777777" w:rsidR="00BA7637" w:rsidRDefault="00BA7637" w:rsidP="000B02B9">
      <w:pPr>
        <w:pStyle w:val="Newparagraph"/>
        <w:spacing w:after="3" w:line="473" w:lineRule="auto"/>
        <w:ind w:right="14"/>
        <w:jc w:val="both"/>
        <w:rPr>
          <w:lang w:val="en-US"/>
        </w:rPr>
      </w:pPr>
      <w:r w:rsidRPr="00DD2C1A">
        <w:rPr>
          <w:lang w:val="en-US"/>
        </w:rPr>
        <w:t xml:space="preserve">The Whitledge and Rabeni (1997) example discussed above demonstrates the importance of understanding why an observed isotopic ratio for an organism and the ratio of consumed sources might differ. The use of stable isotopic techniques to study animal diets and trophic </w:t>
      </w:r>
      <w:r w:rsidRPr="00DD2C1A">
        <w:rPr>
          <w:lang w:val="en-US"/>
        </w:rPr>
        <w:lastRenderedPageBreak/>
        <w:t>levels, therefore, often requires a priori estimates of the differences in isotopic composition between an animal and its diet (Caut et al. 2009). These differences are called discrimination or fractionation factors (Δ</w:t>
      </w:r>
      <w:r w:rsidRPr="00DD2C1A">
        <w:rPr>
          <w:vertAlign w:val="superscript"/>
          <w:lang w:val="en-US"/>
        </w:rPr>
        <w:t>13</w:t>
      </w:r>
      <w:r w:rsidRPr="00DD2C1A">
        <w:rPr>
          <w:lang w:val="en-US"/>
        </w:rPr>
        <w:t>C and Δ</w:t>
      </w:r>
      <w:r w:rsidRPr="00DD2C1A">
        <w:rPr>
          <w:vertAlign w:val="superscript"/>
          <w:lang w:val="en-US"/>
        </w:rPr>
        <w:t>15</w:t>
      </w:r>
      <w:r w:rsidRPr="00DD2C1A">
        <w:rPr>
          <w:lang w:val="en-US"/>
        </w:rPr>
        <w:t xml:space="preserve">N). </w:t>
      </w:r>
    </w:p>
    <w:p w14:paraId="50855B95" w14:textId="4C79F7E8" w:rsidR="00BA7637" w:rsidRPr="00DD2C1A" w:rsidRDefault="00BA7637" w:rsidP="000B02B9">
      <w:pPr>
        <w:pStyle w:val="Newparagraph"/>
        <w:spacing w:after="3" w:line="473" w:lineRule="auto"/>
        <w:ind w:right="14"/>
        <w:jc w:val="both"/>
        <w:rPr>
          <w:lang w:val="en-US"/>
        </w:rPr>
      </w:pPr>
      <w:r w:rsidRPr="00495CBB">
        <w:rPr>
          <w:lang w:val="en-US"/>
        </w:rPr>
        <w:t>Pearson et al. (2003) report that N and C concentrations, tissue type (</w:t>
      </w:r>
      <w:r w:rsidR="00394A47">
        <w:rPr>
          <w:lang w:val="en-US"/>
        </w:rPr>
        <w:t>which varies in</w:t>
      </w:r>
      <w:r w:rsidRPr="00495CBB">
        <w:rPr>
          <w:lang w:val="en-US"/>
        </w:rPr>
        <w:t xml:space="preserve"> total element concentrations) and diet all influence fractionation values in yellow-rumped warblers (</w:t>
      </w:r>
      <w:r w:rsidRPr="00495CBB">
        <w:rPr>
          <w:i/>
          <w:iCs/>
          <w:lang w:val="en-US"/>
        </w:rPr>
        <w:t>Dendroica coronata</w:t>
      </w:r>
      <w:r w:rsidRPr="00495CBB">
        <w:rPr>
          <w:lang w:val="en-US"/>
        </w:rPr>
        <w:t>). Although Seminoff et al. (2006) did not evaluate the relationships in a turtle (</w:t>
      </w:r>
      <w:r w:rsidRPr="00495CBB">
        <w:rPr>
          <w:i/>
          <w:iCs/>
          <w:lang w:val="en-US"/>
        </w:rPr>
        <w:t>Chelonia mydas</w:t>
      </w:r>
      <w:r w:rsidRPr="00495CBB">
        <w:rPr>
          <w:lang w:val="en-US"/>
        </w:rPr>
        <w:t>) study, observed ð</w:t>
      </w:r>
      <w:r w:rsidRPr="00495CBB">
        <w:rPr>
          <w:vertAlign w:val="superscript"/>
          <w:lang w:val="en-US"/>
        </w:rPr>
        <w:t>13</w:t>
      </w:r>
      <w:r w:rsidRPr="00495CBB">
        <w:rPr>
          <w:lang w:val="en-US"/>
        </w:rPr>
        <w:t>C and ð</w:t>
      </w:r>
      <w:r w:rsidRPr="00495CBB">
        <w:rPr>
          <w:vertAlign w:val="superscript"/>
          <w:lang w:val="en-US"/>
        </w:rPr>
        <w:t>15</w:t>
      </w:r>
      <w:r w:rsidRPr="00495CBB">
        <w:rPr>
          <w:lang w:val="en-US"/>
        </w:rPr>
        <w:t>N values and the N and C fractionation factors derived from these ratio-based expressions are related to total N and C. When four tissue types (whole blood, red blood cells, plasma and epidermis) are evaluated. The r</w:t>
      </w:r>
      <w:r w:rsidRPr="00495CBB">
        <w:rPr>
          <w:vertAlign w:val="superscript"/>
          <w:lang w:val="en-US"/>
        </w:rPr>
        <w:t>2</w:t>
      </w:r>
      <w:r w:rsidRPr="00495CBB">
        <w:rPr>
          <w:lang w:val="en-US"/>
        </w:rPr>
        <w:t xml:space="preserve"> and </w:t>
      </w:r>
      <w:r w:rsidRPr="00495CBB">
        <w:rPr>
          <w:i/>
          <w:iCs/>
          <w:lang w:val="en-US"/>
        </w:rPr>
        <w:t>p</w:t>
      </w:r>
      <w:r w:rsidRPr="00495CBB">
        <w:rPr>
          <w:lang w:val="en-US"/>
        </w:rPr>
        <w:t xml:space="preserve"> values are 0.9492, </w:t>
      </w:r>
      <w:r w:rsidRPr="00495CBB">
        <w:rPr>
          <w:i/>
          <w:iCs/>
          <w:lang w:val="en-US"/>
        </w:rPr>
        <w:t xml:space="preserve">p </w:t>
      </w:r>
      <w:r w:rsidRPr="00495CBB">
        <w:rPr>
          <w:lang w:val="en-US"/>
        </w:rPr>
        <w:t xml:space="preserve">= 0.0257; 0.9619 </w:t>
      </w:r>
      <w:r w:rsidRPr="00495CBB">
        <w:rPr>
          <w:i/>
          <w:iCs/>
          <w:lang w:val="en-US"/>
        </w:rPr>
        <w:t xml:space="preserve">p </w:t>
      </w:r>
      <w:r w:rsidRPr="00495CBB">
        <w:rPr>
          <w:lang w:val="en-US"/>
        </w:rPr>
        <w:t xml:space="preserve">= 0.0171; 0.8703 </w:t>
      </w:r>
      <w:r w:rsidRPr="00495CBB">
        <w:rPr>
          <w:i/>
          <w:iCs/>
          <w:lang w:val="en-US"/>
        </w:rPr>
        <w:t xml:space="preserve">p </w:t>
      </w:r>
      <w:r w:rsidRPr="00495CBB">
        <w:rPr>
          <w:lang w:val="en-US"/>
        </w:rPr>
        <w:t>= 0.0671 and 0.9621</w:t>
      </w:r>
      <w:r w:rsidRPr="00495CBB">
        <w:rPr>
          <w:i/>
          <w:iCs/>
          <w:lang w:val="en-US"/>
        </w:rPr>
        <w:t xml:space="preserve"> p </w:t>
      </w:r>
      <w:r w:rsidRPr="00495CBB">
        <w:rPr>
          <w:lang w:val="en-US"/>
        </w:rPr>
        <w:t>= 0.0191 for C vs. ð</w:t>
      </w:r>
      <w:r w:rsidRPr="00495CBB">
        <w:rPr>
          <w:vertAlign w:val="superscript"/>
          <w:lang w:val="en-US"/>
        </w:rPr>
        <w:t>13</w:t>
      </w:r>
      <w:r w:rsidRPr="00495CBB">
        <w:rPr>
          <w:lang w:val="en-US"/>
        </w:rPr>
        <w:t>C, N vs. ð</w:t>
      </w:r>
      <w:r w:rsidRPr="00495CBB">
        <w:rPr>
          <w:vertAlign w:val="superscript"/>
          <w:lang w:val="en-US"/>
        </w:rPr>
        <w:t>15</w:t>
      </w:r>
      <w:r w:rsidRPr="00495CBB">
        <w:rPr>
          <w:lang w:val="en-US"/>
        </w:rPr>
        <w:t>N, C vs. Δ</w:t>
      </w:r>
      <w:r w:rsidRPr="00495CBB">
        <w:rPr>
          <w:vertAlign w:val="superscript"/>
          <w:lang w:val="en-US"/>
        </w:rPr>
        <w:t>13</w:t>
      </w:r>
      <w:r w:rsidRPr="00495CBB">
        <w:rPr>
          <w:lang w:val="en-US"/>
        </w:rPr>
        <w:t>C and N vs. Δ</w:t>
      </w:r>
      <w:r w:rsidRPr="00495CBB">
        <w:rPr>
          <w:vertAlign w:val="superscript"/>
          <w:lang w:val="en-US"/>
        </w:rPr>
        <w:t>15</w:t>
      </w:r>
      <w:r w:rsidRPr="00495CBB">
        <w:rPr>
          <w:lang w:val="en-US"/>
        </w:rPr>
        <w:t xml:space="preserve">N respectively (data not shown). </w:t>
      </w:r>
      <w:r w:rsidR="00394A47">
        <w:rPr>
          <w:lang w:val="en-US"/>
        </w:rPr>
        <w:t>D</w:t>
      </w:r>
      <w:r w:rsidRPr="00495CBB">
        <w:rPr>
          <w:lang w:val="en-US"/>
        </w:rPr>
        <w:t>ifferences in ð</w:t>
      </w:r>
      <w:r w:rsidRPr="00495CBB">
        <w:rPr>
          <w:vertAlign w:val="superscript"/>
          <w:lang w:val="en-US"/>
        </w:rPr>
        <w:t>13</w:t>
      </w:r>
      <w:r w:rsidRPr="00495CBB">
        <w:rPr>
          <w:lang w:val="en-US"/>
        </w:rPr>
        <w:t>C</w:t>
      </w:r>
      <w:r w:rsidR="00394A47">
        <w:rPr>
          <w:lang w:val="en-US"/>
        </w:rPr>
        <w:t>,</w:t>
      </w:r>
      <w:r w:rsidRPr="00495CBB">
        <w:rPr>
          <w:lang w:val="en-US"/>
        </w:rPr>
        <w:t xml:space="preserve"> ð</w:t>
      </w:r>
      <w:r w:rsidRPr="00495CBB">
        <w:rPr>
          <w:vertAlign w:val="superscript"/>
          <w:lang w:val="en-US"/>
        </w:rPr>
        <w:t>15</w:t>
      </w:r>
      <w:r w:rsidRPr="00495CBB">
        <w:rPr>
          <w:lang w:val="en-US"/>
        </w:rPr>
        <w:t>N</w:t>
      </w:r>
      <w:r w:rsidR="00394A47">
        <w:rPr>
          <w:lang w:val="en-US"/>
        </w:rPr>
        <w:t>,</w:t>
      </w:r>
      <w:r w:rsidRPr="00495CBB">
        <w:rPr>
          <w:lang w:val="en-US"/>
        </w:rPr>
        <w:t xml:space="preserve"> </w:t>
      </w:r>
      <w:r w:rsidR="00394A47" w:rsidRPr="00495CBB">
        <w:rPr>
          <w:lang w:val="en-US"/>
        </w:rPr>
        <w:t>Δ</w:t>
      </w:r>
      <w:r w:rsidR="00394A47" w:rsidRPr="00495CBB">
        <w:rPr>
          <w:vertAlign w:val="superscript"/>
          <w:lang w:val="en-US"/>
        </w:rPr>
        <w:t>13</w:t>
      </w:r>
      <w:r w:rsidR="00394A47" w:rsidRPr="00495CBB">
        <w:rPr>
          <w:lang w:val="en-US"/>
        </w:rPr>
        <w:t xml:space="preserve">C </w:t>
      </w:r>
      <w:r w:rsidR="00394A47">
        <w:rPr>
          <w:lang w:val="en-US"/>
        </w:rPr>
        <w:t xml:space="preserve">and </w:t>
      </w:r>
      <w:r w:rsidR="00394A47" w:rsidRPr="00495CBB">
        <w:rPr>
          <w:lang w:val="en-US"/>
        </w:rPr>
        <w:t>Δ</w:t>
      </w:r>
      <w:r w:rsidR="00394A47" w:rsidRPr="00495CBB">
        <w:rPr>
          <w:vertAlign w:val="superscript"/>
          <w:lang w:val="en-US"/>
        </w:rPr>
        <w:t>15</w:t>
      </w:r>
      <w:r w:rsidR="00394A47" w:rsidRPr="00495CBB">
        <w:rPr>
          <w:lang w:val="en-US"/>
        </w:rPr>
        <w:t xml:space="preserve">N </w:t>
      </w:r>
      <w:r w:rsidRPr="00495CBB">
        <w:rPr>
          <w:lang w:val="en-US"/>
        </w:rPr>
        <w:t>are indirectly driven by differences in N and C concentrations.</w:t>
      </w:r>
    </w:p>
    <w:p w14:paraId="2717328E" w14:textId="6F123889" w:rsidR="00BA7637" w:rsidRPr="00DD2C1A" w:rsidRDefault="00BA7637" w:rsidP="000B02B9">
      <w:pPr>
        <w:pStyle w:val="Newparagraph"/>
        <w:spacing w:after="3" w:line="473" w:lineRule="auto"/>
        <w:ind w:right="14"/>
        <w:jc w:val="both"/>
        <w:rPr>
          <w:lang w:val="en-US"/>
        </w:rPr>
      </w:pPr>
      <w:r>
        <w:rPr>
          <w:lang w:val="en-US"/>
        </w:rPr>
        <w:t>F</w:t>
      </w:r>
      <w:r w:rsidRPr="00DD2C1A">
        <w:rPr>
          <w:lang w:val="en-US"/>
        </w:rPr>
        <w:t>ractionation factors influenced by non-diet phenomena such as taxon, environment and tissue that are difficult to interpret (Caut et al. 2009)</w:t>
      </w:r>
      <w:r>
        <w:rPr>
          <w:lang w:val="en-US"/>
        </w:rPr>
        <w:t xml:space="preserve"> may be </w:t>
      </w:r>
      <w:r w:rsidR="00FE3557">
        <w:rPr>
          <w:lang w:val="en-US"/>
        </w:rPr>
        <w:t xml:space="preserve">due to </w:t>
      </w:r>
      <w:r w:rsidR="00D03B1D">
        <w:rPr>
          <w:lang w:val="en-US"/>
        </w:rPr>
        <w:t>confounded</w:t>
      </w:r>
      <w:r>
        <w:rPr>
          <w:lang w:val="en-US"/>
        </w:rPr>
        <w:t xml:space="preserve"> </w:t>
      </w:r>
      <w:r w:rsidR="00FE3557">
        <w:rPr>
          <w:lang w:val="en-US"/>
        </w:rPr>
        <w:t xml:space="preserve">effects related to </w:t>
      </w:r>
      <w:r>
        <w:rPr>
          <w:lang w:val="en-US"/>
        </w:rPr>
        <w:t xml:space="preserve"> differences in total element</w:t>
      </w:r>
      <w:r w:rsidRPr="00DD2C1A">
        <w:rPr>
          <w:lang w:val="en-US"/>
        </w:rPr>
        <w:t xml:space="preserve">. Unfortunately, mathematical principles </w:t>
      </w:r>
      <w:r>
        <w:rPr>
          <w:lang w:val="en-US"/>
        </w:rPr>
        <w:t xml:space="preserve">previously </w:t>
      </w:r>
      <w:r w:rsidRPr="00DD2C1A">
        <w:rPr>
          <w:lang w:val="en-US"/>
        </w:rPr>
        <w:t xml:space="preserve">described </w:t>
      </w:r>
      <w:r>
        <w:rPr>
          <w:lang w:val="en-US"/>
        </w:rPr>
        <w:t>(</w:t>
      </w:r>
      <w:r w:rsidR="00C43188">
        <w:rPr>
          <w:lang w:val="en-US"/>
        </w:rPr>
        <w:t>M</w:t>
      </w:r>
      <w:r w:rsidR="0074018C">
        <w:rPr>
          <w:lang w:val="en-US"/>
        </w:rPr>
        <w:t>oots</w:t>
      </w:r>
      <w:r w:rsidR="00C43188">
        <w:rPr>
          <w:lang w:val="en-US"/>
        </w:rPr>
        <w:t xml:space="preserve"> et al.</w:t>
      </w:r>
      <w:r>
        <w:rPr>
          <w:lang w:val="en-US"/>
        </w:rPr>
        <w:t xml:space="preserve"> 202</w:t>
      </w:r>
      <w:r w:rsidR="0074018C">
        <w:rPr>
          <w:lang w:val="en-US"/>
        </w:rPr>
        <w:t>4</w:t>
      </w:r>
      <w:r w:rsidR="00E73E69">
        <w:rPr>
          <w:lang w:val="en-US"/>
        </w:rPr>
        <w:t>a</w:t>
      </w:r>
      <w:r>
        <w:rPr>
          <w:lang w:val="en-US"/>
        </w:rPr>
        <w:t>)</w:t>
      </w:r>
      <w:r w:rsidRPr="00DD2C1A">
        <w:rPr>
          <w:lang w:val="en-US"/>
        </w:rPr>
        <w:t xml:space="preserve"> dictate that observed isotopic ratios will often not equal a source</w:t>
      </w:r>
      <w:r>
        <w:rPr>
          <w:lang w:val="en-US"/>
        </w:rPr>
        <w:t xml:space="preserve"> even with no fractionation</w:t>
      </w:r>
      <w:r w:rsidRPr="00DD2C1A">
        <w:rPr>
          <w:lang w:val="en-US"/>
        </w:rPr>
        <w:t xml:space="preserve">. </w:t>
      </w:r>
      <w:r w:rsidR="00D90B53">
        <w:rPr>
          <w:lang w:val="en-US"/>
        </w:rPr>
        <w:t>M</w:t>
      </w:r>
      <w:r w:rsidR="0074018C">
        <w:rPr>
          <w:lang w:val="en-US"/>
        </w:rPr>
        <w:t>oots</w:t>
      </w:r>
      <w:r w:rsidR="00D90B53">
        <w:rPr>
          <w:lang w:val="en-US"/>
        </w:rPr>
        <w:t xml:space="preserve"> et al. (202</w:t>
      </w:r>
      <w:r w:rsidR="0074018C">
        <w:rPr>
          <w:lang w:val="en-US"/>
        </w:rPr>
        <w:t>4</w:t>
      </w:r>
      <w:r w:rsidR="00D90B53">
        <w:rPr>
          <w:lang w:val="en-US"/>
        </w:rPr>
        <w:t xml:space="preserve">a) demonstrated that an artificial </w:t>
      </w:r>
      <w:r w:rsidR="001B4559" w:rsidRPr="001B4559">
        <w:rPr>
          <w:vertAlign w:val="superscript"/>
          <w:lang w:val="en-US"/>
        </w:rPr>
        <w:t>86</w:t>
      </w:r>
      <w:r w:rsidR="001B4559">
        <w:rPr>
          <w:lang w:val="en-US"/>
        </w:rPr>
        <w:t xml:space="preserve">Sr vs. </w:t>
      </w:r>
      <w:r w:rsidR="001B4559" w:rsidRPr="001B4559">
        <w:rPr>
          <w:vertAlign w:val="superscript"/>
          <w:lang w:val="en-US"/>
        </w:rPr>
        <w:t>87</w:t>
      </w:r>
      <w:r w:rsidR="001B4559">
        <w:rPr>
          <w:lang w:val="en-US"/>
        </w:rPr>
        <w:t>Sr</w:t>
      </w:r>
      <w:r w:rsidR="00D90B53">
        <w:rPr>
          <w:lang w:val="en-US"/>
        </w:rPr>
        <w:t xml:space="preserve"> vs. plot with a positive </w:t>
      </w:r>
      <w:r w:rsidR="00D90B53" w:rsidRPr="001B4559">
        <w:rPr>
          <w:i/>
          <w:iCs/>
          <w:lang w:val="en-US"/>
        </w:rPr>
        <w:t>y</w:t>
      </w:r>
      <w:r w:rsidR="00D90B53">
        <w:rPr>
          <w:lang w:val="en-US"/>
        </w:rPr>
        <w:t xml:space="preserve">-intercept </w:t>
      </w:r>
      <w:r w:rsidR="00D90B53">
        <w:t xml:space="preserve">mimics isotopic fractionation as total Sr is lost from a system. However, this increase in </w:t>
      </w:r>
      <w:r w:rsidR="00D90B53" w:rsidRPr="00753691">
        <w:rPr>
          <w:vertAlign w:val="superscript"/>
        </w:rPr>
        <w:t>87</w:t>
      </w:r>
      <w:r w:rsidR="00D90B53">
        <w:t>Sr:</w:t>
      </w:r>
      <w:r w:rsidR="00D90B53" w:rsidRPr="00753691">
        <w:rPr>
          <w:vertAlign w:val="superscript"/>
        </w:rPr>
        <w:t>86</w:t>
      </w:r>
      <w:r w:rsidR="00D90B53">
        <w:t xml:space="preserve">Sr enrichment is caused by a constant loss source that is independent of substrate levels (observed ratios) rather than constant discrimination (defined by a constant fractionation factor) that favours the light isotope. </w:t>
      </w:r>
      <w:r w:rsidRPr="00DD2C1A">
        <w:rPr>
          <w:lang w:val="en-US"/>
        </w:rPr>
        <w:t xml:space="preserve">These scaling effects should be evaluated before one speculates on the importance of fractionation factors. </w:t>
      </w:r>
    </w:p>
    <w:p w14:paraId="3FFB39BE" w14:textId="77777777" w:rsidR="00BA7637" w:rsidRPr="007E4695" w:rsidRDefault="00BA7637" w:rsidP="000B02B9">
      <w:pPr>
        <w:pStyle w:val="Heading1"/>
        <w:spacing w:after="3" w:line="473" w:lineRule="auto"/>
        <w:ind w:left="0" w:right="14"/>
        <w:jc w:val="both"/>
        <w:rPr>
          <w:rFonts w:ascii="Times New Roman" w:hAnsi="Times New Roman" w:cs="Times New Roman"/>
          <w:sz w:val="24"/>
          <w:szCs w:val="24"/>
        </w:rPr>
      </w:pPr>
      <w:r w:rsidRPr="007E4695">
        <w:rPr>
          <w:rFonts w:ascii="Times New Roman" w:hAnsi="Times New Roman" w:cs="Times New Roman"/>
          <w:sz w:val="24"/>
          <w:szCs w:val="24"/>
        </w:rPr>
        <w:t>4.2 Study 2) Different N Levels Confound Interpretation of a Tracer Study</w:t>
      </w:r>
    </w:p>
    <w:p w14:paraId="23E304CB" w14:textId="77777777" w:rsidR="00BA7637" w:rsidRPr="00DD2C1A" w:rsidRDefault="00BA7637" w:rsidP="000B02B9">
      <w:pPr>
        <w:pStyle w:val="Paragraph"/>
        <w:spacing w:before="0" w:after="3" w:line="473" w:lineRule="auto"/>
        <w:ind w:right="14"/>
        <w:jc w:val="both"/>
        <w:rPr>
          <w:lang w:val="en-US"/>
        </w:rPr>
      </w:pPr>
      <w:r w:rsidRPr="00DD2C1A">
        <w:rPr>
          <w:lang w:val="en-US"/>
        </w:rPr>
        <w:t xml:space="preserve">Knowledge of fertilizer nitrogen (N) uptake and fertilizer N uptake efficiency in container-grown nursery crops is necessary for the development of fertilizer schedules that match timing, amount, </w:t>
      </w:r>
      <w:r w:rsidRPr="00DD2C1A">
        <w:rPr>
          <w:lang w:val="en-US"/>
        </w:rPr>
        <w:lastRenderedPageBreak/>
        <w:t>and frequency of N applications to plant N requirements. Sandrock et al. (2005) made isotopic and nonisotopic estimates of nitrogen uptake efficiency in container-grown woody ornamentals</w:t>
      </w:r>
      <w:r>
        <w:rPr>
          <w:lang w:val="en-US"/>
        </w:rPr>
        <w:t>.</w:t>
      </w:r>
      <w:r w:rsidRPr="00DD2C1A">
        <w:rPr>
          <w:lang w:val="en-US"/>
        </w:rPr>
        <w:t xml:space="preserve"> Species evaluated were </w:t>
      </w:r>
      <w:r w:rsidRPr="00DD2C1A">
        <w:rPr>
          <w:i/>
          <w:iCs/>
          <w:lang w:val="en-US" w:eastAsia="ja-JP"/>
        </w:rPr>
        <w:t xml:space="preserve">Cornus sericea, </w:t>
      </w:r>
      <w:r w:rsidRPr="00DD2C1A">
        <w:rPr>
          <w:lang w:val="en-US" w:eastAsia="ja-JP"/>
        </w:rPr>
        <w:t>an upright dogwood,</w:t>
      </w:r>
      <w:r w:rsidRPr="00DD2C1A">
        <w:rPr>
          <w:i/>
          <w:iCs/>
          <w:lang w:val="en-US" w:eastAsia="ja-JP"/>
        </w:rPr>
        <w:t xml:space="preserve"> Weigela florida, </w:t>
      </w:r>
      <w:r w:rsidRPr="00DD2C1A">
        <w:rPr>
          <w:lang w:val="en-US" w:eastAsia="ja-JP"/>
        </w:rPr>
        <w:t>a honeysuckle</w:t>
      </w:r>
      <w:r w:rsidRPr="00DD2C1A">
        <w:rPr>
          <w:i/>
          <w:iCs/>
          <w:lang w:val="en-US" w:eastAsia="ja-JP"/>
        </w:rPr>
        <w:t xml:space="preserve"> and Euonymus alatus, </w:t>
      </w:r>
      <w:r w:rsidRPr="00DD2C1A">
        <w:rPr>
          <w:lang w:val="en-US" w:eastAsia="ja-JP"/>
        </w:rPr>
        <w:t>a burning bush.</w:t>
      </w:r>
    </w:p>
    <w:p w14:paraId="257FECE1" w14:textId="7B32F02F" w:rsidR="00BA7637" w:rsidRPr="008317EA" w:rsidRDefault="00BA7637" w:rsidP="007E4695">
      <w:pPr>
        <w:pStyle w:val="Newparagraph"/>
        <w:spacing w:after="3" w:line="473" w:lineRule="auto"/>
        <w:ind w:right="14"/>
        <w:jc w:val="both"/>
        <w:rPr>
          <w:lang w:val="en-US"/>
        </w:rPr>
      </w:pPr>
      <w:r w:rsidRPr="00DD2C1A">
        <w:rPr>
          <w:lang w:val="en-US" w:eastAsia="ja-JP"/>
        </w:rPr>
        <w:t xml:space="preserve">Linear best-fit relationships between </w:t>
      </w:r>
      <w:r w:rsidRPr="00DD2C1A">
        <w:rPr>
          <w:vertAlign w:val="superscript"/>
          <w:lang w:val="en-US"/>
        </w:rPr>
        <w:t>14</w:t>
      </w:r>
      <w:r w:rsidRPr="00DD2C1A">
        <w:rPr>
          <w:lang w:val="en-US"/>
        </w:rPr>
        <w:t>N and</w:t>
      </w:r>
      <w:r w:rsidRPr="00DD2C1A">
        <w:rPr>
          <w:lang w:val="en-US" w:eastAsia="ja-JP"/>
        </w:rPr>
        <w:t xml:space="preserve"> </w:t>
      </w:r>
      <w:r w:rsidRPr="00DD2C1A">
        <w:rPr>
          <w:vertAlign w:val="superscript"/>
          <w:lang w:val="en-US"/>
        </w:rPr>
        <w:t>15</w:t>
      </w:r>
      <w:r w:rsidRPr="00DD2C1A">
        <w:rPr>
          <w:lang w:val="en-US"/>
        </w:rPr>
        <w:t>N</w:t>
      </w:r>
      <w:r w:rsidRPr="00DD2C1A">
        <w:rPr>
          <w:lang w:val="en-US" w:eastAsia="ja-JP"/>
        </w:rPr>
        <w:t xml:space="preserve"> for shoots of</w:t>
      </w:r>
      <w:r w:rsidR="00753674">
        <w:rPr>
          <w:lang w:val="en-US" w:eastAsia="ja-JP"/>
        </w:rPr>
        <w:t xml:space="preserve"> the</w:t>
      </w:r>
      <w:r w:rsidRPr="00DD2C1A">
        <w:rPr>
          <w:lang w:val="en-US" w:eastAsia="ja-JP"/>
        </w:rPr>
        <w:t xml:space="preserve"> three combined ornamental species grown outside in plastic pots for 345 days at five different fertilizer rates (25, 50, 100, 200, 300 ppm) are presented in Figure </w:t>
      </w:r>
      <w:r w:rsidR="000E4A64">
        <w:rPr>
          <w:lang w:val="en-US" w:eastAsia="ja-JP"/>
        </w:rPr>
        <w:t>S</w:t>
      </w:r>
      <w:r>
        <w:rPr>
          <w:lang w:val="en-US" w:eastAsia="ja-JP"/>
        </w:rPr>
        <w:t>2</w:t>
      </w:r>
      <w:r w:rsidRPr="00DD2C1A">
        <w:rPr>
          <w:lang w:val="en-US" w:eastAsia="ja-JP"/>
        </w:rPr>
        <w:t xml:space="preserve">a. The high slope value for the lowest rate approaches the assumed </w:t>
      </w:r>
      <w:r w:rsidRPr="00DD2C1A">
        <w:rPr>
          <w:vertAlign w:val="superscript"/>
          <w:lang w:val="en-US" w:eastAsia="ja-JP"/>
        </w:rPr>
        <w:t>15</w:t>
      </w:r>
      <w:r w:rsidRPr="00DD2C1A">
        <w:rPr>
          <w:lang w:val="en-US" w:eastAsia="ja-JP"/>
        </w:rPr>
        <w:t>N:</w:t>
      </w:r>
      <w:r w:rsidRPr="00DD2C1A">
        <w:rPr>
          <w:vertAlign w:val="superscript"/>
          <w:lang w:val="en-US" w:eastAsia="ja-JP"/>
        </w:rPr>
        <w:t>14</w:t>
      </w:r>
      <w:r w:rsidRPr="00DD2C1A">
        <w:rPr>
          <w:lang w:val="en-US" w:eastAsia="ja-JP"/>
        </w:rPr>
        <w:t>N background ratio (0.0036</w:t>
      </w:r>
      <w:r>
        <w:rPr>
          <w:lang w:val="en-US" w:eastAsia="ja-JP"/>
        </w:rPr>
        <w:t>7</w:t>
      </w:r>
      <w:r w:rsidRPr="00DD2C1A">
        <w:rPr>
          <w:lang w:val="en-US" w:eastAsia="ja-JP"/>
        </w:rPr>
        <w:t xml:space="preserve">6 for the atmosphere). The low slope value for the highest rate approaches the </w:t>
      </w:r>
      <w:r w:rsidRPr="00DD2C1A">
        <w:rPr>
          <w:vertAlign w:val="superscript"/>
          <w:lang w:val="en-US" w:eastAsia="ja-JP"/>
        </w:rPr>
        <w:t>15</w:t>
      </w:r>
      <w:r w:rsidRPr="00DD2C1A">
        <w:rPr>
          <w:lang w:val="en-US" w:eastAsia="ja-JP"/>
        </w:rPr>
        <w:t>N:</w:t>
      </w:r>
      <w:r w:rsidRPr="00DD2C1A">
        <w:rPr>
          <w:vertAlign w:val="superscript"/>
          <w:lang w:val="en-US" w:eastAsia="ja-JP"/>
        </w:rPr>
        <w:t>14</w:t>
      </w:r>
      <w:r w:rsidRPr="00DD2C1A">
        <w:rPr>
          <w:lang w:val="en-US" w:eastAsia="ja-JP"/>
        </w:rPr>
        <w:t xml:space="preserve">N fertilizer source ratio (0.000500250). Different slopes for different fertilizer rates suggest a blending of sources (fertilizer N and media N) that is altered with increasing fertilizer addition. </w:t>
      </w:r>
      <w:r>
        <w:rPr>
          <w:lang w:val="en-US" w:eastAsia="ja-JP"/>
        </w:rPr>
        <w:t xml:space="preserve">This is similar to possible blended Sr sources (basalt and seawater) for </w:t>
      </w:r>
      <w:r w:rsidR="00394A47">
        <w:rPr>
          <w:lang w:val="en-US" w:eastAsia="ja-JP"/>
        </w:rPr>
        <w:t xml:space="preserve">a </w:t>
      </w:r>
      <w:r>
        <w:rPr>
          <w:lang w:val="en-US" w:eastAsia="ja-JP"/>
        </w:rPr>
        <w:t>Hawaiian soil (</w:t>
      </w:r>
      <w:r w:rsidR="000E64D0">
        <w:rPr>
          <w:lang w:val="en-US" w:eastAsia="ja-JP"/>
        </w:rPr>
        <w:t xml:space="preserve">Moots et al. 2024b </w:t>
      </w:r>
      <w:r>
        <w:rPr>
          <w:lang w:val="en-US" w:eastAsia="ja-JP"/>
        </w:rPr>
        <w:t>Supplemental Material</w:t>
      </w:r>
      <w:r w:rsidR="00394A47">
        <w:rPr>
          <w:lang w:val="en-US" w:eastAsia="ja-JP"/>
        </w:rPr>
        <w:t xml:space="preserve"> </w:t>
      </w:r>
      <w:r w:rsidR="00FE45E7">
        <w:rPr>
          <w:lang w:val="en-US" w:eastAsia="ja-JP"/>
        </w:rPr>
        <w:t>1</w:t>
      </w:r>
      <w:r w:rsidR="00FC1B3A">
        <w:rPr>
          <w:lang w:val="en-US" w:eastAsia="ja-JP"/>
        </w:rPr>
        <w:t>)</w:t>
      </w:r>
      <w:r>
        <w:rPr>
          <w:lang w:val="en-US" w:eastAsia="ja-JP"/>
        </w:rPr>
        <w:t xml:space="preserve">. </w:t>
      </w:r>
      <w:r w:rsidRPr="00DD2C1A">
        <w:rPr>
          <w:lang w:val="en-US" w:eastAsia="ja-JP"/>
        </w:rPr>
        <w:t>For the lowest</w:t>
      </w:r>
      <w:r>
        <w:rPr>
          <w:lang w:val="en-US" w:eastAsia="ja-JP"/>
        </w:rPr>
        <w:t xml:space="preserve"> N fertilizer</w:t>
      </w:r>
      <w:r w:rsidRPr="00DD2C1A">
        <w:rPr>
          <w:lang w:val="en-US" w:eastAsia="ja-JP"/>
        </w:rPr>
        <w:t xml:space="preserve"> rates</w:t>
      </w:r>
      <w:r>
        <w:rPr>
          <w:lang w:val="en-US" w:eastAsia="ja-JP"/>
        </w:rPr>
        <w:t xml:space="preserve"> presented</w:t>
      </w:r>
      <w:r w:rsidRPr="00DD2C1A">
        <w:rPr>
          <w:lang w:val="en-US" w:eastAsia="ja-JP"/>
        </w:rPr>
        <w:t>, a mix of the two sources with more N derived from the media explains results. For higher rates a mix of the two sources with more N derived from the fertilizer is suggested. Portion of N derived from the fertilizer (NDFF) can be calculated from both standard formulas and slopes NDFF = (background slope – treatment slope) / (background slope –source slope). The portion NDFF for formula estimates are 24.</w:t>
      </w:r>
      <w:r>
        <w:rPr>
          <w:lang w:val="en-US" w:eastAsia="ja-JP"/>
        </w:rPr>
        <w:t>3</w:t>
      </w:r>
      <w:r w:rsidRPr="00DD2C1A">
        <w:rPr>
          <w:lang w:val="en-US" w:eastAsia="ja-JP"/>
        </w:rPr>
        <w:t>%, 45.</w:t>
      </w:r>
      <w:r>
        <w:rPr>
          <w:lang w:val="en-US" w:eastAsia="ja-JP"/>
        </w:rPr>
        <w:t>4</w:t>
      </w:r>
      <w:r w:rsidRPr="00DD2C1A">
        <w:rPr>
          <w:lang w:val="en-US" w:eastAsia="ja-JP"/>
        </w:rPr>
        <w:t>%, 71.</w:t>
      </w:r>
      <w:r>
        <w:rPr>
          <w:lang w:val="en-US" w:eastAsia="ja-JP"/>
        </w:rPr>
        <w:t>6</w:t>
      </w:r>
      <w:r w:rsidRPr="00DD2C1A">
        <w:rPr>
          <w:lang w:val="en-US" w:eastAsia="ja-JP"/>
        </w:rPr>
        <w:t xml:space="preserve">%, 84.6%, 90.4% for 25, 50, 100, 200, and 300 </w:t>
      </w:r>
      <w:r w:rsidRPr="00DD2C1A">
        <w:rPr>
          <w:rFonts w:asciiTheme="majorBidi" w:hAnsiTheme="majorBidi" w:cstheme="majorBidi"/>
          <w:lang w:val="en-US" w:eastAsia="ja-JP"/>
        </w:rPr>
        <w:t xml:space="preserve">ppm rates, respectively. The portion NDFF for slope estimates are 11.7%, </w:t>
      </w:r>
      <w:r>
        <w:rPr>
          <w:rFonts w:asciiTheme="majorBidi" w:hAnsiTheme="majorBidi" w:cstheme="majorBidi"/>
          <w:lang w:val="en-US" w:eastAsia="ja-JP"/>
        </w:rPr>
        <w:t>31.4</w:t>
      </w:r>
      <w:r w:rsidRPr="00DD2C1A">
        <w:rPr>
          <w:rFonts w:asciiTheme="majorBidi" w:hAnsiTheme="majorBidi" w:cstheme="majorBidi"/>
          <w:lang w:val="en-US" w:eastAsia="ja-JP"/>
        </w:rPr>
        <w:t xml:space="preserve">%, 64.6%, 83.6%, and 89.6% for 25, 50, 100, 200, and 300 ppm rates, respectively. Formulas produce significantly higher NDFF values than slopes for the </w:t>
      </w:r>
      <w:r>
        <w:rPr>
          <w:rFonts w:asciiTheme="majorBidi" w:hAnsiTheme="majorBidi" w:cstheme="majorBidi"/>
          <w:lang w:val="en-US" w:eastAsia="ja-JP"/>
        </w:rPr>
        <w:t xml:space="preserve">combined species average for the </w:t>
      </w:r>
      <w:r w:rsidRPr="00DD2C1A">
        <w:rPr>
          <w:rFonts w:asciiTheme="majorBidi" w:hAnsiTheme="majorBidi" w:cstheme="majorBidi"/>
          <w:lang w:val="en-US" w:eastAsia="ja-JP"/>
        </w:rPr>
        <w:t xml:space="preserve">three lowest application rates. The negative </w:t>
      </w:r>
      <w:r w:rsidRPr="00DD2C1A">
        <w:rPr>
          <w:rFonts w:asciiTheme="majorBidi" w:hAnsiTheme="majorBidi" w:cstheme="majorBidi"/>
          <w:i/>
          <w:iCs/>
          <w:lang w:val="en-US" w:eastAsia="ja-JP"/>
        </w:rPr>
        <w:t>y</w:t>
      </w:r>
      <w:r w:rsidRPr="00DD2C1A">
        <w:rPr>
          <w:rFonts w:asciiTheme="majorBidi" w:hAnsiTheme="majorBidi" w:cstheme="majorBidi"/>
          <w:lang w:val="en-US" w:eastAsia="ja-JP"/>
        </w:rPr>
        <w:t>-intercepts are statistically significant (</w:t>
      </w:r>
      <w:r w:rsidRPr="00DD2C1A">
        <w:rPr>
          <w:rFonts w:asciiTheme="majorBidi" w:hAnsiTheme="majorBidi" w:cstheme="majorBidi"/>
          <w:i/>
          <w:iCs/>
          <w:lang w:val="en-US" w:eastAsia="ja-JP"/>
        </w:rPr>
        <w:t xml:space="preserve">p </w:t>
      </w:r>
      <w:r w:rsidRPr="00DD2C1A">
        <w:rPr>
          <w:rFonts w:asciiTheme="majorBidi" w:hAnsiTheme="majorBidi" w:cstheme="majorBidi"/>
          <w:lang w:val="en-US" w:eastAsia="ja-JP"/>
        </w:rPr>
        <w:t>&lt; 0.05) for the three lowest, but not the two highest, rates.</w:t>
      </w:r>
      <w:r w:rsidRPr="00DD2C1A">
        <w:rPr>
          <w:rFonts w:asciiTheme="majorBidi" w:hAnsiTheme="majorBidi" w:cstheme="majorBidi"/>
          <w:lang w:val="en-US"/>
        </w:rPr>
        <w:t xml:space="preserve"> </w:t>
      </w:r>
    </w:p>
    <w:p w14:paraId="37AF329B" w14:textId="77777777" w:rsidR="00BA7637" w:rsidRPr="00362708" w:rsidRDefault="00BA7637" w:rsidP="000B02B9">
      <w:pPr>
        <w:ind w:left="0" w:right="14"/>
        <w:rPr>
          <w:rFonts w:asciiTheme="majorBidi" w:hAnsiTheme="majorBidi" w:cstheme="majorBidi"/>
          <w:lang w:eastAsia="ja-JP"/>
        </w:rPr>
      </w:pPr>
      <w:r w:rsidRPr="008317EA">
        <w:rPr>
          <w:noProof/>
        </w:rPr>
        <w:lastRenderedPageBreak/>
        <w:drawing>
          <wp:inline distT="0" distB="0" distL="0" distR="0" wp14:anchorId="6BF41871" wp14:editId="0E5A96D9">
            <wp:extent cx="4647619" cy="2638095"/>
            <wp:effectExtent l="0" t="0" r="635" b="0"/>
            <wp:docPr id="632260697" name="Picture 1" descr="A picture containing text, screenshot, line,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260697" name="Picture 1" descr="A picture containing text, screenshot, line, number&#10;&#10;Description automatically generated"/>
                    <pic:cNvPicPr/>
                  </pic:nvPicPr>
                  <pic:blipFill>
                    <a:blip r:embed="rId13"/>
                    <a:stretch>
                      <a:fillRect/>
                    </a:stretch>
                  </pic:blipFill>
                  <pic:spPr>
                    <a:xfrm>
                      <a:off x="0" y="0"/>
                      <a:ext cx="4647619" cy="2638095"/>
                    </a:xfrm>
                    <a:prstGeom prst="rect">
                      <a:avLst/>
                    </a:prstGeom>
                  </pic:spPr>
                </pic:pic>
              </a:graphicData>
            </a:graphic>
          </wp:inline>
        </w:drawing>
      </w:r>
    </w:p>
    <w:p w14:paraId="2D25D171" w14:textId="13A5F7E8" w:rsidR="00BA7637" w:rsidRDefault="00BA7637" w:rsidP="001763D8">
      <w:pPr>
        <w:pStyle w:val="Tabletitle"/>
        <w:spacing w:before="0" w:after="3" w:line="473" w:lineRule="auto"/>
        <w:ind w:right="14"/>
        <w:jc w:val="both"/>
        <w:rPr>
          <w:lang w:val="en-US"/>
        </w:rPr>
      </w:pPr>
      <w:r w:rsidRPr="00DD2C1A">
        <w:rPr>
          <w:lang w:val="en-US" w:eastAsia="ja-JP"/>
        </w:rPr>
        <w:t xml:space="preserve">Figure </w:t>
      </w:r>
      <w:r w:rsidR="000E4A64">
        <w:rPr>
          <w:lang w:val="en-US" w:eastAsia="ja-JP"/>
        </w:rPr>
        <w:t>S2</w:t>
      </w:r>
      <w:r w:rsidRPr="00DD2C1A">
        <w:rPr>
          <w:lang w:val="en-US" w:eastAsia="ja-JP"/>
        </w:rPr>
        <w:t xml:space="preserve">a. </w:t>
      </w:r>
      <w:r w:rsidR="00623066">
        <w:rPr>
          <w:lang w:val="en-US" w:eastAsia="ja-JP"/>
        </w:rPr>
        <w:t>L</w:t>
      </w:r>
      <w:r w:rsidR="00394A47">
        <w:rPr>
          <w:lang w:val="en-US" w:eastAsia="ja-JP"/>
        </w:rPr>
        <w:t xml:space="preserve">inear </w:t>
      </w:r>
      <w:r w:rsidRPr="00DD2C1A">
        <w:rPr>
          <w:lang w:val="en-US" w:eastAsia="ja-JP"/>
        </w:rPr>
        <w:t xml:space="preserve">relationships between </w:t>
      </w:r>
      <w:r w:rsidRPr="00DD2C1A">
        <w:rPr>
          <w:color w:val="000000" w:themeColor="text1"/>
          <w:vertAlign w:val="superscript"/>
          <w:lang w:val="en-US"/>
        </w:rPr>
        <w:t>14</w:t>
      </w:r>
      <w:r w:rsidRPr="00DD2C1A">
        <w:rPr>
          <w:color w:val="000000" w:themeColor="text1"/>
          <w:lang w:val="en-US"/>
        </w:rPr>
        <w:t>N and</w:t>
      </w:r>
      <w:r w:rsidRPr="00DD2C1A">
        <w:rPr>
          <w:lang w:val="en-US" w:eastAsia="ja-JP"/>
        </w:rPr>
        <w:t xml:space="preserve"> </w:t>
      </w:r>
      <w:r w:rsidRPr="00DD2C1A">
        <w:rPr>
          <w:color w:val="000000" w:themeColor="text1"/>
          <w:vertAlign w:val="superscript"/>
          <w:lang w:val="en-US"/>
        </w:rPr>
        <w:t>15</w:t>
      </w:r>
      <w:r w:rsidRPr="00DD2C1A">
        <w:rPr>
          <w:color w:val="000000" w:themeColor="text1"/>
          <w:lang w:val="en-US"/>
        </w:rPr>
        <w:t>N</w:t>
      </w:r>
      <w:r w:rsidRPr="00DD2C1A">
        <w:rPr>
          <w:lang w:val="en-US" w:eastAsia="ja-JP"/>
        </w:rPr>
        <w:t xml:space="preserve"> for shoots of three ornamental species (</w:t>
      </w:r>
      <w:r w:rsidRPr="00DD2C1A">
        <w:rPr>
          <w:i/>
          <w:iCs/>
          <w:lang w:val="en-US" w:eastAsia="ja-JP"/>
        </w:rPr>
        <w:t>Cornus sericea</w:t>
      </w:r>
      <w:r w:rsidRPr="00DD2C1A">
        <w:rPr>
          <w:lang w:val="en-US" w:eastAsia="ja-JP"/>
        </w:rPr>
        <w:t xml:space="preserve">, </w:t>
      </w:r>
      <w:r w:rsidRPr="00DD2C1A">
        <w:rPr>
          <w:i/>
          <w:iCs/>
          <w:lang w:val="en-US" w:eastAsia="ja-JP"/>
        </w:rPr>
        <w:t>Weigela florida</w:t>
      </w:r>
      <w:r w:rsidRPr="00DD2C1A">
        <w:rPr>
          <w:lang w:val="en-US" w:eastAsia="ja-JP"/>
        </w:rPr>
        <w:t xml:space="preserve">, </w:t>
      </w:r>
      <w:r w:rsidRPr="00DD2C1A">
        <w:rPr>
          <w:i/>
          <w:iCs/>
          <w:lang w:val="en-US" w:eastAsia="ja-JP"/>
        </w:rPr>
        <w:t>Euonymus alatus</w:t>
      </w:r>
      <w:r w:rsidRPr="00DD2C1A">
        <w:rPr>
          <w:lang w:val="en-US" w:eastAsia="ja-JP"/>
        </w:rPr>
        <w:t>) grown outside in plastic pots for 345 days. Six replicate plants for each species were exposed to double labeled (both NH</w:t>
      </w:r>
      <w:r w:rsidRPr="00DD2C1A">
        <w:rPr>
          <w:vertAlign w:val="subscript"/>
          <w:lang w:val="en-US" w:eastAsia="ja-JP"/>
        </w:rPr>
        <w:t>4</w:t>
      </w:r>
      <w:r w:rsidRPr="00DD2C1A">
        <w:rPr>
          <w:lang w:val="en-US" w:eastAsia="ja-JP"/>
        </w:rPr>
        <w:t>-N and NO</w:t>
      </w:r>
      <w:r w:rsidRPr="00DD2C1A">
        <w:rPr>
          <w:vertAlign w:val="subscript"/>
          <w:lang w:val="en-US" w:eastAsia="ja-JP"/>
        </w:rPr>
        <w:t>3</w:t>
      </w:r>
      <w:r w:rsidRPr="00DD2C1A">
        <w:rPr>
          <w:lang w:val="en-US" w:eastAsia="ja-JP"/>
        </w:rPr>
        <w:t>-N) 0.05 atom % depleted ammonium nitrate at five different addition rates (25, 50, 100, 200 and 300 ppm). Data for all species are combined for each rate (18 points). The r</w:t>
      </w:r>
      <w:r w:rsidRPr="00DD2C1A">
        <w:rPr>
          <w:vertAlign w:val="superscript"/>
          <w:lang w:val="en-US" w:eastAsia="ja-JP"/>
        </w:rPr>
        <w:t>2</w:t>
      </w:r>
      <w:r w:rsidRPr="00DD2C1A">
        <w:rPr>
          <w:lang w:val="en-US" w:eastAsia="ja-JP"/>
        </w:rPr>
        <w:t xml:space="preserve"> values are much lower than the natural abundance data previously shown. The background (</w:t>
      </w:r>
      <w:r>
        <w:rPr>
          <w:lang w:val="en-US" w:eastAsia="ja-JP"/>
        </w:rPr>
        <w:t xml:space="preserve">far left, </w:t>
      </w:r>
      <w:r w:rsidRPr="00DD2C1A">
        <w:rPr>
          <w:lang w:val="en-US" w:eastAsia="ja-JP"/>
        </w:rPr>
        <w:t>assumed natural abundance, 0.0036</w:t>
      </w:r>
      <w:r>
        <w:rPr>
          <w:lang w:val="en-US" w:eastAsia="ja-JP"/>
        </w:rPr>
        <w:t>7</w:t>
      </w:r>
      <w:r w:rsidRPr="00DD2C1A">
        <w:rPr>
          <w:lang w:val="en-US" w:eastAsia="ja-JP"/>
        </w:rPr>
        <w:t>6) and source (</w:t>
      </w:r>
      <w:r>
        <w:rPr>
          <w:lang w:val="en-US" w:eastAsia="ja-JP"/>
        </w:rPr>
        <w:t xml:space="preserve">far right, </w:t>
      </w:r>
      <w:r w:rsidRPr="00DD2C1A">
        <w:rPr>
          <w:lang w:val="en-US" w:eastAsia="ja-JP"/>
        </w:rPr>
        <w:t xml:space="preserve">converted from atom% to ratio, 0.000500250) equation lines are also presented. </w:t>
      </w:r>
      <w:r>
        <w:rPr>
          <w:lang w:val="en-US" w:eastAsia="ja-JP"/>
        </w:rPr>
        <w:t xml:space="preserve">The negative </w:t>
      </w:r>
      <w:r w:rsidRPr="002C2367">
        <w:rPr>
          <w:i/>
          <w:iCs/>
          <w:lang w:val="en-US" w:eastAsia="ja-JP"/>
        </w:rPr>
        <w:t>y</w:t>
      </w:r>
      <w:r>
        <w:rPr>
          <w:lang w:val="en-US" w:eastAsia="ja-JP"/>
        </w:rPr>
        <w:t>-intercepts are statistically significant (</w:t>
      </w:r>
      <w:r w:rsidRPr="002C2367">
        <w:rPr>
          <w:i/>
          <w:iCs/>
          <w:lang w:val="en-US" w:eastAsia="ja-JP"/>
        </w:rPr>
        <w:t>p</w:t>
      </w:r>
      <w:r>
        <w:rPr>
          <w:lang w:val="en-US" w:eastAsia="ja-JP"/>
        </w:rPr>
        <w:t xml:space="preserve"> &lt; 0.05) for the three lowest, but not the two highest rates. </w:t>
      </w:r>
      <w:r w:rsidRPr="00DD2C1A">
        <w:rPr>
          <w:lang w:val="en-US" w:eastAsia="ja-JP"/>
        </w:rPr>
        <w:t xml:space="preserve">Data after </w:t>
      </w:r>
      <w:r w:rsidRPr="00DD2C1A">
        <w:rPr>
          <w:lang w:val="en-US"/>
        </w:rPr>
        <w:t>Sandrock et al. (2005).</w:t>
      </w:r>
    </w:p>
    <w:p w14:paraId="7D5C0741" w14:textId="4E8F4E0F" w:rsidR="00394A47" w:rsidRPr="00394A47" w:rsidRDefault="00394A47" w:rsidP="001763D8">
      <w:pPr>
        <w:ind w:right="14"/>
        <w:rPr>
          <w:lang w:eastAsia="en-GB"/>
        </w:rPr>
      </w:pPr>
      <w:r>
        <w:rPr>
          <w:lang w:eastAsia="en-GB"/>
        </w:rPr>
        <w:t>-</w:t>
      </w:r>
    </w:p>
    <w:p w14:paraId="1EE0967F" w14:textId="5B3EB83D" w:rsidR="00BA7637" w:rsidRPr="00C11C76" w:rsidRDefault="00BA7637" w:rsidP="001763D8">
      <w:pPr>
        <w:pStyle w:val="Newparagraph"/>
        <w:spacing w:after="3" w:line="473" w:lineRule="auto"/>
        <w:ind w:right="14"/>
        <w:jc w:val="both"/>
      </w:pPr>
      <w:r w:rsidRPr="00DD2C1A">
        <w:rPr>
          <w:lang w:val="en-US"/>
        </w:rPr>
        <w:t xml:space="preserve">A scaling effect causes an underestimate of </w:t>
      </w:r>
      <w:r w:rsidRPr="00DD2C1A">
        <w:rPr>
          <w:vertAlign w:val="superscript"/>
          <w:lang w:val="en-US"/>
        </w:rPr>
        <w:t>15</w:t>
      </w:r>
      <w:r w:rsidRPr="00DD2C1A">
        <w:rPr>
          <w:lang w:val="en-US"/>
        </w:rPr>
        <w:t>N:</w:t>
      </w:r>
      <w:r w:rsidRPr="00DD2C1A">
        <w:rPr>
          <w:vertAlign w:val="superscript"/>
          <w:lang w:val="en-US"/>
        </w:rPr>
        <w:t>14</w:t>
      </w:r>
      <w:r w:rsidRPr="00DD2C1A">
        <w:rPr>
          <w:lang w:val="en-US"/>
        </w:rPr>
        <w:t xml:space="preserve">N ratios and an overestimate of NDFF for the lowest three rates. </w:t>
      </w:r>
      <w:r w:rsidRPr="00C11C76">
        <w:rPr>
          <w:lang w:eastAsia="ja-JP"/>
        </w:rPr>
        <w:t xml:space="preserve">The smaller </w:t>
      </w:r>
      <w:r w:rsidRPr="00C11C76">
        <w:rPr>
          <w:i/>
          <w:iCs/>
          <w:lang w:eastAsia="ja-JP"/>
        </w:rPr>
        <w:t>y</w:t>
      </w:r>
      <w:r w:rsidRPr="00C11C76">
        <w:rPr>
          <w:lang w:eastAsia="ja-JP"/>
        </w:rPr>
        <w:t xml:space="preserve">-intercepts for the 200 and 300 ppm fertilizer rate functions (Figure </w:t>
      </w:r>
      <w:r w:rsidR="000E4A64">
        <w:rPr>
          <w:lang w:eastAsia="ja-JP"/>
        </w:rPr>
        <w:t>S</w:t>
      </w:r>
      <w:r>
        <w:rPr>
          <w:lang w:eastAsia="ja-JP"/>
        </w:rPr>
        <w:t>2</w:t>
      </w:r>
      <w:r w:rsidRPr="00C11C76">
        <w:rPr>
          <w:lang w:eastAsia="ja-JP"/>
        </w:rPr>
        <w:t>a) cause only a slight overestimate of the formula calculated NDFF compared to the slope derived NDFF (</w:t>
      </w:r>
      <w:r>
        <w:rPr>
          <w:lang w:eastAsia="ja-JP"/>
        </w:rPr>
        <w:t>84.6</w:t>
      </w:r>
      <w:r w:rsidRPr="00C11C76">
        <w:rPr>
          <w:lang w:eastAsia="ja-JP"/>
        </w:rPr>
        <w:t xml:space="preserve"> vs. </w:t>
      </w:r>
      <w:r>
        <w:rPr>
          <w:lang w:eastAsia="ja-JP"/>
        </w:rPr>
        <w:t>83.6 = 1.15%</w:t>
      </w:r>
      <w:r w:rsidRPr="00C11C76">
        <w:rPr>
          <w:lang w:eastAsia="ja-JP"/>
        </w:rPr>
        <w:t xml:space="preserve"> and </w:t>
      </w:r>
      <w:r>
        <w:rPr>
          <w:lang w:eastAsia="ja-JP"/>
        </w:rPr>
        <w:t xml:space="preserve">90.4 </w:t>
      </w:r>
      <w:r w:rsidRPr="00C11C76">
        <w:rPr>
          <w:lang w:eastAsia="ja-JP"/>
        </w:rPr>
        <w:t xml:space="preserve">vs. </w:t>
      </w:r>
      <w:r>
        <w:rPr>
          <w:lang w:eastAsia="ja-JP"/>
        </w:rPr>
        <w:t>89.6 = 0.892%</w:t>
      </w:r>
      <w:r w:rsidRPr="00C11C76">
        <w:rPr>
          <w:lang w:eastAsia="ja-JP"/>
        </w:rPr>
        <w:t>, respectively) for 200 and 300 ppm rates</w:t>
      </w:r>
      <w:r>
        <w:rPr>
          <w:lang w:eastAsia="ja-JP"/>
        </w:rPr>
        <w:t xml:space="preserve"> compared to 108, 46 and 11% respective </w:t>
      </w:r>
      <w:r w:rsidR="00B83CE8">
        <w:rPr>
          <w:lang w:eastAsia="ja-JP"/>
        </w:rPr>
        <w:t xml:space="preserve">formula-based </w:t>
      </w:r>
      <w:r>
        <w:rPr>
          <w:lang w:eastAsia="ja-JP"/>
        </w:rPr>
        <w:t>overestimates for the 25, 50 and 100 ppm rates</w:t>
      </w:r>
      <w:r w:rsidRPr="00C11C76">
        <w:rPr>
          <w:lang w:eastAsia="ja-JP"/>
        </w:rPr>
        <w:t>.</w:t>
      </w:r>
    </w:p>
    <w:p w14:paraId="64460E90" w14:textId="77777777" w:rsidR="006E4C51" w:rsidRDefault="006324A8" w:rsidP="006E4C51">
      <w:pPr>
        <w:pStyle w:val="Newparagraph"/>
        <w:spacing w:after="1" w:line="473" w:lineRule="auto"/>
        <w:ind w:right="14" w:firstLine="0"/>
        <w:jc w:val="both"/>
        <w:rPr>
          <w:lang w:val="en-US" w:eastAsia="ja-JP"/>
        </w:rPr>
      </w:pPr>
      <w:r w:rsidRPr="006E2704">
        <w:rPr>
          <w:noProof/>
        </w:rPr>
        <w:lastRenderedPageBreak/>
        <w:drawing>
          <wp:inline distT="0" distB="0" distL="0" distR="0" wp14:anchorId="6D8D3216" wp14:editId="5CC76B7A">
            <wp:extent cx="4571429" cy="2695238"/>
            <wp:effectExtent l="0" t="0" r="635" b="0"/>
            <wp:docPr id="1875767665" name="Picture 1" descr="A picture containing text, font, line,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767665" name="Picture 1" descr="A picture containing text, font, line, number&#10;&#10;Description automatically generated"/>
                    <pic:cNvPicPr/>
                  </pic:nvPicPr>
                  <pic:blipFill>
                    <a:blip r:embed="rId14"/>
                    <a:stretch>
                      <a:fillRect/>
                    </a:stretch>
                  </pic:blipFill>
                  <pic:spPr>
                    <a:xfrm>
                      <a:off x="0" y="0"/>
                      <a:ext cx="4571429" cy="2695238"/>
                    </a:xfrm>
                    <a:prstGeom prst="rect">
                      <a:avLst/>
                    </a:prstGeom>
                  </pic:spPr>
                </pic:pic>
              </a:graphicData>
            </a:graphic>
          </wp:inline>
        </w:drawing>
      </w:r>
    </w:p>
    <w:p w14:paraId="42AA51F3" w14:textId="10B7550A" w:rsidR="006324A8" w:rsidRPr="00DD2C1A" w:rsidRDefault="006324A8" w:rsidP="006E4C51">
      <w:pPr>
        <w:pStyle w:val="Newparagraph"/>
        <w:spacing w:after="1" w:line="473" w:lineRule="auto"/>
        <w:ind w:right="14" w:firstLine="0"/>
        <w:jc w:val="both"/>
        <w:rPr>
          <w:lang w:val="en-US"/>
        </w:rPr>
      </w:pPr>
      <w:r w:rsidRPr="00DD2C1A">
        <w:rPr>
          <w:lang w:val="en-US" w:eastAsia="ja-JP"/>
        </w:rPr>
        <w:t xml:space="preserve">Figure </w:t>
      </w:r>
      <w:r>
        <w:rPr>
          <w:lang w:val="en-US" w:eastAsia="ja-JP"/>
        </w:rPr>
        <w:t>S2</w:t>
      </w:r>
      <w:r w:rsidRPr="00DD2C1A">
        <w:rPr>
          <w:lang w:val="en-US" w:eastAsia="ja-JP"/>
        </w:rPr>
        <w:t>b. Mixing diagram (1/</w:t>
      </w:r>
      <w:r w:rsidRPr="00DD2C1A">
        <w:rPr>
          <w:vertAlign w:val="superscript"/>
          <w:lang w:val="en-US" w:eastAsia="ja-JP"/>
        </w:rPr>
        <w:t>14</w:t>
      </w:r>
      <w:r w:rsidRPr="00DD2C1A">
        <w:rPr>
          <w:lang w:val="en-US" w:eastAsia="ja-JP"/>
        </w:rPr>
        <w:t xml:space="preserve">N vs. </w:t>
      </w:r>
      <w:r w:rsidRPr="00DD2C1A">
        <w:rPr>
          <w:vertAlign w:val="superscript"/>
          <w:lang w:val="en-US" w:eastAsia="ja-JP"/>
        </w:rPr>
        <w:t>15</w:t>
      </w:r>
      <w:r w:rsidRPr="00DD2C1A">
        <w:rPr>
          <w:lang w:val="en-US" w:eastAsia="ja-JP"/>
        </w:rPr>
        <w:t>N:</w:t>
      </w:r>
      <w:r w:rsidRPr="00DD2C1A">
        <w:rPr>
          <w:vertAlign w:val="superscript"/>
          <w:lang w:val="en-US" w:eastAsia="ja-JP"/>
        </w:rPr>
        <w:t>14</w:t>
      </w:r>
      <w:r w:rsidRPr="00DD2C1A">
        <w:rPr>
          <w:lang w:val="en-US" w:eastAsia="ja-JP"/>
        </w:rPr>
        <w:t>N ratio) for shoots of three ornamental species (</w:t>
      </w:r>
      <w:r w:rsidRPr="00DD2C1A">
        <w:rPr>
          <w:i/>
          <w:iCs/>
          <w:lang w:val="en-US" w:eastAsia="ja-JP"/>
        </w:rPr>
        <w:t>Cornus sericea</w:t>
      </w:r>
      <w:r w:rsidRPr="00DD2C1A">
        <w:rPr>
          <w:lang w:val="en-US" w:eastAsia="ja-JP"/>
        </w:rPr>
        <w:t xml:space="preserve">, </w:t>
      </w:r>
      <w:r w:rsidRPr="00DD2C1A">
        <w:rPr>
          <w:i/>
          <w:iCs/>
          <w:lang w:val="en-US" w:eastAsia="ja-JP"/>
        </w:rPr>
        <w:t>Weigela florida</w:t>
      </w:r>
      <w:r w:rsidRPr="00DD2C1A">
        <w:rPr>
          <w:lang w:val="en-US" w:eastAsia="ja-JP"/>
        </w:rPr>
        <w:t xml:space="preserve">, </w:t>
      </w:r>
      <w:r w:rsidRPr="00DD2C1A">
        <w:rPr>
          <w:i/>
          <w:iCs/>
          <w:lang w:val="en-US" w:eastAsia="ja-JP"/>
        </w:rPr>
        <w:t>Euonymus alatus</w:t>
      </w:r>
      <w:r w:rsidRPr="00DD2C1A">
        <w:rPr>
          <w:lang w:val="en-US" w:eastAsia="ja-JP"/>
        </w:rPr>
        <w:t>) grown outside in plastic pots for 345 days. Six replicate plants for each species were exposed to double labeled 0.05 (both NH</w:t>
      </w:r>
      <w:r w:rsidRPr="00DD2C1A">
        <w:rPr>
          <w:vertAlign w:val="subscript"/>
          <w:lang w:val="en-US" w:eastAsia="ja-JP"/>
        </w:rPr>
        <w:t>4</w:t>
      </w:r>
      <w:r w:rsidRPr="00DD2C1A">
        <w:rPr>
          <w:lang w:val="en-US" w:eastAsia="ja-JP"/>
        </w:rPr>
        <w:t>-N and NO</w:t>
      </w:r>
      <w:r w:rsidRPr="00DD2C1A">
        <w:rPr>
          <w:vertAlign w:val="subscript"/>
          <w:lang w:val="en-US" w:eastAsia="ja-JP"/>
        </w:rPr>
        <w:t>3</w:t>
      </w:r>
      <w:r w:rsidRPr="00DD2C1A">
        <w:rPr>
          <w:lang w:val="en-US" w:eastAsia="ja-JP"/>
        </w:rPr>
        <w:t xml:space="preserve">-N) atom % depleted ammonium nitrate at five different rates (25, 50, 100, 200 and 300 ppm). Data for all three species are combined for each rate (18 points) shown. Data after </w:t>
      </w:r>
      <w:r w:rsidRPr="00DD2C1A">
        <w:rPr>
          <w:lang w:val="en-US"/>
        </w:rPr>
        <w:t>Sandrock et al. (2005).</w:t>
      </w:r>
    </w:p>
    <w:p w14:paraId="7A465137" w14:textId="77777777" w:rsidR="006E4C51" w:rsidRDefault="006324A8" w:rsidP="006E4C51">
      <w:r w:rsidRPr="006A3F14">
        <w:rPr>
          <w:noProof/>
        </w:rPr>
        <w:drawing>
          <wp:inline distT="0" distB="0" distL="0" distR="0" wp14:anchorId="15CCB753" wp14:editId="69A1BA93">
            <wp:extent cx="4647619" cy="2628571"/>
            <wp:effectExtent l="0" t="0" r="635" b="635"/>
            <wp:docPr id="1146824501" name="Picture 1" descr="A graph of numbers and poi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824501" name="Picture 1" descr="A graph of numbers and points&#10;&#10;Description automatically generated with medium confidence"/>
                    <pic:cNvPicPr/>
                  </pic:nvPicPr>
                  <pic:blipFill>
                    <a:blip r:embed="rId15"/>
                    <a:stretch>
                      <a:fillRect/>
                    </a:stretch>
                  </pic:blipFill>
                  <pic:spPr>
                    <a:xfrm>
                      <a:off x="0" y="0"/>
                      <a:ext cx="4647619" cy="2628571"/>
                    </a:xfrm>
                    <a:prstGeom prst="rect">
                      <a:avLst/>
                    </a:prstGeom>
                  </pic:spPr>
                </pic:pic>
              </a:graphicData>
            </a:graphic>
          </wp:inline>
        </w:drawing>
      </w:r>
    </w:p>
    <w:p w14:paraId="4EC6D264" w14:textId="494D0A9F" w:rsidR="006324A8" w:rsidRDefault="006324A8" w:rsidP="006E4C51">
      <w:pPr>
        <w:ind w:left="14" w:hanging="14"/>
        <w:rPr>
          <w:rFonts w:asciiTheme="majorBidi" w:hAnsiTheme="majorBidi" w:cstheme="majorBidi"/>
        </w:rPr>
      </w:pPr>
      <w:r w:rsidRPr="00DD2C1A">
        <w:t xml:space="preserve">Figure </w:t>
      </w:r>
      <w:r>
        <w:t>S2</w:t>
      </w:r>
      <w:r w:rsidRPr="00DD2C1A">
        <w:t xml:space="preserve">c. The power function relationships between </w:t>
      </w:r>
      <w:r w:rsidRPr="006A3F14">
        <w:rPr>
          <w:vertAlign w:val="superscript"/>
        </w:rPr>
        <w:t>14</w:t>
      </w:r>
      <w:r w:rsidRPr="00DD2C1A">
        <w:t xml:space="preserve">N and </w:t>
      </w:r>
      <w:r w:rsidRPr="006A3F14">
        <w:rPr>
          <w:vertAlign w:val="superscript"/>
        </w:rPr>
        <w:t>15</w:t>
      </w:r>
      <w:r w:rsidRPr="00DD2C1A">
        <w:t>N for shoots of three ornamental species (</w:t>
      </w:r>
      <w:r w:rsidRPr="006A3F14">
        <w:rPr>
          <w:i/>
          <w:iCs/>
        </w:rPr>
        <w:t>Cornus sericea, Weigela florida, Euonymus alatus</w:t>
      </w:r>
      <w:r w:rsidRPr="00DD2C1A">
        <w:t xml:space="preserve">) grown outside in plastic pots for 345 days. Six replicate plants for each species were exposed to double </w:t>
      </w:r>
      <w:r w:rsidRPr="00DD2C1A">
        <w:lastRenderedPageBreak/>
        <w:t>labeled (both NH</w:t>
      </w:r>
      <w:r w:rsidRPr="00FD1E74">
        <w:rPr>
          <w:vertAlign w:val="subscript"/>
        </w:rPr>
        <w:t>4</w:t>
      </w:r>
      <w:r w:rsidRPr="00DD2C1A">
        <w:t>-N and NO</w:t>
      </w:r>
      <w:r w:rsidRPr="00FD1E74">
        <w:rPr>
          <w:vertAlign w:val="subscript"/>
        </w:rPr>
        <w:t>3</w:t>
      </w:r>
      <w:r w:rsidRPr="00DD2C1A">
        <w:t>-N) 0.05 atom % depleted ammonium nitrate at five different rates (25</w:t>
      </w:r>
      <w:r w:rsidRPr="00DD2C1A">
        <w:rPr>
          <w:rFonts w:asciiTheme="majorBidi" w:hAnsiTheme="majorBidi" w:cstheme="majorBidi"/>
          <w:lang w:eastAsia="ja-JP"/>
        </w:rPr>
        <w:t xml:space="preserve">, 50, 100, 200 and 300 ppm). Data for </w:t>
      </w:r>
      <w:r w:rsidR="00623066">
        <w:rPr>
          <w:rFonts w:asciiTheme="majorBidi" w:hAnsiTheme="majorBidi" w:cstheme="majorBidi"/>
          <w:lang w:eastAsia="ja-JP"/>
        </w:rPr>
        <w:t xml:space="preserve">all </w:t>
      </w:r>
      <w:r w:rsidRPr="00DD2C1A">
        <w:rPr>
          <w:rFonts w:asciiTheme="majorBidi" w:hAnsiTheme="majorBidi" w:cstheme="majorBidi"/>
          <w:lang w:eastAsia="ja-JP"/>
        </w:rPr>
        <w:t xml:space="preserve">species are combined for each rate (18 points) shown. These are the same points evaluated in Figure </w:t>
      </w:r>
      <w:r w:rsidR="006A4721">
        <w:rPr>
          <w:rFonts w:asciiTheme="majorBidi" w:hAnsiTheme="majorBidi" w:cstheme="majorBidi"/>
          <w:lang w:eastAsia="ja-JP"/>
        </w:rPr>
        <w:t>S2</w:t>
      </w:r>
      <w:r w:rsidRPr="00DD2C1A">
        <w:rPr>
          <w:rFonts w:asciiTheme="majorBidi" w:hAnsiTheme="majorBidi" w:cstheme="majorBidi"/>
          <w:lang w:eastAsia="ja-JP"/>
        </w:rPr>
        <w:t xml:space="preserve">a. Data after </w:t>
      </w:r>
      <w:r w:rsidRPr="00DD2C1A">
        <w:rPr>
          <w:rFonts w:asciiTheme="majorBidi" w:hAnsiTheme="majorBidi" w:cstheme="majorBidi"/>
        </w:rPr>
        <w:t xml:space="preserve">Sandrock et al. (2005). </w:t>
      </w:r>
    </w:p>
    <w:p w14:paraId="277CBB2A" w14:textId="7725039C" w:rsidR="006324A8" w:rsidRPr="006324A8" w:rsidRDefault="006324A8" w:rsidP="006324A8">
      <w:pPr>
        <w:rPr>
          <w:lang w:eastAsia="en-GB"/>
        </w:rPr>
      </w:pPr>
      <w:r>
        <w:rPr>
          <w:lang w:eastAsia="en-GB"/>
        </w:rPr>
        <w:t>-</w:t>
      </w:r>
    </w:p>
    <w:p w14:paraId="266960B4" w14:textId="2D84C4E9" w:rsidR="00BA7637" w:rsidRDefault="00BA7637" w:rsidP="001763D8">
      <w:pPr>
        <w:ind w:left="0" w:right="14" w:firstLine="720"/>
      </w:pPr>
      <w:r w:rsidRPr="00DD2C1A">
        <w:rPr>
          <w:lang w:eastAsia="ja-JP"/>
        </w:rPr>
        <w:t xml:space="preserve">Two things are amiss in the linear interpretation described above: (1) the mixing line analyses shown in Figure </w:t>
      </w:r>
      <w:r w:rsidR="000E4A64">
        <w:rPr>
          <w:lang w:eastAsia="ja-JP"/>
        </w:rPr>
        <w:t>S</w:t>
      </w:r>
      <w:r>
        <w:rPr>
          <w:lang w:eastAsia="ja-JP"/>
        </w:rPr>
        <w:t>2</w:t>
      </w:r>
      <w:r w:rsidRPr="00DD2C1A">
        <w:rPr>
          <w:lang w:eastAsia="ja-JP"/>
        </w:rPr>
        <w:t xml:space="preserve">b for the three lowest rates are clearly not linear. </w:t>
      </w:r>
      <w:r>
        <w:rPr>
          <w:lang w:eastAsia="ja-JP"/>
        </w:rPr>
        <w:t>L</w:t>
      </w:r>
      <w:r w:rsidRPr="00DD2C1A">
        <w:rPr>
          <w:lang w:eastAsia="ja-JP"/>
        </w:rPr>
        <w:t xml:space="preserve">inear </w:t>
      </w:r>
      <w:r w:rsidRPr="00DD2C1A">
        <w:rPr>
          <w:vertAlign w:val="superscript"/>
          <w:lang w:eastAsia="ja-JP"/>
        </w:rPr>
        <w:t>14</w:t>
      </w:r>
      <w:r w:rsidRPr="00DD2C1A">
        <w:rPr>
          <w:lang w:eastAsia="ja-JP"/>
        </w:rPr>
        <w:t xml:space="preserve">N vs. </w:t>
      </w:r>
      <w:r w:rsidRPr="00DD2C1A">
        <w:rPr>
          <w:vertAlign w:val="superscript"/>
          <w:lang w:eastAsia="ja-JP"/>
        </w:rPr>
        <w:t>15</w:t>
      </w:r>
      <w:r w:rsidRPr="00DD2C1A">
        <w:rPr>
          <w:lang w:eastAsia="ja-JP"/>
        </w:rPr>
        <w:t xml:space="preserve">N plots must produce linear mixing lines. </w:t>
      </w:r>
      <w:r w:rsidR="00B83CE8">
        <w:rPr>
          <w:lang w:eastAsia="ja-JP"/>
        </w:rPr>
        <w:t>Nonlinear mixing lines suggest s</w:t>
      </w:r>
      <w:r w:rsidRPr="00DD2C1A">
        <w:rPr>
          <w:lang w:eastAsia="ja-JP"/>
        </w:rPr>
        <w:t xml:space="preserve">ubtle curvature exists that is difficult to detect. All five rates </w:t>
      </w:r>
      <w:r w:rsidR="00D21859">
        <w:rPr>
          <w:lang w:eastAsia="ja-JP"/>
        </w:rPr>
        <w:t xml:space="preserve">described with linear function in Figure S2a </w:t>
      </w:r>
      <w:r w:rsidRPr="00DD2C1A">
        <w:rPr>
          <w:lang w:eastAsia="ja-JP"/>
        </w:rPr>
        <w:t>can be fitted with a convex polynomial, but only for the 25-ppm rate is this curvature significant. (2) If this were a normal dataset, we would expect positive</w:t>
      </w:r>
      <w:r w:rsidRPr="00DD2C1A">
        <w:rPr>
          <w:i/>
          <w:iCs/>
          <w:lang w:eastAsia="ja-JP"/>
        </w:rPr>
        <w:t xml:space="preserve"> y</w:t>
      </w:r>
      <w:r w:rsidRPr="00DD2C1A">
        <w:rPr>
          <w:lang w:eastAsia="ja-JP"/>
        </w:rPr>
        <w:t>-intercepts since the background (0.0036</w:t>
      </w:r>
      <w:r>
        <w:rPr>
          <w:lang w:eastAsia="ja-JP"/>
        </w:rPr>
        <w:t>7</w:t>
      </w:r>
      <w:r w:rsidRPr="00DD2C1A">
        <w:rPr>
          <w:lang w:eastAsia="ja-JP"/>
        </w:rPr>
        <w:t xml:space="preserve">6 for the atmosphere) is greater than the depleted source, rather than the negative </w:t>
      </w:r>
      <w:r w:rsidRPr="00DD2C1A">
        <w:rPr>
          <w:i/>
          <w:iCs/>
          <w:lang w:eastAsia="ja-JP"/>
        </w:rPr>
        <w:t>y</w:t>
      </w:r>
      <w:r w:rsidRPr="00DD2C1A">
        <w:rPr>
          <w:lang w:eastAsia="ja-JP"/>
        </w:rPr>
        <w:t xml:space="preserve">-intercepts observed. Data, however, was expressed </w:t>
      </w:r>
      <w:r>
        <w:rPr>
          <w:lang w:eastAsia="ja-JP"/>
        </w:rPr>
        <w:t xml:space="preserve">as </w:t>
      </w:r>
      <w:r w:rsidRPr="00DD2C1A">
        <w:rPr>
          <w:lang w:eastAsia="ja-JP"/>
        </w:rPr>
        <w:t xml:space="preserve">total N, </w:t>
      </w:r>
      <w:r w:rsidRPr="00DD2C1A">
        <w:rPr>
          <w:vertAlign w:val="superscript"/>
          <w:lang w:eastAsia="ja-JP"/>
        </w:rPr>
        <w:t>14</w:t>
      </w:r>
      <w:r w:rsidRPr="00DD2C1A">
        <w:rPr>
          <w:lang w:eastAsia="ja-JP"/>
        </w:rPr>
        <w:t xml:space="preserve">N and </w:t>
      </w:r>
      <w:r w:rsidRPr="00DD2C1A">
        <w:rPr>
          <w:vertAlign w:val="superscript"/>
          <w:lang w:eastAsia="ja-JP"/>
        </w:rPr>
        <w:t>15</w:t>
      </w:r>
      <w:r w:rsidRPr="00DD2C1A">
        <w:rPr>
          <w:lang w:eastAsia="ja-JP"/>
        </w:rPr>
        <w:t>N gain</w:t>
      </w:r>
      <w:r>
        <w:rPr>
          <w:lang w:eastAsia="ja-JP"/>
        </w:rPr>
        <w:t>,</w:t>
      </w:r>
      <w:r w:rsidRPr="00DD2C1A">
        <w:rPr>
          <w:lang w:eastAsia="ja-JP"/>
        </w:rPr>
        <w:t xml:space="preserve"> to minimize </w:t>
      </w:r>
      <w:r w:rsidRPr="00DD2C1A">
        <w:rPr>
          <w:i/>
          <w:iCs/>
        </w:rPr>
        <w:t>y</w:t>
      </w:r>
      <w:r w:rsidRPr="00DD2C1A">
        <w:t xml:space="preserve">-intercept (background effects). A curvilinear function that approaches the origin (such as a power function) may better describe the data than the more theoretically correct curvilinear function with non-zero </w:t>
      </w:r>
      <w:r w:rsidRPr="00DD2C1A">
        <w:rPr>
          <w:i/>
          <w:iCs/>
        </w:rPr>
        <w:t>y</w:t>
      </w:r>
      <w:r w:rsidRPr="00DD2C1A">
        <w:t xml:space="preserve">-intercepts that would apply to unadjusted data. </w:t>
      </w:r>
      <w:r w:rsidRPr="00BD7897">
        <w:t xml:space="preserve">Mathematically, </w:t>
      </w:r>
      <w:r>
        <w:t xml:space="preserve">a </w:t>
      </w:r>
      <w:r w:rsidRPr="00BD7897">
        <w:t xml:space="preserve">perfect power function </w:t>
      </w:r>
      <w:r>
        <w:t>(r</w:t>
      </w:r>
      <w:r w:rsidRPr="001749EF">
        <w:rPr>
          <w:vertAlign w:val="superscript"/>
        </w:rPr>
        <w:t>2</w:t>
      </w:r>
      <w:r>
        <w:t xml:space="preserve"> = 1.0) </w:t>
      </w:r>
      <w:r w:rsidRPr="00BD7897">
        <w:t xml:space="preserve">data </w:t>
      </w:r>
      <w:r>
        <w:t xml:space="preserve">set (for example, one produced with the </w:t>
      </w:r>
      <w:r w:rsidR="00ED33C0">
        <w:t>25-ppm</w:t>
      </w:r>
      <w:r>
        <w:t xml:space="preserve"> equation in Figure </w:t>
      </w:r>
      <w:r w:rsidR="000E4A64">
        <w:t>S</w:t>
      </w:r>
      <w:r>
        <w:t xml:space="preserve">2c, </w:t>
      </w:r>
      <w:r w:rsidRPr="001749EF">
        <w:t>y = 0.00</w:t>
      </w:r>
      <w:r>
        <w:t>261</w:t>
      </w:r>
      <w:r w:rsidRPr="00036D67">
        <w:rPr>
          <w:i/>
          <w:iCs/>
        </w:rPr>
        <w:t>x</w:t>
      </w:r>
      <w:r w:rsidRPr="001749EF">
        <w:rPr>
          <w:vertAlign w:val="superscript"/>
        </w:rPr>
        <w:t>1.10947</w:t>
      </w:r>
      <w:r>
        <w:t xml:space="preserve">), </w:t>
      </w:r>
      <w:r w:rsidRPr="00BD7897">
        <w:t xml:space="preserve">with only slight </w:t>
      </w:r>
      <w:r>
        <w:t xml:space="preserve">convex </w:t>
      </w:r>
      <w:r w:rsidRPr="00BD7897">
        <w:t>curvature</w:t>
      </w:r>
      <w:r>
        <w:t>,</w:t>
      </w:r>
      <w:r w:rsidRPr="00BD7897">
        <w:t xml:space="preserve"> can </w:t>
      </w:r>
      <w:r>
        <w:t>be</w:t>
      </w:r>
      <w:r w:rsidRPr="00BD7897">
        <w:t xml:space="preserve"> closely approximated with a linear function with a non-zero y-intercept</w:t>
      </w:r>
      <w:r>
        <w:t xml:space="preserve"> (</w:t>
      </w:r>
      <w:r w:rsidRPr="001749EF">
        <w:t>y = 0.0032908</w:t>
      </w:r>
      <w:r w:rsidRPr="00036D67">
        <w:rPr>
          <w:i/>
          <w:iCs/>
        </w:rPr>
        <w:t>x</w:t>
      </w:r>
      <w:r w:rsidRPr="001749EF">
        <w:t xml:space="preserve"> - 0.0120900</w:t>
      </w:r>
      <w:r>
        <w:t>) with an r</w:t>
      </w:r>
      <w:r w:rsidRPr="001749EF">
        <w:rPr>
          <w:vertAlign w:val="superscript"/>
        </w:rPr>
        <w:t>2</w:t>
      </w:r>
      <w:r>
        <w:t xml:space="preserve"> value of </w:t>
      </w:r>
      <w:r w:rsidRPr="001749EF">
        <w:t>0.9987534</w:t>
      </w:r>
      <w:r w:rsidRPr="00BD7897">
        <w:t xml:space="preserve">. </w:t>
      </w:r>
      <w:r>
        <w:t xml:space="preserve">This equation is very close to the observed data in Figure </w:t>
      </w:r>
      <w:r w:rsidR="000E4A64">
        <w:t>S</w:t>
      </w:r>
      <w:r>
        <w:t>2a (</w:t>
      </w:r>
      <w:r w:rsidRPr="00661D66">
        <w:rPr>
          <w:i/>
          <w:iCs/>
        </w:rPr>
        <w:t>y</w:t>
      </w:r>
      <w:r w:rsidRPr="00661D66">
        <w:t xml:space="preserve"> = 0.00329</w:t>
      </w:r>
      <w:r>
        <w:t>33</w:t>
      </w:r>
      <w:r w:rsidRPr="00661D66">
        <w:t>x - 0.0120</w:t>
      </w:r>
      <w:r>
        <w:t>859, r</w:t>
      </w:r>
      <w:r w:rsidRPr="00C84F3F">
        <w:rPr>
          <w:vertAlign w:val="superscript"/>
        </w:rPr>
        <w:t>2</w:t>
      </w:r>
      <w:r>
        <w:t xml:space="preserve"> = 0.99607). </w:t>
      </w:r>
    </w:p>
    <w:p w14:paraId="33AFA418" w14:textId="7C281223" w:rsidR="00BA7637" w:rsidRPr="00DD2C1A" w:rsidRDefault="0041049D" w:rsidP="001763D8">
      <w:pPr>
        <w:pStyle w:val="Newparagraph"/>
        <w:spacing w:after="3" w:line="473" w:lineRule="auto"/>
        <w:ind w:right="14"/>
        <w:jc w:val="both"/>
        <w:rPr>
          <w:lang w:val="en-US"/>
        </w:rPr>
      </w:pPr>
      <w:r>
        <w:rPr>
          <w:lang w:val="en-US"/>
        </w:rPr>
        <w:t xml:space="preserve">Mixing diagrams for the three lowest rates are not linear (Figure S2b). This suggests that the relationship between </w:t>
      </w:r>
      <w:r w:rsidRPr="0041049D">
        <w:rPr>
          <w:vertAlign w:val="superscript"/>
          <w:lang w:val="en-US"/>
        </w:rPr>
        <w:t>14</w:t>
      </w:r>
      <w:r>
        <w:rPr>
          <w:lang w:val="en-US"/>
        </w:rPr>
        <w:t xml:space="preserve">N and </w:t>
      </w:r>
      <w:r w:rsidRPr="0041049D">
        <w:rPr>
          <w:vertAlign w:val="superscript"/>
          <w:lang w:val="en-US"/>
        </w:rPr>
        <w:t>15</w:t>
      </w:r>
      <w:r>
        <w:rPr>
          <w:lang w:val="en-US"/>
        </w:rPr>
        <w:t xml:space="preserve">N is also not linear for these three treatments. </w:t>
      </w:r>
      <w:r w:rsidR="00BA7637" w:rsidRPr="00DD2C1A">
        <w:rPr>
          <w:lang w:val="en-US"/>
        </w:rPr>
        <w:t xml:space="preserve">The three low-rate power functions </w:t>
      </w:r>
      <w:r w:rsidR="00D4269A">
        <w:rPr>
          <w:lang w:val="en-US"/>
        </w:rPr>
        <w:t xml:space="preserve">(Figure S2c) </w:t>
      </w:r>
      <w:r w:rsidR="00BA7637" w:rsidRPr="00DD2C1A">
        <w:rPr>
          <w:lang w:val="en-US"/>
        </w:rPr>
        <w:t xml:space="preserve">indicate convex curvature as exponents are significantly greater than one </w:t>
      </w:r>
      <w:r w:rsidR="00BA7637">
        <w:rPr>
          <w:lang w:val="en-US"/>
        </w:rPr>
        <w:t>(</w:t>
      </w:r>
      <w:r w:rsidR="00BA7637" w:rsidRPr="00DD2C1A">
        <w:rPr>
          <w:lang w:val="en-US"/>
        </w:rPr>
        <w:t>positively allometric</w:t>
      </w:r>
      <w:r w:rsidR="00BA7637">
        <w:rPr>
          <w:lang w:val="en-US"/>
        </w:rPr>
        <w:t>)</w:t>
      </w:r>
      <w:r w:rsidR="00BA7637" w:rsidRPr="00DD2C1A">
        <w:rPr>
          <w:lang w:val="en-US"/>
        </w:rPr>
        <w:t xml:space="preserve">. Ratios increase with increasing </w:t>
      </w:r>
      <w:r w:rsidR="00BA7637" w:rsidRPr="00DD2C1A">
        <w:rPr>
          <w:vertAlign w:val="superscript"/>
          <w:lang w:val="en-US"/>
        </w:rPr>
        <w:t>14</w:t>
      </w:r>
      <w:r w:rsidR="00BA7637" w:rsidRPr="00DD2C1A">
        <w:rPr>
          <w:lang w:val="en-US"/>
        </w:rPr>
        <w:t>N. Th</w:t>
      </w:r>
      <w:r w:rsidR="00BA7637">
        <w:rPr>
          <w:lang w:val="en-US"/>
        </w:rPr>
        <w:t>is</w:t>
      </w:r>
      <w:r w:rsidR="00BA7637" w:rsidRPr="00DD2C1A">
        <w:rPr>
          <w:lang w:val="en-US"/>
        </w:rPr>
        <w:t xml:space="preserve"> convex </w:t>
      </w:r>
      <w:r w:rsidR="00BA7637" w:rsidRPr="00DD2C1A">
        <w:rPr>
          <w:lang w:val="en-US"/>
        </w:rPr>
        <w:lastRenderedPageBreak/>
        <w:t xml:space="preserve">curvature has a biological interpretation. At low rates, the added and easily available depleted fertilizer </w:t>
      </w:r>
      <w:r w:rsidR="00BA7637">
        <w:rPr>
          <w:lang w:val="en-US"/>
        </w:rPr>
        <w:t>is quickly consumed</w:t>
      </w:r>
      <w:r w:rsidR="00BA7637" w:rsidRPr="00DD2C1A">
        <w:rPr>
          <w:lang w:val="en-US"/>
        </w:rPr>
        <w:t xml:space="preserve"> as total N increases. Fertilizer N disappears as plants </w:t>
      </w:r>
      <w:r w:rsidR="00394A47">
        <w:rPr>
          <w:lang w:val="en-US"/>
        </w:rPr>
        <w:t>grow</w:t>
      </w:r>
      <w:r w:rsidR="00BA7637" w:rsidRPr="00DD2C1A">
        <w:rPr>
          <w:lang w:val="en-US"/>
        </w:rPr>
        <w:t xml:space="preserve">. The N in the growing media becomes </w:t>
      </w:r>
      <w:r w:rsidR="00394A47">
        <w:rPr>
          <w:lang w:val="en-US"/>
        </w:rPr>
        <w:t>more</w:t>
      </w:r>
      <w:r w:rsidR="00BA7637" w:rsidRPr="00DD2C1A">
        <w:rPr>
          <w:lang w:val="en-US"/>
        </w:rPr>
        <w:t xml:space="preserve"> important, thus shoots become relatively more enriched as total N increases. </w:t>
      </w:r>
      <w:r w:rsidR="00BA7637">
        <w:rPr>
          <w:lang w:val="en-US"/>
        </w:rPr>
        <w:t>L</w:t>
      </w:r>
      <w:r w:rsidR="00BA7637" w:rsidRPr="00DD2C1A">
        <w:rPr>
          <w:lang w:val="en-US"/>
        </w:rPr>
        <w:t xml:space="preserve">arger plants have larger </w:t>
      </w:r>
      <w:r w:rsidR="00BA7637" w:rsidRPr="00DD2C1A">
        <w:rPr>
          <w:vertAlign w:val="superscript"/>
          <w:lang w:val="en-US"/>
        </w:rPr>
        <w:t>15</w:t>
      </w:r>
      <w:r w:rsidR="00BA7637" w:rsidRPr="00DD2C1A">
        <w:rPr>
          <w:lang w:val="en-US"/>
        </w:rPr>
        <w:t>N:</w:t>
      </w:r>
      <w:r w:rsidR="00BA7637" w:rsidRPr="00DD2C1A">
        <w:rPr>
          <w:vertAlign w:val="superscript"/>
          <w:lang w:val="en-US"/>
        </w:rPr>
        <w:t>14</w:t>
      </w:r>
      <w:r w:rsidR="00BA7637" w:rsidRPr="00DD2C1A">
        <w:rPr>
          <w:lang w:val="en-US"/>
        </w:rPr>
        <w:t xml:space="preserve">N ratios and thus, less NDFF. </w:t>
      </w:r>
    </w:p>
    <w:p w14:paraId="000B8ADF" w14:textId="21523B97" w:rsidR="00BA7637" w:rsidRPr="0039592E" w:rsidRDefault="00041466" w:rsidP="001763D8">
      <w:pPr>
        <w:pStyle w:val="Newparagraph"/>
        <w:spacing w:after="3" w:line="473" w:lineRule="auto"/>
        <w:ind w:right="14"/>
        <w:jc w:val="both"/>
        <w:rPr>
          <w:lang w:val="en-US"/>
        </w:rPr>
      </w:pPr>
      <w:r>
        <w:rPr>
          <w:lang w:val="en-US"/>
        </w:rPr>
        <w:t>Traditional l</w:t>
      </w:r>
      <w:r w:rsidR="00BA7637" w:rsidRPr="00DD2C1A">
        <w:rPr>
          <w:lang w:val="en-US"/>
        </w:rPr>
        <w:t xml:space="preserve">og-log scaling analyses </w:t>
      </w:r>
      <w:r w:rsidR="00394A47">
        <w:rPr>
          <w:lang w:val="en-US"/>
        </w:rPr>
        <w:t>(</w:t>
      </w:r>
      <w:r w:rsidR="00BA7637" w:rsidRPr="00DD2C1A">
        <w:rPr>
          <w:lang w:val="en-US"/>
        </w:rPr>
        <w:t xml:space="preserve">Figure </w:t>
      </w:r>
      <w:r w:rsidR="000E4A64">
        <w:rPr>
          <w:lang w:val="en-US"/>
        </w:rPr>
        <w:t>S</w:t>
      </w:r>
      <w:r w:rsidR="00BA7637">
        <w:rPr>
          <w:lang w:val="en-US"/>
        </w:rPr>
        <w:t>2</w:t>
      </w:r>
      <w:r w:rsidR="00BA7637" w:rsidRPr="00DD2C1A">
        <w:rPr>
          <w:lang w:val="en-US"/>
        </w:rPr>
        <w:t>d</w:t>
      </w:r>
      <w:r w:rsidR="00394A47">
        <w:rPr>
          <w:lang w:val="en-US"/>
        </w:rPr>
        <w:t>)</w:t>
      </w:r>
      <w:r w:rsidR="00BA7637" w:rsidRPr="00DD2C1A">
        <w:rPr>
          <w:lang w:val="en-US"/>
        </w:rPr>
        <w:t xml:space="preserve"> are often used to determine if differing proportional relationships are caused by fundamental differences among species or if ratio differences are due to scaling effects (Glazier 2003). If all species</w:t>
      </w:r>
      <w:r w:rsidR="00BA7637">
        <w:rPr>
          <w:lang w:val="en-US"/>
        </w:rPr>
        <w:t>’</w:t>
      </w:r>
      <w:r w:rsidR="00BA7637" w:rsidRPr="00DD2C1A">
        <w:rPr>
          <w:lang w:val="en-US"/>
        </w:rPr>
        <w:t xml:space="preserve"> points fall on</w:t>
      </w:r>
      <w:r w:rsidR="00BA7637">
        <w:rPr>
          <w:lang w:val="en-US"/>
        </w:rPr>
        <w:t xml:space="preserve"> the</w:t>
      </w:r>
      <w:r w:rsidR="00BA7637" w:rsidRPr="00DD2C1A">
        <w:rPr>
          <w:lang w:val="en-US"/>
        </w:rPr>
        <w:t xml:space="preserve"> same log-log line, scaling rather than physiological differences account for isotopic differences</w:t>
      </w:r>
      <w:r w:rsidR="0041049D">
        <w:rPr>
          <w:lang w:val="en-US"/>
        </w:rPr>
        <w:t xml:space="preserve"> among species</w:t>
      </w:r>
      <w:r w:rsidR="005F039A">
        <w:rPr>
          <w:lang w:val="en-US"/>
        </w:rPr>
        <w:t xml:space="preserve">. </w:t>
      </w:r>
      <w:r w:rsidR="00BA7637" w:rsidRPr="00DD2C1A">
        <w:rPr>
          <w:lang w:val="en-US"/>
        </w:rPr>
        <w:t xml:space="preserve">This analysis suggests that the significant </w:t>
      </w:r>
      <w:r w:rsidR="00BA7637" w:rsidRPr="00DD2C1A">
        <w:rPr>
          <w:vertAlign w:val="superscript"/>
          <w:lang w:val="en-US"/>
        </w:rPr>
        <w:t>15</w:t>
      </w:r>
      <w:r w:rsidR="00BA7637" w:rsidRPr="00DD2C1A">
        <w:rPr>
          <w:lang w:val="en-US"/>
        </w:rPr>
        <w:t>N:</w:t>
      </w:r>
      <w:r w:rsidR="00BA7637" w:rsidRPr="00DD2C1A">
        <w:rPr>
          <w:vertAlign w:val="superscript"/>
          <w:lang w:val="en-US"/>
        </w:rPr>
        <w:t>14</w:t>
      </w:r>
      <w:r w:rsidR="00BA7637" w:rsidRPr="00DD2C1A">
        <w:rPr>
          <w:lang w:val="en-US"/>
        </w:rPr>
        <w:t xml:space="preserve">N ratio and NDFF differences for </w:t>
      </w:r>
      <w:r w:rsidR="00BA7637" w:rsidRPr="00DD2C1A">
        <w:rPr>
          <w:i/>
          <w:iCs/>
          <w:lang w:val="en-US"/>
        </w:rPr>
        <w:t>E. alatus</w:t>
      </w:r>
      <w:r w:rsidR="00BA7637" w:rsidRPr="00DD2C1A">
        <w:rPr>
          <w:lang w:val="en-US"/>
        </w:rPr>
        <w:t xml:space="preserve"> are caused by scaling effect</w:t>
      </w:r>
      <w:r w:rsidR="00BA7637">
        <w:rPr>
          <w:lang w:val="en-US"/>
        </w:rPr>
        <w:t>s</w:t>
      </w:r>
      <w:r w:rsidR="00BA7637" w:rsidRPr="00DD2C1A">
        <w:rPr>
          <w:lang w:val="en-US"/>
        </w:rPr>
        <w:t xml:space="preserve">, </w:t>
      </w:r>
      <w:r w:rsidR="00BA7637">
        <w:rPr>
          <w:lang w:val="en-US"/>
        </w:rPr>
        <w:t>because</w:t>
      </w:r>
      <w:r w:rsidR="00BA7637" w:rsidRPr="00DD2C1A">
        <w:rPr>
          <w:lang w:val="en-US"/>
        </w:rPr>
        <w:t xml:space="preserve"> these differences are indirectly caused by smaller total N composition associated with smaller plant size. One should not conclude </w:t>
      </w:r>
      <w:r w:rsidR="00BA7637" w:rsidRPr="00A07755">
        <w:rPr>
          <w:i/>
          <w:iCs/>
          <w:lang w:val="en-US"/>
        </w:rPr>
        <w:t>E. alatus</w:t>
      </w:r>
      <w:r w:rsidR="00BA7637" w:rsidRPr="00DD2C1A">
        <w:rPr>
          <w:lang w:val="en-US"/>
        </w:rPr>
        <w:t xml:space="preserve"> differs in its physiology </w:t>
      </w:r>
      <w:r w:rsidR="00BA7637">
        <w:rPr>
          <w:lang w:val="en-US"/>
        </w:rPr>
        <w:t xml:space="preserve">and </w:t>
      </w:r>
      <w:r w:rsidR="00BA7637" w:rsidRPr="00DD2C1A">
        <w:rPr>
          <w:lang w:val="en-US"/>
        </w:rPr>
        <w:t>is fundamentally more efficient.</w:t>
      </w:r>
      <w:r w:rsidR="00BA7637">
        <w:rPr>
          <w:lang w:val="en-US"/>
        </w:rPr>
        <w:t xml:space="preserve"> Datapoints for all species fall on the same log </w:t>
      </w:r>
      <w:r w:rsidR="00BA7637" w:rsidRPr="00B237AD">
        <w:rPr>
          <w:vertAlign w:val="superscript"/>
          <w:lang w:val="en-US"/>
        </w:rPr>
        <w:t>14</w:t>
      </w:r>
      <w:r w:rsidR="00BA7637">
        <w:rPr>
          <w:lang w:val="en-US"/>
        </w:rPr>
        <w:t xml:space="preserve">N vs. log </w:t>
      </w:r>
      <w:r w:rsidR="00BA7637" w:rsidRPr="00B237AD">
        <w:rPr>
          <w:vertAlign w:val="superscript"/>
          <w:lang w:val="en-US"/>
        </w:rPr>
        <w:t>15</w:t>
      </w:r>
      <w:r w:rsidR="00BA7637">
        <w:rPr>
          <w:lang w:val="en-US"/>
        </w:rPr>
        <w:t>N regression lines for the different fertilizer rates. Species differences in fertilizer uptake efficiency do not exist.</w:t>
      </w:r>
    </w:p>
    <w:p w14:paraId="55DB4E46" w14:textId="77777777" w:rsidR="00BA7637" w:rsidRPr="00362708" w:rsidRDefault="00BA7637" w:rsidP="001763D8">
      <w:pPr>
        <w:ind w:left="0" w:right="14"/>
        <w:rPr>
          <w:rFonts w:asciiTheme="majorBidi" w:hAnsiTheme="majorBidi" w:cstheme="majorBidi"/>
        </w:rPr>
      </w:pPr>
      <w:r w:rsidRPr="00BF5149">
        <w:rPr>
          <w:noProof/>
        </w:rPr>
        <w:drawing>
          <wp:inline distT="0" distB="0" distL="0" distR="0" wp14:anchorId="4459B69C" wp14:editId="40BF45DB">
            <wp:extent cx="4580952" cy="2752381"/>
            <wp:effectExtent l="0" t="0" r="0" b="0"/>
            <wp:docPr id="1357748248" name="Picture 1" descr="A graph of numbers and poi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748248" name="Picture 1" descr="A graph of numbers and points&#10;&#10;Description automatically generated"/>
                    <pic:cNvPicPr/>
                  </pic:nvPicPr>
                  <pic:blipFill>
                    <a:blip r:embed="rId16"/>
                    <a:stretch>
                      <a:fillRect/>
                    </a:stretch>
                  </pic:blipFill>
                  <pic:spPr>
                    <a:xfrm>
                      <a:off x="0" y="0"/>
                      <a:ext cx="4580952" cy="2752381"/>
                    </a:xfrm>
                    <a:prstGeom prst="rect">
                      <a:avLst/>
                    </a:prstGeom>
                  </pic:spPr>
                </pic:pic>
              </a:graphicData>
            </a:graphic>
          </wp:inline>
        </w:drawing>
      </w:r>
    </w:p>
    <w:p w14:paraId="5956B549" w14:textId="0844DCBB" w:rsidR="00BA7637" w:rsidRPr="00DD2C1A" w:rsidRDefault="00BA7637" w:rsidP="001763D8">
      <w:pPr>
        <w:pStyle w:val="Figurecaption"/>
        <w:spacing w:before="0" w:after="3" w:line="473" w:lineRule="auto"/>
        <w:ind w:right="14"/>
        <w:jc w:val="both"/>
        <w:rPr>
          <w:lang w:val="en-US"/>
        </w:rPr>
      </w:pPr>
      <w:r w:rsidRPr="00DD2C1A">
        <w:rPr>
          <w:lang w:val="en-US"/>
        </w:rPr>
        <w:t xml:space="preserve">Figure </w:t>
      </w:r>
      <w:r w:rsidR="000E4A64">
        <w:rPr>
          <w:lang w:val="en-US"/>
        </w:rPr>
        <w:t>S2</w:t>
      </w:r>
      <w:r w:rsidRPr="00DD2C1A">
        <w:rPr>
          <w:lang w:val="en-US"/>
        </w:rPr>
        <w:t xml:space="preserve">d. A log-log </w:t>
      </w:r>
      <w:r w:rsidR="00F041EB">
        <w:rPr>
          <w:lang w:val="en-US"/>
        </w:rPr>
        <w:t>plot</w:t>
      </w:r>
      <w:r w:rsidRPr="00DD2C1A">
        <w:rPr>
          <w:lang w:val="en-US"/>
        </w:rPr>
        <w:t xml:space="preserve"> (log</w:t>
      </w:r>
      <w:r w:rsidRPr="00DD2C1A">
        <w:rPr>
          <w:vertAlign w:val="subscript"/>
          <w:lang w:val="en-US"/>
        </w:rPr>
        <w:t>10</w:t>
      </w:r>
      <w:r w:rsidRPr="00DD2C1A">
        <w:rPr>
          <w:lang w:val="en-US"/>
        </w:rPr>
        <w:t xml:space="preserve"> </w:t>
      </w:r>
      <w:r w:rsidRPr="00DD2C1A">
        <w:rPr>
          <w:vertAlign w:val="superscript"/>
          <w:lang w:val="en-US"/>
        </w:rPr>
        <w:t>14</w:t>
      </w:r>
      <w:r w:rsidRPr="00DD2C1A">
        <w:rPr>
          <w:lang w:val="en-US"/>
        </w:rPr>
        <w:t>N vs. log</w:t>
      </w:r>
      <w:r w:rsidRPr="00DD2C1A">
        <w:rPr>
          <w:vertAlign w:val="subscript"/>
          <w:lang w:val="en-US"/>
        </w:rPr>
        <w:t>10</w:t>
      </w:r>
      <w:r w:rsidRPr="00DD2C1A">
        <w:rPr>
          <w:lang w:val="en-US"/>
        </w:rPr>
        <w:t xml:space="preserve"> </w:t>
      </w:r>
      <w:r w:rsidRPr="00DD2C1A">
        <w:rPr>
          <w:vertAlign w:val="superscript"/>
          <w:lang w:val="en-US"/>
        </w:rPr>
        <w:t>15</w:t>
      </w:r>
      <w:r w:rsidRPr="00DD2C1A">
        <w:rPr>
          <w:lang w:val="en-US"/>
        </w:rPr>
        <w:t xml:space="preserve">N) for </w:t>
      </w:r>
      <w:r w:rsidRPr="00DD2C1A">
        <w:rPr>
          <w:lang w:val="en-US" w:eastAsia="ja-JP"/>
        </w:rPr>
        <w:t>shoots of three ornamental species (</w:t>
      </w:r>
      <w:r w:rsidRPr="00DD2C1A">
        <w:rPr>
          <w:i/>
          <w:iCs/>
          <w:lang w:val="en-US" w:eastAsia="ja-JP"/>
        </w:rPr>
        <w:t>Cornus sericea</w:t>
      </w:r>
      <w:r w:rsidRPr="00DD2C1A">
        <w:rPr>
          <w:lang w:val="en-US" w:eastAsia="ja-JP"/>
        </w:rPr>
        <w:t xml:space="preserve">, </w:t>
      </w:r>
      <w:r w:rsidRPr="00DD2C1A">
        <w:rPr>
          <w:i/>
          <w:iCs/>
          <w:lang w:val="en-US" w:eastAsia="ja-JP"/>
        </w:rPr>
        <w:t>Weigela florida</w:t>
      </w:r>
      <w:r w:rsidRPr="00DD2C1A">
        <w:rPr>
          <w:lang w:val="en-US" w:eastAsia="ja-JP"/>
        </w:rPr>
        <w:t xml:space="preserve">, </w:t>
      </w:r>
      <w:r w:rsidRPr="00DD2C1A">
        <w:rPr>
          <w:i/>
          <w:iCs/>
          <w:lang w:val="en-US" w:eastAsia="ja-JP"/>
        </w:rPr>
        <w:t>Euonymus alatus</w:t>
      </w:r>
      <w:r w:rsidRPr="00DD2C1A">
        <w:rPr>
          <w:lang w:val="en-US" w:eastAsia="ja-JP"/>
        </w:rPr>
        <w:t xml:space="preserve">) grown outside in plastic pots for 345 days. The log-log analysis is similar to what is presented by (Kerkhoff and Enquist, 2009). Six replicate plants </w:t>
      </w:r>
      <w:r w:rsidRPr="00DD2C1A">
        <w:rPr>
          <w:lang w:val="en-US" w:eastAsia="ja-JP"/>
        </w:rPr>
        <w:lastRenderedPageBreak/>
        <w:t>for each species were exposed to double labeled (both NH</w:t>
      </w:r>
      <w:r w:rsidRPr="00DD2C1A">
        <w:rPr>
          <w:vertAlign w:val="subscript"/>
          <w:lang w:val="en-US" w:eastAsia="ja-JP"/>
        </w:rPr>
        <w:t>4</w:t>
      </w:r>
      <w:r w:rsidRPr="00DD2C1A">
        <w:rPr>
          <w:lang w:val="en-US" w:eastAsia="ja-JP"/>
        </w:rPr>
        <w:t>-N and NO</w:t>
      </w:r>
      <w:r w:rsidRPr="00DD2C1A">
        <w:rPr>
          <w:vertAlign w:val="subscript"/>
          <w:lang w:val="en-US" w:eastAsia="ja-JP"/>
        </w:rPr>
        <w:t>3</w:t>
      </w:r>
      <w:r w:rsidRPr="00DD2C1A">
        <w:rPr>
          <w:lang w:val="en-US" w:eastAsia="ja-JP"/>
        </w:rPr>
        <w:t xml:space="preserve">-N) 0.05 atom % depleted ammonium nitrate at five different addition rates (25, 50, 100, 200 and 300 ppm). Data for all species are combined for each rate (18 points). </w:t>
      </w:r>
      <w:r>
        <w:rPr>
          <w:lang w:val="en-US" w:eastAsia="ja-JP"/>
        </w:rPr>
        <w:t>Log-log slopes are significantly different than 1.0 (</w:t>
      </w:r>
      <w:r w:rsidRPr="00795B26">
        <w:rPr>
          <w:i/>
          <w:iCs/>
          <w:lang w:val="en-US" w:eastAsia="ja-JP"/>
        </w:rPr>
        <w:t>p</w:t>
      </w:r>
      <w:r>
        <w:rPr>
          <w:lang w:val="en-US" w:eastAsia="ja-JP"/>
        </w:rPr>
        <w:t xml:space="preserve"> &lt; 0.05) for the three lowest rates. </w:t>
      </w:r>
      <w:r w:rsidRPr="00DD2C1A">
        <w:rPr>
          <w:lang w:val="en-US" w:eastAsia="ja-JP"/>
        </w:rPr>
        <w:t>The points for the smallest species (</w:t>
      </w:r>
      <w:r w:rsidRPr="00DD2C1A">
        <w:rPr>
          <w:i/>
          <w:iCs/>
          <w:lang w:val="en-US" w:eastAsia="ja-JP"/>
        </w:rPr>
        <w:t>E. alatus</w:t>
      </w:r>
      <w:r w:rsidRPr="00DD2C1A">
        <w:rPr>
          <w:lang w:val="en-US" w:eastAsia="ja-JP"/>
        </w:rPr>
        <w:t xml:space="preserve">) are marked with black circles on each treatment line. Data after </w:t>
      </w:r>
      <w:r w:rsidRPr="00DD2C1A">
        <w:rPr>
          <w:lang w:val="en-US"/>
        </w:rPr>
        <w:t>Sandrock et al. (2005).</w:t>
      </w:r>
    </w:p>
    <w:p w14:paraId="6E75A189" w14:textId="77777777" w:rsidR="00BA7637" w:rsidRDefault="00BA7637" w:rsidP="001763D8">
      <w:pPr>
        <w:pStyle w:val="Newparagraph"/>
        <w:spacing w:after="3" w:line="473" w:lineRule="auto"/>
        <w:ind w:right="14" w:firstLine="0"/>
        <w:jc w:val="both"/>
        <w:rPr>
          <w:lang w:val="en-US"/>
        </w:rPr>
      </w:pPr>
      <w:r>
        <w:rPr>
          <w:lang w:val="en-US"/>
        </w:rPr>
        <w:t>-</w:t>
      </w:r>
    </w:p>
    <w:p w14:paraId="1F1053E6" w14:textId="6BD2C14A" w:rsidR="00BA7637" w:rsidRPr="00DD2C1A" w:rsidRDefault="00BA7637" w:rsidP="001763D8">
      <w:pPr>
        <w:pStyle w:val="Newparagraph"/>
        <w:spacing w:after="3" w:line="473" w:lineRule="auto"/>
        <w:ind w:right="14"/>
        <w:jc w:val="both"/>
        <w:rPr>
          <w:lang w:val="en-US" w:eastAsia="ja-JP"/>
        </w:rPr>
      </w:pPr>
      <w:r w:rsidRPr="00DD2C1A">
        <w:rPr>
          <w:lang w:val="en-US" w:eastAsia="ja-JP"/>
        </w:rPr>
        <w:t xml:space="preserve">Figure </w:t>
      </w:r>
      <w:r w:rsidR="000E4A64">
        <w:rPr>
          <w:lang w:val="en-US" w:eastAsia="ja-JP"/>
        </w:rPr>
        <w:t>S</w:t>
      </w:r>
      <w:r>
        <w:rPr>
          <w:lang w:val="en-US" w:eastAsia="ja-JP"/>
        </w:rPr>
        <w:t>2</w:t>
      </w:r>
      <w:r w:rsidRPr="00DD2C1A">
        <w:rPr>
          <w:lang w:val="en-US" w:eastAsia="ja-JP"/>
        </w:rPr>
        <w:t xml:space="preserve">e supports the conclusions suggested by the log-log plots in Figure </w:t>
      </w:r>
      <w:r w:rsidR="000E4A64">
        <w:rPr>
          <w:lang w:val="en-US" w:eastAsia="ja-JP"/>
        </w:rPr>
        <w:t>S</w:t>
      </w:r>
      <w:r>
        <w:rPr>
          <w:lang w:val="en-US" w:eastAsia="ja-JP"/>
        </w:rPr>
        <w:t>2</w:t>
      </w:r>
      <w:r w:rsidRPr="00DD2C1A">
        <w:rPr>
          <w:lang w:val="en-US" w:eastAsia="ja-JP"/>
        </w:rPr>
        <w:t xml:space="preserve">d. The </w:t>
      </w:r>
      <w:r w:rsidRPr="00DD2C1A">
        <w:rPr>
          <w:vertAlign w:val="superscript"/>
          <w:lang w:val="en-US"/>
        </w:rPr>
        <w:t>15</w:t>
      </w:r>
      <w:r w:rsidRPr="00DD2C1A">
        <w:rPr>
          <w:lang w:val="en-US"/>
        </w:rPr>
        <w:t>N:</w:t>
      </w:r>
      <w:r w:rsidRPr="00DD2C1A">
        <w:rPr>
          <w:vertAlign w:val="superscript"/>
          <w:lang w:val="en-US"/>
        </w:rPr>
        <w:t>14</w:t>
      </w:r>
      <w:r w:rsidRPr="00DD2C1A">
        <w:rPr>
          <w:lang w:val="en-US"/>
        </w:rPr>
        <w:t xml:space="preserve">N ratios for the three lowest application rates are dependent on </w:t>
      </w:r>
      <w:r w:rsidRPr="00DD2C1A">
        <w:rPr>
          <w:vertAlign w:val="superscript"/>
          <w:lang w:val="en-US"/>
        </w:rPr>
        <w:t>14</w:t>
      </w:r>
      <w:r w:rsidRPr="00DD2C1A">
        <w:rPr>
          <w:lang w:val="en-US"/>
        </w:rPr>
        <w:t xml:space="preserve">N (or total N). However, this is not true at the two highest rates. </w:t>
      </w:r>
      <w:r w:rsidRPr="00DD2C1A">
        <w:rPr>
          <w:lang w:val="en-US" w:eastAsia="ja-JP"/>
        </w:rPr>
        <w:t xml:space="preserve">Dashes with the same color after the data points refer to the original </w:t>
      </w:r>
      <w:r w:rsidRPr="00DD2C1A">
        <w:rPr>
          <w:vertAlign w:val="superscript"/>
          <w:lang w:val="en-US" w:eastAsia="ja-JP"/>
        </w:rPr>
        <w:t>15</w:t>
      </w:r>
      <w:r w:rsidRPr="00DD2C1A">
        <w:rPr>
          <w:lang w:val="en-US" w:eastAsia="ja-JP"/>
        </w:rPr>
        <w:t xml:space="preserve">N vs. </w:t>
      </w:r>
      <w:r w:rsidRPr="00DD2C1A">
        <w:rPr>
          <w:vertAlign w:val="superscript"/>
          <w:lang w:val="en-US" w:eastAsia="ja-JP"/>
        </w:rPr>
        <w:t>14</w:t>
      </w:r>
      <w:r w:rsidRPr="00DD2C1A">
        <w:rPr>
          <w:lang w:val="en-US" w:eastAsia="ja-JP"/>
        </w:rPr>
        <w:t xml:space="preserve">N slopes in Figure </w:t>
      </w:r>
      <w:r w:rsidR="000E4A64">
        <w:rPr>
          <w:lang w:val="en-US" w:eastAsia="ja-JP"/>
        </w:rPr>
        <w:t>S</w:t>
      </w:r>
      <w:r>
        <w:rPr>
          <w:lang w:val="en-US" w:eastAsia="ja-JP"/>
        </w:rPr>
        <w:t>2</w:t>
      </w:r>
      <w:r w:rsidRPr="00DD2C1A">
        <w:rPr>
          <w:lang w:val="en-US" w:eastAsia="ja-JP"/>
        </w:rPr>
        <w:t>a. A power function denominator vs. numerator model defines the points shown. A linear model would make a similar prediction</w:t>
      </w:r>
      <w:r>
        <w:rPr>
          <w:lang w:val="en-US" w:eastAsia="ja-JP"/>
        </w:rPr>
        <w:t>, but</w:t>
      </w:r>
      <w:r w:rsidRPr="00DD2C1A">
        <w:rPr>
          <w:lang w:val="en-US" w:eastAsia="ja-JP"/>
        </w:rPr>
        <w:t xml:space="preserve"> </w:t>
      </w:r>
      <w:r w:rsidRPr="00DD2C1A">
        <w:rPr>
          <w:vertAlign w:val="superscript"/>
          <w:lang w:val="en-US" w:eastAsia="ja-JP"/>
        </w:rPr>
        <w:t>15</w:t>
      </w:r>
      <w:r w:rsidRPr="00DD2C1A">
        <w:rPr>
          <w:lang w:val="en-US" w:eastAsia="ja-JP"/>
        </w:rPr>
        <w:t>N:</w:t>
      </w:r>
      <w:r w:rsidRPr="00DD2C1A">
        <w:rPr>
          <w:vertAlign w:val="superscript"/>
          <w:lang w:val="en-US" w:eastAsia="ja-JP"/>
        </w:rPr>
        <w:t>14</w:t>
      </w:r>
      <w:r w:rsidRPr="00DD2C1A">
        <w:rPr>
          <w:lang w:val="en-US" w:eastAsia="ja-JP"/>
        </w:rPr>
        <w:t xml:space="preserve">N ratios </w:t>
      </w:r>
      <w:r>
        <w:rPr>
          <w:lang w:val="en-US" w:eastAsia="ja-JP"/>
        </w:rPr>
        <w:t xml:space="preserve">would </w:t>
      </w:r>
      <w:r w:rsidRPr="00DD2C1A">
        <w:rPr>
          <w:lang w:val="en-US" w:eastAsia="ja-JP"/>
        </w:rPr>
        <w:t xml:space="preserve">asymptotically approach the slopes presented (data not shown). However, as stated above the mixing diagram curvature (Figure </w:t>
      </w:r>
      <w:r w:rsidR="000E4A64">
        <w:rPr>
          <w:lang w:val="en-US" w:eastAsia="ja-JP"/>
        </w:rPr>
        <w:t>S</w:t>
      </w:r>
      <w:r>
        <w:rPr>
          <w:lang w:val="en-US" w:eastAsia="ja-JP"/>
        </w:rPr>
        <w:t>2</w:t>
      </w:r>
      <w:r w:rsidRPr="00DD2C1A">
        <w:rPr>
          <w:lang w:val="en-US" w:eastAsia="ja-JP"/>
        </w:rPr>
        <w:t>b) suggests the original denominator vs. numerator functions are not linear</w:t>
      </w:r>
      <w:r>
        <w:rPr>
          <w:lang w:val="en-US" w:eastAsia="ja-JP"/>
        </w:rPr>
        <w:t xml:space="preserve"> for the three lowest rates</w:t>
      </w:r>
      <w:r w:rsidRPr="00DD2C1A">
        <w:rPr>
          <w:lang w:val="en-US" w:eastAsia="ja-JP"/>
        </w:rPr>
        <w:t>.</w:t>
      </w:r>
    </w:p>
    <w:p w14:paraId="506F5028" w14:textId="77777777" w:rsidR="00BA7637" w:rsidRPr="00362708" w:rsidRDefault="00BA7637" w:rsidP="000B02B9">
      <w:pPr>
        <w:ind w:left="0" w:right="14"/>
        <w:rPr>
          <w:rFonts w:asciiTheme="majorBidi" w:hAnsiTheme="majorBidi" w:cstheme="majorBidi"/>
        </w:rPr>
      </w:pPr>
      <w:r w:rsidRPr="008317EA">
        <w:rPr>
          <w:noProof/>
        </w:rPr>
        <w:drawing>
          <wp:inline distT="0" distB="0" distL="0" distR="0" wp14:anchorId="04E7AB78" wp14:editId="46A9C3F4">
            <wp:extent cx="4580952" cy="2876190"/>
            <wp:effectExtent l="0" t="0" r="0" b="635"/>
            <wp:docPr id="52049885" name="Picture 1" descr="A picture containing text, screensh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9885" name="Picture 1" descr="A picture containing text, screenshot, diagram&#10;&#10;Description automatically generated"/>
                    <pic:cNvPicPr/>
                  </pic:nvPicPr>
                  <pic:blipFill>
                    <a:blip r:embed="rId17"/>
                    <a:stretch>
                      <a:fillRect/>
                    </a:stretch>
                  </pic:blipFill>
                  <pic:spPr>
                    <a:xfrm>
                      <a:off x="0" y="0"/>
                      <a:ext cx="4580952" cy="2876190"/>
                    </a:xfrm>
                    <a:prstGeom prst="rect">
                      <a:avLst/>
                    </a:prstGeom>
                  </pic:spPr>
                </pic:pic>
              </a:graphicData>
            </a:graphic>
          </wp:inline>
        </w:drawing>
      </w:r>
    </w:p>
    <w:p w14:paraId="5962F1CF" w14:textId="17EE6B30" w:rsidR="00BA7637" w:rsidRPr="00DD2C1A" w:rsidRDefault="00BA7637" w:rsidP="000B02B9">
      <w:pPr>
        <w:pStyle w:val="Figurecaption"/>
        <w:spacing w:before="0" w:after="3" w:line="473" w:lineRule="auto"/>
        <w:ind w:right="14"/>
        <w:jc w:val="both"/>
        <w:rPr>
          <w:lang w:val="en-US"/>
        </w:rPr>
      </w:pPr>
      <w:r w:rsidRPr="00DD2C1A">
        <w:rPr>
          <w:lang w:val="en-US" w:eastAsia="ja-JP"/>
        </w:rPr>
        <w:t xml:space="preserve">Figure </w:t>
      </w:r>
      <w:r w:rsidR="000E4A64">
        <w:rPr>
          <w:lang w:val="en-US" w:eastAsia="ja-JP"/>
        </w:rPr>
        <w:t>S2</w:t>
      </w:r>
      <w:r w:rsidRPr="00DD2C1A">
        <w:rPr>
          <w:lang w:val="en-US" w:eastAsia="ja-JP"/>
        </w:rPr>
        <w:t xml:space="preserve">e. </w:t>
      </w:r>
      <w:r w:rsidR="00041466">
        <w:rPr>
          <w:lang w:val="en-US" w:eastAsia="ja-JP"/>
        </w:rPr>
        <w:t>R</w:t>
      </w:r>
      <w:r w:rsidRPr="00DD2C1A">
        <w:rPr>
          <w:lang w:val="en-US" w:eastAsia="ja-JP"/>
        </w:rPr>
        <w:t xml:space="preserve">elationships between </w:t>
      </w:r>
      <w:r w:rsidRPr="00DD2C1A">
        <w:rPr>
          <w:vertAlign w:val="superscript"/>
          <w:lang w:val="en-US" w:eastAsia="ja-JP"/>
        </w:rPr>
        <w:t>14</w:t>
      </w:r>
      <w:r w:rsidRPr="00DD2C1A">
        <w:rPr>
          <w:lang w:val="en-US" w:eastAsia="ja-JP"/>
        </w:rPr>
        <w:t xml:space="preserve">N and </w:t>
      </w:r>
      <w:r w:rsidRPr="00DD2C1A">
        <w:rPr>
          <w:color w:val="000000" w:themeColor="text1"/>
          <w:vertAlign w:val="superscript"/>
          <w:lang w:val="en-US"/>
        </w:rPr>
        <w:t>15</w:t>
      </w:r>
      <w:r w:rsidRPr="00DD2C1A">
        <w:rPr>
          <w:color w:val="000000" w:themeColor="text1"/>
          <w:lang w:val="en-US"/>
        </w:rPr>
        <w:t>N:</w:t>
      </w:r>
      <w:r w:rsidRPr="00DD2C1A">
        <w:rPr>
          <w:color w:val="000000" w:themeColor="text1"/>
          <w:vertAlign w:val="superscript"/>
          <w:lang w:val="en-US"/>
        </w:rPr>
        <w:t>14</w:t>
      </w:r>
      <w:r w:rsidRPr="00DD2C1A">
        <w:rPr>
          <w:color w:val="000000" w:themeColor="text1"/>
          <w:lang w:val="en-US"/>
        </w:rPr>
        <w:t>N ratio</w:t>
      </w:r>
      <w:r w:rsidRPr="00DD2C1A">
        <w:rPr>
          <w:lang w:val="en-US" w:eastAsia="ja-JP"/>
        </w:rPr>
        <w:t xml:space="preserve"> for shoots of three ornamental species (</w:t>
      </w:r>
      <w:r w:rsidRPr="00DD2C1A">
        <w:rPr>
          <w:i/>
          <w:iCs/>
          <w:lang w:val="en-US" w:eastAsia="ja-JP"/>
        </w:rPr>
        <w:t>Cornus sericea</w:t>
      </w:r>
      <w:r w:rsidRPr="00DD2C1A">
        <w:rPr>
          <w:lang w:val="en-US" w:eastAsia="ja-JP"/>
        </w:rPr>
        <w:t xml:space="preserve">, </w:t>
      </w:r>
      <w:r w:rsidRPr="00DD2C1A">
        <w:rPr>
          <w:i/>
          <w:iCs/>
          <w:lang w:val="en-US" w:eastAsia="ja-JP"/>
        </w:rPr>
        <w:t>Weigela florida</w:t>
      </w:r>
      <w:r w:rsidRPr="00DD2C1A">
        <w:rPr>
          <w:lang w:val="en-US" w:eastAsia="ja-JP"/>
        </w:rPr>
        <w:t xml:space="preserve">, </w:t>
      </w:r>
      <w:r w:rsidRPr="00DD2C1A">
        <w:rPr>
          <w:i/>
          <w:iCs/>
          <w:lang w:val="en-US" w:eastAsia="ja-JP"/>
        </w:rPr>
        <w:t>Euonymus alatus</w:t>
      </w:r>
      <w:r w:rsidRPr="00DD2C1A">
        <w:rPr>
          <w:lang w:val="en-US" w:eastAsia="ja-JP"/>
        </w:rPr>
        <w:t xml:space="preserve">) grown outside in plastic pots for 345 days. </w:t>
      </w:r>
      <w:r w:rsidRPr="00DD2C1A">
        <w:rPr>
          <w:lang w:val="en-US" w:eastAsia="ja-JP"/>
        </w:rPr>
        <w:lastRenderedPageBreak/>
        <w:t>Six replicate plants for each species were exposed to double labeled (both NH</w:t>
      </w:r>
      <w:r w:rsidRPr="00DD2C1A">
        <w:rPr>
          <w:vertAlign w:val="subscript"/>
          <w:lang w:val="en-US" w:eastAsia="ja-JP"/>
        </w:rPr>
        <w:t>4</w:t>
      </w:r>
      <w:r w:rsidRPr="00DD2C1A">
        <w:rPr>
          <w:lang w:val="en-US" w:eastAsia="ja-JP"/>
        </w:rPr>
        <w:t>-N and NO</w:t>
      </w:r>
      <w:r w:rsidRPr="00DD2C1A">
        <w:rPr>
          <w:vertAlign w:val="subscript"/>
          <w:lang w:val="en-US" w:eastAsia="ja-JP"/>
        </w:rPr>
        <w:t>3</w:t>
      </w:r>
      <w:r w:rsidRPr="00DD2C1A">
        <w:rPr>
          <w:lang w:val="en-US" w:eastAsia="ja-JP"/>
        </w:rPr>
        <w:t xml:space="preserve">-N) 0.05 atom % depleted ammonium nitrate at five different addition rates (25, 50, 100, 200 and 300 ppm). Also marked </w:t>
      </w:r>
      <w:r w:rsidR="007472E2">
        <w:rPr>
          <w:lang w:val="en-US" w:eastAsia="ja-JP"/>
        </w:rPr>
        <w:t xml:space="preserve">(large open black circles) </w:t>
      </w:r>
      <w:r w:rsidRPr="00DD2C1A">
        <w:rPr>
          <w:lang w:val="en-US" w:eastAsia="ja-JP"/>
        </w:rPr>
        <w:t xml:space="preserve">are the values for </w:t>
      </w:r>
      <w:r w:rsidRPr="00DD2C1A">
        <w:rPr>
          <w:i/>
          <w:iCs/>
          <w:lang w:val="en-US" w:eastAsia="ja-JP"/>
        </w:rPr>
        <w:t>E. alatus</w:t>
      </w:r>
      <w:r w:rsidRPr="00DD2C1A">
        <w:rPr>
          <w:lang w:val="en-US" w:eastAsia="ja-JP"/>
        </w:rPr>
        <w:t xml:space="preserve">, the smallest species. Dashes with the same color after the data points refer to the original </w:t>
      </w:r>
      <w:r w:rsidRPr="00DD2C1A">
        <w:rPr>
          <w:vertAlign w:val="superscript"/>
          <w:lang w:val="en-US" w:eastAsia="ja-JP"/>
        </w:rPr>
        <w:t>15</w:t>
      </w:r>
      <w:r w:rsidRPr="00DD2C1A">
        <w:rPr>
          <w:lang w:val="en-US" w:eastAsia="ja-JP"/>
        </w:rPr>
        <w:t xml:space="preserve">N vs. </w:t>
      </w:r>
      <w:r w:rsidRPr="00DD2C1A">
        <w:rPr>
          <w:vertAlign w:val="superscript"/>
          <w:lang w:val="en-US" w:eastAsia="ja-JP"/>
        </w:rPr>
        <w:t>14</w:t>
      </w:r>
      <w:r w:rsidRPr="00DD2C1A">
        <w:rPr>
          <w:lang w:val="en-US" w:eastAsia="ja-JP"/>
        </w:rPr>
        <w:t xml:space="preserve">N slopes in Figure </w:t>
      </w:r>
      <w:r w:rsidR="000E4A64">
        <w:rPr>
          <w:lang w:val="en-US" w:eastAsia="ja-JP"/>
        </w:rPr>
        <w:t>S2</w:t>
      </w:r>
      <w:r w:rsidRPr="00DD2C1A">
        <w:rPr>
          <w:lang w:val="en-US" w:eastAsia="ja-JP"/>
        </w:rPr>
        <w:t xml:space="preserve">a. Data for all species are combined for each rate (18 points). Data after </w:t>
      </w:r>
      <w:r w:rsidRPr="00DD2C1A">
        <w:rPr>
          <w:lang w:val="en-US"/>
        </w:rPr>
        <w:t>Sandrock et al. (2005).</w:t>
      </w:r>
    </w:p>
    <w:p w14:paraId="43E385E3" w14:textId="77777777" w:rsidR="00BA7637" w:rsidRDefault="00BA7637" w:rsidP="000B02B9">
      <w:pPr>
        <w:pStyle w:val="Newparagraph"/>
        <w:spacing w:after="3" w:line="473" w:lineRule="auto"/>
        <w:ind w:right="14" w:firstLine="0"/>
        <w:jc w:val="both"/>
        <w:rPr>
          <w:lang w:val="en-US" w:eastAsia="ja-JP"/>
        </w:rPr>
      </w:pPr>
      <w:r>
        <w:rPr>
          <w:lang w:val="en-US" w:eastAsia="ja-JP"/>
        </w:rPr>
        <w:t>-</w:t>
      </w:r>
    </w:p>
    <w:p w14:paraId="74827700" w14:textId="795E5ED9" w:rsidR="00BA7637" w:rsidRPr="00DD2C1A" w:rsidRDefault="00BA7637" w:rsidP="007E4695">
      <w:pPr>
        <w:pStyle w:val="Newparagraph"/>
        <w:spacing w:after="3" w:line="473" w:lineRule="auto"/>
        <w:ind w:right="14"/>
        <w:jc w:val="both"/>
        <w:rPr>
          <w:lang w:val="en-US" w:eastAsia="ja-JP"/>
        </w:rPr>
      </w:pPr>
      <w:r w:rsidRPr="00DD2C1A">
        <w:rPr>
          <w:lang w:val="en-US" w:eastAsia="ja-JP"/>
        </w:rPr>
        <w:t xml:space="preserve">Also marked </w:t>
      </w:r>
      <w:r w:rsidR="003255EB">
        <w:rPr>
          <w:lang w:val="en-US" w:eastAsia="ja-JP"/>
        </w:rPr>
        <w:t xml:space="preserve">in Figure S2e </w:t>
      </w:r>
      <w:r w:rsidRPr="00DD2C1A">
        <w:rPr>
          <w:lang w:val="en-US" w:eastAsia="ja-JP"/>
        </w:rPr>
        <w:t xml:space="preserve">are the values for </w:t>
      </w:r>
      <w:r w:rsidRPr="00DD2C1A">
        <w:rPr>
          <w:i/>
          <w:iCs/>
          <w:lang w:val="en-US" w:eastAsia="ja-JP"/>
        </w:rPr>
        <w:t>E. alatus</w:t>
      </w:r>
      <w:r w:rsidRPr="00DD2C1A">
        <w:rPr>
          <w:lang w:val="en-US" w:eastAsia="ja-JP"/>
        </w:rPr>
        <w:t xml:space="preserve">, the smallest species, with the lowest </w:t>
      </w:r>
      <w:r w:rsidRPr="00DD2C1A">
        <w:rPr>
          <w:vertAlign w:val="superscript"/>
          <w:lang w:val="en-US"/>
        </w:rPr>
        <w:t>15</w:t>
      </w:r>
      <w:r w:rsidRPr="00DD2C1A">
        <w:rPr>
          <w:lang w:val="en-US"/>
        </w:rPr>
        <w:t>N:</w:t>
      </w:r>
      <w:r w:rsidRPr="00DD2C1A">
        <w:rPr>
          <w:vertAlign w:val="superscript"/>
          <w:lang w:val="en-US"/>
        </w:rPr>
        <w:t>14</w:t>
      </w:r>
      <w:r w:rsidRPr="00DD2C1A">
        <w:rPr>
          <w:lang w:val="en-US"/>
        </w:rPr>
        <w:t>N ratio</w:t>
      </w:r>
      <w:r w:rsidRPr="00DD2C1A">
        <w:rPr>
          <w:lang w:val="en-US" w:eastAsia="ja-JP"/>
        </w:rPr>
        <w:t xml:space="preserve"> and the highest N derived from fertilizer (NDFF). </w:t>
      </w:r>
      <w:r w:rsidRPr="00DD2C1A">
        <w:rPr>
          <w:lang w:val="en-US"/>
        </w:rPr>
        <w:t xml:space="preserve">The average </w:t>
      </w:r>
      <w:r w:rsidRPr="00DD2C1A">
        <w:rPr>
          <w:vertAlign w:val="superscript"/>
          <w:lang w:val="en-US"/>
        </w:rPr>
        <w:t>15</w:t>
      </w:r>
      <w:r w:rsidRPr="00DD2C1A">
        <w:rPr>
          <w:lang w:val="en-US"/>
        </w:rPr>
        <w:t>N:</w:t>
      </w:r>
      <w:r w:rsidRPr="00DD2C1A">
        <w:rPr>
          <w:vertAlign w:val="superscript"/>
          <w:lang w:val="en-US"/>
        </w:rPr>
        <w:t>14</w:t>
      </w:r>
      <w:r w:rsidRPr="00DD2C1A">
        <w:rPr>
          <w:lang w:val="en-US"/>
        </w:rPr>
        <w:t>N ratios across all three species is reduced when (</w:t>
      </w:r>
      <w:r w:rsidRPr="00DD2C1A">
        <w:rPr>
          <w:i/>
          <w:iCs/>
          <w:lang w:val="en-US"/>
        </w:rPr>
        <w:t>E. alatus</w:t>
      </w:r>
      <w:r w:rsidRPr="00DD2C1A">
        <w:rPr>
          <w:lang w:val="en-US"/>
        </w:rPr>
        <w:t xml:space="preserve">) is included. The scaling effect results in an underestimation of </w:t>
      </w:r>
      <w:r w:rsidRPr="00DD2C1A">
        <w:rPr>
          <w:vertAlign w:val="superscript"/>
          <w:lang w:val="en-US"/>
        </w:rPr>
        <w:t>15</w:t>
      </w:r>
      <w:r w:rsidRPr="00DD2C1A">
        <w:rPr>
          <w:lang w:val="en-US"/>
        </w:rPr>
        <w:t>N:</w:t>
      </w:r>
      <w:r w:rsidRPr="00DD2C1A">
        <w:rPr>
          <w:vertAlign w:val="superscript"/>
          <w:lang w:val="en-US"/>
        </w:rPr>
        <w:t>14</w:t>
      </w:r>
      <w:r w:rsidRPr="00DD2C1A">
        <w:rPr>
          <w:lang w:val="en-US"/>
        </w:rPr>
        <w:t xml:space="preserve">N ratios and an overestimation of </w:t>
      </w:r>
      <w:r>
        <w:rPr>
          <w:lang w:val="en-US"/>
        </w:rPr>
        <w:t xml:space="preserve">combined species </w:t>
      </w:r>
      <w:r w:rsidRPr="00DD2C1A">
        <w:rPr>
          <w:lang w:val="en-US"/>
        </w:rPr>
        <w:t xml:space="preserve">NDFF for the lowest three rates. Figures </w:t>
      </w:r>
      <w:r w:rsidR="000E4A64">
        <w:rPr>
          <w:lang w:val="en-US"/>
        </w:rPr>
        <w:t>S</w:t>
      </w:r>
      <w:r>
        <w:rPr>
          <w:lang w:val="en-US"/>
        </w:rPr>
        <w:t>2</w:t>
      </w:r>
      <w:r w:rsidRPr="00DD2C1A">
        <w:rPr>
          <w:lang w:val="en-US"/>
        </w:rPr>
        <w:t xml:space="preserve">f-h support the above conclusions. </w:t>
      </w:r>
      <w:r w:rsidRPr="00DD2C1A">
        <w:rPr>
          <w:lang w:val="en-US" w:eastAsia="ja-JP"/>
        </w:rPr>
        <w:t xml:space="preserve">Statistical differences among species for </w:t>
      </w:r>
      <w:r w:rsidRPr="00DD2C1A">
        <w:rPr>
          <w:vertAlign w:val="superscript"/>
          <w:lang w:val="en-US" w:eastAsia="ja-JP"/>
        </w:rPr>
        <w:t>15</w:t>
      </w:r>
      <w:r w:rsidRPr="00DD2C1A">
        <w:rPr>
          <w:lang w:val="en-US" w:eastAsia="ja-JP"/>
        </w:rPr>
        <w:t>N:</w:t>
      </w:r>
      <w:r w:rsidRPr="00DD2C1A">
        <w:rPr>
          <w:vertAlign w:val="superscript"/>
          <w:lang w:val="en-US" w:eastAsia="ja-JP"/>
        </w:rPr>
        <w:t>14</w:t>
      </w:r>
      <w:r w:rsidRPr="00DD2C1A">
        <w:rPr>
          <w:lang w:val="en-US" w:eastAsia="ja-JP"/>
        </w:rPr>
        <w:t xml:space="preserve">N ratio (Figure </w:t>
      </w:r>
      <w:r w:rsidR="000E4A64">
        <w:rPr>
          <w:lang w:val="en-US" w:eastAsia="ja-JP"/>
        </w:rPr>
        <w:t>S</w:t>
      </w:r>
      <w:r>
        <w:rPr>
          <w:lang w:val="en-US" w:eastAsia="ja-JP"/>
        </w:rPr>
        <w:t>2g</w:t>
      </w:r>
      <w:r w:rsidRPr="00DD2C1A">
        <w:rPr>
          <w:lang w:val="en-US" w:eastAsia="ja-JP"/>
        </w:rPr>
        <w:t xml:space="preserve">) and the related NDFF (Figure </w:t>
      </w:r>
      <w:r w:rsidR="000E4A64">
        <w:rPr>
          <w:lang w:val="en-US" w:eastAsia="ja-JP"/>
        </w:rPr>
        <w:t>S</w:t>
      </w:r>
      <w:r>
        <w:rPr>
          <w:lang w:val="en-US" w:eastAsia="ja-JP"/>
        </w:rPr>
        <w:t>2</w:t>
      </w:r>
      <w:r w:rsidRPr="00DD2C1A">
        <w:rPr>
          <w:lang w:val="en-US" w:eastAsia="ja-JP"/>
        </w:rPr>
        <w:t xml:space="preserve">h) are </w:t>
      </w:r>
      <w:r>
        <w:rPr>
          <w:lang w:val="en-US" w:eastAsia="ja-JP"/>
        </w:rPr>
        <w:t>caused by</w:t>
      </w:r>
      <w:r w:rsidRPr="00DD2C1A">
        <w:rPr>
          <w:lang w:val="en-US" w:eastAsia="ja-JP"/>
        </w:rPr>
        <w:t xml:space="preserve"> scaling </w:t>
      </w:r>
      <w:r>
        <w:rPr>
          <w:lang w:val="en-US" w:eastAsia="ja-JP"/>
        </w:rPr>
        <w:t>effects</w:t>
      </w:r>
      <w:r w:rsidRPr="00DD2C1A">
        <w:rPr>
          <w:lang w:val="en-US" w:eastAsia="ja-JP"/>
        </w:rPr>
        <w:t xml:space="preserve">. Statistical differences are likely caused by the smaller size and less total N of </w:t>
      </w:r>
      <w:r w:rsidRPr="00DD2C1A">
        <w:rPr>
          <w:i/>
          <w:iCs/>
          <w:lang w:val="en-US" w:eastAsia="ja-JP"/>
        </w:rPr>
        <w:t xml:space="preserve">E. alatus </w:t>
      </w:r>
      <w:r w:rsidRPr="00DD2C1A">
        <w:rPr>
          <w:lang w:val="en-US" w:eastAsia="ja-JP"/>
        </w:rPr>
        <w:t xml:space="preserve">(Figure </w:t>
      </w:r>
      <w:r w:rsidR="000E4A64">
        <w:rPr>
          <w:lang w:val="en-US" w:eastAsia="ja-JP"/>
        </w:rPr>
        <w:t>S</w:t>
      </w:r>
      <w:r>
        <w:rPr>
          <w:lang w:val="en-US" w:eastAsia="ja-JP"/>
        </w:rPr>
        <w:t>2</w:t>
      </w:r>
      <w:r w:rsidRPr="00DD2C1A">
        <w:rPr>
          <w:lang w:val="en-US" w:eastAsia="ja-JP"/>
        </w:rPr>
        <w:t xml:space="preserve">f), rather than any physiological differences. </w:t>
      </w:r>
    </w:p>
    <w:p w14:paraId="4C1C3DC0" w14:textId="77777777" w:rsidR="00BA7637" w:rsidRPr="00362708" w:rsidRDefault="00BA7637" w:rsidP="000B02B9">
      <w:pPr>
        <w:ind w:left="0" w:right="14"/>
        <w:rPr>
          <w:rFonts w:asciiTheme="majorBidi" w:hAnsiTheme="majorBidi" w:cstheme="majorBidi"/>
        </w:rPr>
      </w:pPr>
      <w:r w:rsidRPr="008317EA">
        <w:rPr>
          <w:noProof/>
        </w:rPr>
        <w:drawing>
          <wp:inline distT="0" distB="0" distL="0" distR="0" wp14:anchorId="79CF4BAB" wp14:editId="2096CBC5">
            <wp:extent cx="4571429" cy="2695238"/>
            <wp:effectExtent l="0" t="0" r="635" b="0"/>
            <wp:docPr id="827060764" name="Picture 1" descr="A picture containing text, screenshot,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060764" name="Picture 1" descr="A picture containing text, screenshot, diagram, plot&#10;&#10;Description automatically generated"/>
                    <pic:cNvPicPr/>
                  </pic:nvPicPr>
                  <pic:blipFill>
                    <a:blip r:embed="rId18"/>
                    <a:stretch>
                      <a:fillRect/>
                    </a:stretch>
                  </pic:blipFill>
                  <pic:spPr>
                    <a:xfrm>
                      <a:off x="0" y="0"/>
                      <a:ext cx="4571429" cy="2695238"/>
                    </a:xfrm>
                    <a:prstGeom prst="rect">
                      <a:avLst/>
                    </a:prstGeom>
                  </pic:spPr>
                </pic:pic>
              </a:graphicData>
            </a:graphic>
          </wp:inline>
        </w:drawing>
      </w:r>
    </w:p>
    <w:p w14:paraId="7279C73D" w14:textId="1066D5A1" w:rsidR="00BA7637" w:rsidRPr="00DD2C1A" w:rsidRDefault="00BA7637" w:rsidP="000B02B9">
      <w:pPr>
        <w:pStyle w:val="Figurecaption"/>
        <w:spacing w:before="0" w:after="3" w:line="473" w:lineRule="auto"/>
        <w:ind w:right="14"/>
        <w:jc w:val="both"/>
        <w:rPr>
          <w:lang w:val="en-US"/>
        </w:rPr>
      </w:pPr>
      <w:r w:rsidRPr="00DD2C1A">
        <w:rPr>
          <w:lang w:val="en-US"/>
        </w:rPr>
        <w:t xml:space="preserve">Figure </w:t>
      </w:r>
      <w:r w:rsidR="000E4A64">
        <w:rPr>
          <w:lang w:val="en-US"/>
        </w:rPr>
        <w:t>S2</w:t>
      </w:r>
      <w:r w:rsidRPr="00DD2C1A">
        <w:rPr>
          <w:lang w:val="en-US"/>
        </w:rPr>
        <w:t>f.</w:t>
      </w:r>
      <w:r w:rsidRPr="00DD2C1A">
        <w:rPr>
          <w:lang w:val="en-US" w:eastAsia="ja-JP"/>
        </w:rPr>
        <w:t xml:space="preserve"> Total N for shoots of three ornamental species (</w:t>
      </w:r>
      <w:r w:rsidRPr="00DD2C1A">
        <w:rPr>
          <w:i/>
          <w:iCs/>
          <w:lang w:val="en-US" w:eastAsia="ja-JP"/>
        </w:rPr>
        <w:t>Cornus sericea</w:t>
      </w:r>
      <w:r w:rsidRPr="00DD2C1A">
        <w:rPr>
          <w:lang w:val="en-US" w:eastAsia="ja-JP"/>
        </w:rPr>
        <w:t xml:space="preserve">, </w:t>
      </w:r>
      <w:r w:rsidRPr="00DD2C1A">
        <w:rPr>
          <w:i/>
          <w:iCs/>
          <w:lang w:val="en-US" w:eastAsia="ja-JP"/>
        </w:rPr>
        <w:t>Weigela florida</w:t>
      </w:r>
      <w:r w:rsidRPr="00DD2C1A">
        <w:rPr>
          <w:lang w:val="en-US" w:eastAsia="ja-JP"/>
        </w:rPr>
        <w:t xml:space="preserve">, </w:t>
      </w:r>
      <w:r w:rsidRPr="00DD2C1A">
        <w:rPr>
          <w:i/>
          <w:iCs/>
          <w:lang w:val="en-US" w:eastAsia="ja-JP"/>
        </w:rPr>
        <w:t xml:space="preserve">Euonymus alatus; </w:t>
      </w:r>
      <w:r w:rsidRPr="00DD2C1A">
        <w:rPr>
          <w:lang w:val="en-US" w:eastAsia="ja-JP"/>
        </w:rPr>
        <w:t>labeled</w:t>
      </w:r>
      <w:r w:rsidRPr="00DD2C1A">
        <w:rPr>
          <w:i/>
          <w:iCs/>
          <w:lang w:val="en-US" w:eastAsia="ja-JP"/>
        </w:rPr>
        <w:t xml:space="preserve"> </w:t>
      </w:r>
      <w:r w:rsidRPr="00DD2C1A">
        <w:rPr>
          <w:lang w:val="en-US" w:eastAsia="ja-JP"/>
        </w:rPr>
        <w:t>C, W and E respectively) grown outside in plastic pots for 345 days. Six replicate plants for each species were exposed to double labeled (both NH</w:t>
      </w:r>
      <w:r w:rsidRPr="00DD2C1A">
        <w:rPr>
          <w:vertAlign w:val="subscript"/>
          <w:lang w:val="en-US" w:eastAsia="ja-JP"/>
        </w:rPr>
        <w:t>4</w:t>
      </w:r>
      <w:r w:rsidRPr="00DD2C1A">
        <w:rPr>
          <w:lang w:val="en-US" w:eastAsia="ja-JP"/>
        </w:rPr>
        <w:t>-N and NO</w:t>
      </w:r>
      <w:r w:rsidRPr="00DD2C1A">
        <w:rPr>
          <w:vertAlign w:val="subscript"/>
          <w:lang w:val="en-US" w:eastAsia="ja-JP"/>
        </w:rPr>
        <w:t>3</w:t>
      </w:r>
      <w:r w:rsidRPr="00DD2C1A">
        <w:rPr>
          <w:lang w:val="en-US" w:eastAsia="ja-JP"/>
        </w:rPr>
        <w:t xml:space="preserve">-N) </w:t>
      </w:r>
      <w:r w:rsidRPr="00DD2C1A">
        <w:rPr>
          <w:lang w:val="en-US" w:eastAsia="ja-JP"/>
        </w:rPr>
        <w:lastRenderedPageBreak/>
        <w:t>0.05 atom % depleted ammonium nitrate at five different addition rates (25, 50, 100, 200 and 300 ppm). Vertical bars represent ± one standard error. Values with the same letter corresponding to different species within a given fertilizer rate are not statistically significant (</w:t>
      </w:r>
      <w:r w:rsidRPr="00DD2C1A">
        <w:rPr>
          <w:i/>
          <w:iCs/>
          <w:lang w:val="en-US" w:eastAsia="ja-JP"/>
        </w:rPr>
        <w:t xml:space="preserve">p </w:t>
      </w:r>
      <w:r w:rsidRPr="00DD2C1A">
        <w:rPr>
          <w:lang w:val="en-US" w:eastAsia="ja-JP"/>
        </w:rPr>
        <w:t xml:space="preserve">&lt; 0.05; after log transformation to meet homogeneity of variance assumptions). </w:t>
      </w:r>
      <w:r w:rsidRPr="00DD2C1A">
        <w:rPr>
          <w:i/>
          <w:iCs/>
          <w:lang w:val="en-US" w:eastAsia="ja-JP"/>
        </w:rPr>
        <w:t>E. alatus</w:t>
      </w:r>
      <w:r w:rsidRPr="00DD2C1A">
        <w:rPr>
          <w:lang w:val="en-US" w:eastAsia="ja-JP"/>
        </w:rPr>
        <w:t xml:space="preserve"> is clearly much smaller and has less N content than the other two species. Data after </w:t>
      </w:r>
      <w:r w:rsidRPr="00DD2C1A">
        <w:rPr>
          <w:lang w:val="en-US"/>
        </w:rPr>
        <w:t>Sandrock et al. (2005).</w:t>
      </w:r>
    </w:p>
    <w:p w14:paraId="44DD5CDB" w14:textId="77777777" w:rsidR="00BA7637" w:rsidRPr="00362708" w:rsidRDefault="00BA7637" w:rsidP="000B02B9">
      <w:pPr>
        <w:ind w:left="0" w:right="14"/>
        <w:rPr>
          <w:rFonts w:asciiTheme="majorBidi" w:hAnsiTheme="majorBidi" w:cstheme="majorBidi"/>
        </w:rPr>
      </w:pPr>
      <w:r w:rsidRPr="008317EA">
        <w:rPr>
          <w:noProof/>
        </w:rPr>
        <w:drawing>
          <wp:inline distT="0" distB="0" distL="0" distR="0" wp14:anchorId="541406BA" wp14:editId="1F52F653">
            <wp:extent cx="4580952" cy="2695238"/>
            <wp:effectExtent l="0" t="0" r="0" b="0"/>
            <wp:docPr id="1107372797" name="Picture 1" descr="A picture containing screenshot, tex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372797" name="Picture 1" descr="A picture containing screenshot, text, diagram&#10;&#10;Description automatically generated"/>
                    <pic:cNvPicPr/>
                  </pic:nvPicPr>
                  <pic:blipFill>
                    <a:blip r:embed="rId19"/>
                    <a:stretch>
                      <a:fillRect/>
                    </a:stretch>
                  </pic:blipFill>
                  <pic:spPr>
                    <a:xfrm>
                      <a:off x="0" y="0"/>
                      <a:ext cx="4580952" cy="2695238"/>
                    </a:xfrm>
                    <a:prstGeom prst="rect">
                      <a:avLst/>
                    </a:prstGeom>
                  </pic:spPr>
                </pic:pic>
              </a:graphicData>
            </a:graphic>
          </wp:inline>
        </w:drawing>
      </w:r>
    </w:p>
    <w:p w14:paraId="7B401466" w14:textId="17F6363E" w:rsidR="00BA7637" w:rsidRPr="008317EA" w:rsidRDefault="00BA7637" w:rsidP="000B02B9">
      <w:pPr>
        <w:pStyle w:val="Figurecaption"/>
        <w:spacing w:before="0" w:after="3" w:line="473" w:lineRule="auto"/>
        <w:ind w:right="14"/>
        <w:jc w:val="both"/>
        <w:rPr>
          <w:lang w:val="en-US"/>
        </w:rPr>
      </w:pPr>
      <w:r w:rsidRPr="00DD2C1A">
        <w:rPr>
          <w:lang w:val="en-US"/>
        </w:rPr>
        <w:t xml:space="preserve">Figure </w:t>
      </w:r>
      <w:r w:rsidR="000E4A64">
        <w:rPr>
          <w:lang w:val="en-US"/>
        </w:rPr>
        <w:t>S2</w:t>
      </w:r>
      <w:r w:rsidRPr="00DD2C1A">
        <w:rPr>
          <w:lang w:val="en-US"/>
        </w:rPr>
        <w:t>g.</w:t>
      </w:r>
      <w:r w:rsidRPr="00DD2C1A">
        <w:rPr>
          <w:lang w:val="en-US" w:eastAsia="ja-JP"/>
        </w:rPr>
        <w:t xml:space="preserve"> The </w:t>
      </w:r>
      <w:r w:rsidRPr="00DD2C1A">
        <w:rPr>
          <w:vertAlign w:val="superscript"/>
          <w:lang w:val="en-US" w:eastAsia="ja-JP"/>
        </w:rPr>
        <w:t>15</w:t>
      </w:r>
      <w:r w:rsidRPr="00DD2C1A">
        <w:rPr>
          <w:lang w:val="en-US" w:eastAsia="ja-JP"/>
        </w:rPr>
        <w:t>N:</w:t>
      </w:r>
      <w:r w:rsidRPr="00DD2C1A">
        <w:rPr>
          <w:vertAlign w:val="superscript"/>
          <w:lang w:val="en-US" w:eastAsia="ja-JP"/>
        </w:rPr>
        <w:t>14</w:t>
      </w:r>
      <w:r w:rsidRPr="00DD2C1A">
        <w:rPr>
          <w:lang w:val="en-US" w:eastAsia="ja-JP"/>
        </w:rPr>
        <w:t>N ratio for shoots of three ornamental species (</w:t>
      </w:r>
      <w:r w:rsidRPr="00DD2C1A">
        <w:rPr>
          <w:i/>
          <w:iCs/>
          <w:lang w:val="en-US" w:eastAsia="ja-JP"/>
        </w:rPr>
        <w:t>Cornus sericea</w:t>
      </w:r>
      <w:r w:rsidRPr="00DD2C1A">
        <w:rPr>
          <w:lang w:val="en-US" w:eastAsia="ja-JP"/>
        </w:rPr>
        <w:t xml:space="preserve">, </w:t>
      </w:r>
      <w:r w:rsidRPr="00DD2C1A">
        <w:rPr>
          <w:i/>
          <w:iCs/>
          <w:lang w:val="en-US" w:eastAsia="ja-JP"/>
        </w:rPr>
        <w:t>Weigela florida</w:t>
      </w:r>
      <w:r w:rsidRPr="00DD2C1A">
        <w:rPr>
          <w:lang w:val="en-US" w:eastAsia="ja-JP"/>
        </w:rPr>
        <w:t xml:space="preserve">, </w:t>
      </w:r>
      <w:r w:rsidRPr="00DD2C1A">
        <w:rPr>
          <w:i/>
          <w:iCs/>
          <w:lang w:val="en-US" w:eastAsia="ja-JP"/>
        </w:rPr>
        <w:t xml:space="preserve">Euonymus alatus; </w:t>
      </w:r>
      <w:r w:rsidRPr="00DD2C1A">
        <w:rPr>
          <w:lang w:val="en-US" w:eastAsia="ja-JP"/>
        </w:rPr>
        <w:t>labeled</w:t>
      </w:r>
      <w:r w:rsidRPr="00DD2C1A">
        <w:rPr>
          <w:i/>
          <w:iCs/>
          <w:lang w:val="en-US" w:eastAsia="ja-JP"/>
        </w:rPr>
        <w:t xml:space="preserve"> </w:t>
      </w:r>
      <w:r w:rsidRPr="00DD2C1A">
        <w:rPr>
          <w:lang w:val="en-US" w:eastAsia="ja-JP"/>
        </w:rPr>
        <w:t>C, W and E respectively) grown outside in plastic pots for 345 days. Six replicate plants for each species were exposed to double labeled (both NH</w:t>
      </w:r>
      <w:r w:rsidRPr="00DD2C1A">
        <w:rPr>
          <w:vertAlign w:val="subscript"/>
          <w:lang w:val="en-US" w:eastAsia="ja-JP"/>
        </w:rPr>
        <w:t>4</w:t>
      </w:r>
      <w:r w:rsidRPr="00DD2C1A">
        <w:rPr>
          <w:lang w:val="en-US" w:eastAsia="ja-JP"/>
        </w:rPr>
        <w:t>-N and NO</w:t>
      </w:r>
      <w:r w:rsidRPr="00DD2C1A">
        <w:rPr>
          <w:vertAlign w:val="subscript"/>
          <w:lang w:val="en-US" w:eastAsia="ja-JP"/>
        </w:rPr>
        <w:t>3</w:t>
      </w:r>
      <w:r w:rsidRPr="00DD2C1A">
        <w:rPr>
          <w:lang w:val="en-US" w:eastAsia="ja-JP"/>
        </w:rPr>
        <w:t>-N) 0.05 atom % depleted ammonium nitrate at five different addition rates (25, 50, 100, 200 and 300 ppm). Vertical bars represent ± one standard error. Values with the same letter corresponding to different species within a given fertilizer rate are not statistically significant (</w:t>
      </w:r>
      <w:r w:rsidRPr="00DD2C1A">
        <w:rPr>
          <w:i/>
          <w:iCs/>
          <w:lang w:val="en-US" w:eastAsia="ja-JP"/>
        </w:rPr>
        <w:t xml:space="preserve">p </w:t>
      </w:r>
      <w:r w:rsidRPr="00DD2C1A">
        <w:rPr>
          <w:lang w:val="en-US" w:eastAsia="ja-JP"/>
        </w:rPr>
        <w:t xml:space="preserve">&lt; 0.05; after log transformation to meet homogeneity of variance assumptions). </w:t>
      </w:r>
      <w:r w:rsidRPr="00DD2C1A">
        <w:rPr>
          <w:i/>
          <w:iCs/>
          <w:lang w:val="en-US" w:eastAsia="ja-JP"/>
        </w:rPr>
        <w:t>E. alatus</w:t>
      </w:r>
      <w:r w:rsidRPr="00DD2C1A">
        <w:rPr>
          <w:lang w:val="en-US" w:eastAsia="ja-JP"/>
        </w:rPr>
        <w:t xml:space="preserve"> has a smaller </w:t>
      </w:r>
      <w:r w:rsidRPr="00DD2C1A">
        <w:rPr>
          <w:vertAlign w:val="superscript"/>
          <w:lang w:val="en-US" w:eastAsia="ja-JP"/>
        </w:rPr>
        <w:t>15</w:t>
      </w:r>
      <w:r w:rsidRPr="00DD2C1A">
        <w:rPr>
          <w:lang w:val="en-US" w:eastAsia="ja-JP"/>
        </w:rPr>
        <w:t>N:</w:t>
      </w:r>
      <w:r w:rsidRPr="00DD2C1A">
        <w:rPr>
          <w:vertAlign w:val="superscript"/>
          <w:lang w:val="en-US" w:eastAsia="ja-JP"/>
        </w:rPr>
        <w:t>14</w:t>
      </w:r>
      <w:r w:rsidRPr="00DD2C1A">
        <w:rPr>
          <w:lang w:val="en-US" w:eastAsia="ja-JP"/>
        </w:rPr>
        <w:t xml:space="preserve">N ratio than the other two species at the three lowest N application rates. Data after </w:t>
      </w:r>
      <w:r w:rsidRPr="00DD2C1A">
        <w:rPr>
          <w:lang w:val="en-US"/>
        </w:rPr>
        <w:t>Sandrock et al. (2005).</w:t>
      </w:r>
    </w:p>
    <w:p w14:paraId="645B7AE6" w14:textId="77777777" w:rsidR="00BA7637" w:rsidRPr="002C7420" w:rsidRDefault="00BA7637" w:rsidP="000B02B9">
      <w:pPr>
        <w:ind w:left="0" w:right="14"/>
        <w:rPr>
          <w:rFonts w:asciiTheme="majorBidi" w:hAnsiTheme="majorBidi" w:cstheme="majorBidi"/>
        </w:rPr>
      </w:pPr>
      <w:r w:rsidRPr="008317EA">
        <w:rPr>
          <w:noProof/>
        </w:rPr>
        <w:lastRenderedPageBreak/>
        <w:drawing>
          <wp:inline distT="0" distB="0" distL="0" distR="0" wp14:anchorId="4CC07F14" wp14:editId="0FD8138F">
            <wp:extent cx="4580952" cy="2704762"/>
            <wp:effectExtent l="0" t="0" r="0" b="635"/>
            <wp:docPr id="1617652829" name="Picture 1" descr="A picture containing text, screensh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652829" name="Picture 1" descr="A picture containing text, screenshot, diagram&#10;&#10;Description automatically generated"/>
                    <pic:cNvPicPr/>
                  </pic:nvPicPr>
                  <pic:blipFill>
                    <a:blip r:embed="rId20"/>
                    <a:stretch>
                      <a:fillRect/>
                    </a:stretch>
                  </pic:blipFill>
                  <pic:spPr>
                    <a:xfrm>
                      <a:off x="0" y="0"/>
                      <a:ext cx="4580952" cy="2704762"/>
                    </a:xfrm>
                    <a:prstGeom prst="rect">
                      <a:avLst/>
                    </a:prstGeom>
                  </pic:spPr>
                </pic:pic>
              </a:graphicData>
            </a:graphic>
          </wp:inline>
        </w:drawing>
      </w:r>
    </w:p>
    <w:p w14:paraId="2486AE7C" w14:textId="48376A9F" w:rsidR="00BA7637" w:rsidRDefault="00BA7637" w:rsidP="000B02B9">
      <w:pPr>
        <w:pStyle w:val="Figurecaption"/>
        <w:spacing w:before="0" w:after="3" w:line="473" w:lineRule="auto"/>
        <w:ind w:right="14"/>
        <w:jc w:val="both"/>
        <w:rPr>
          <w:lang w:val="en-US"/>
        </w:rPr>
      </w:pPr>
      <w:r w:rsidRPr="00DD2C1A">
        <w:rPr>
          <w:lang w:val="en-US"/>
        </w:rPr>
        <w:t xml:space="preserve">Figure </w:t>
      </w:r>
      <w:r w:rsidR="000E4A64">
        <w:rPr>
          <w:lang w:val="en-US"/>
        </w:rPr>
        <w:t>S2</w:t>
      </w:r>
      <w:r w:rsidRPr="00DD2C1A">
        <w:rPr>
          <w:lang w:val="en-US"/>
        </w:rPr>
        <w:t>h.</w:t>
      </w:r>
      <w:r w:rsidRPr="00DD2C1A">
        <w:rPr>
          <w:lang w:val="en-US" w:eastAsia="ja-JP"/>
        </w:rPr>
        <w:t xml:space="preserve"> The potion of N derived from the fertilizer (NDFF) for shoots of three ornamental species (</w:t>
      </w:r>
      <w:r w:rsidRPr="00DD2C1A">
        <w:rPr>
          <w:i/>
          <w:iCs/>
          <w:lang w:val="en-US" w:eastAsia="ja-JP"/>
        </w:rPr>
        <w:t>Cornus sericea</w:t>
      </w:r>
      <w:r w:rsidRPr="00DD2C1A">
        <w:rPr>
          <w:lang w:val="en-US" w:eastAsia="ja-JP"/>
        </w:rPr>
        <w:t xml:space="preserve">, </w:t>
      </w:r>
      <w:r w:rsidRPr="00DD2C1A">
        <w:rPr>
          <w:i/>
          <w:iCs/>
          <w:lang w:val="en-US" w:eastAsia="ja-JP"/>
        </w:rPr>
        <w:t>Weigela florida</w:t>
      </w:r>
      <w:r w:rsidRPr="00DD2C1A">
        <w:rPr>
          <w:lang w:val="en-US" w:eastAsia="ja-JP"/>
        </w:rPr>
        <w:t xml:space="preserve">, </w:t>
      </w:r>
      <w:r w:rsidRPr="00DD2C1A">
        <w:rPr>
          <w:i/>
          <w:iCs/>
          <w:lang w:val="en-US" w:eastAsia="ja-JP"/>
        </w:rPr>
        <w:t xml:space="preserve">Euonymus alatus; </w:t>
      </w:r>
      <w:r w:rsidRPr="00DD2C1A">
        <w:rPr>
          <w:lang w:val="en-US" w:eastAsia="ja-JP"/>
        </w:rPr>
        <w:t>labeled</w:t>
      </w:r>
      <w:r w:rsidRPr="00DD2C1A">
        <w:rPr>
          <w:i/>
          <w:iCs/>
          <w:lang w:val="en-US" w:eastAsia="ja-JP"/>
        </w:rPr>
        <w:t xml:space="preserve"> </w:t>
      </w:r>
      <w:r w:rsidRPr="00DD2C1A">
        <w:rPr>
          <w:lang w:val="en-US" w:eastAsia="ja-JP"/>
        </w:rPr>
        <w:t>C, W and E respectively) grown outside in plastic pots for 345 days. Six replicate plants for each species were exposed to double labeled (both NH</w:t>
      </w:r>
      <w:r w:rsidRPr="00DD2C1A">
        <w:rPr>
          <w:vertAlign w:val="subscript"/>
          <w:lang w:val="en-US" w:eastAsia="ja-JP"/>
        </w:rPr>
        <w:t>4</w:t>
      </w:r>
      <w:r w:rsidRPr="00DD2C1A">
        <w:rPr>
          <w:lang w:val="en-US" w:eastAsia="ja-JP"/>
        </w:rPr>
        <w:t>-N and NO</w:t>
      </w:r>
      <w:r w:rsidRPr="00DD2C1A">
        <w:rPr>
          <w:vertAlign w:val="subscript"/>
          <w:lang w:val="en-US" w:eastAsia="ja-JP"/>
        </w:rPr>
        <w:t>3</w:t>
      </w:r>
      <w:r w:rsidRPr="00DD2C1A">
        <w:rPr>
          <w:lang w:val="en-US" w:eastAsia="ja-JP"/>
        </w:rPr>
        <w:t>-N) 0.05 atom % depleted ammonium nitrate at five different addition rates (25, 50, 100, 200 and 300 ppm). Vertical bars represent ± one standard error. Values with the same letter corresponding to different species within a given fertilizer rate are not statistically significant (</w:t>
      </w:r>
      <w:r w:rsidRPr="00DD2C1A">
        <w:rPr>
          <w:i/>
          <w:iCs/>
          <w:lang w:val="en-US" w:eastAsia="ja-JP"/>
        </w:rPr>
        <w:t xml:space="preserve">p </w:t>
      </w:r>
      <w:r w:rsidRPr="00DD2C1A">
        <w:rPr>
          <w:lang w:val="en-US" w:eastAsia="ja-JP"/>
        </w:rPr>
        <w:t xml:space="preserve">&lt; 0.05; after log transformation to meet homogeneity of variance assumptions). </w:t>
      </w:r>
      <w:r w:rsidRPr="00DD2C1A">
        <w:rPr>
          <w:i/>
          <w:iCs/>
          <w:lang w:val="en-US" w:eastAsia="ja-JP"/>
        </w:rPr>
        <w:t>E. alatus</w:t>
      </w:r>
      <w:r w:rsidRPr="00DD2C1A">
        <w:rPr>
          <w:lang w:val="en-US" w:eastAsia="ja-JP"/>
        </w:rPr>
        <w:t xml:space="preserve"> has greater NDFF than the other two species at the three lowest N application rates. Data after </w:t>
      </w:r>
      <w:r w:rsidRPr="00DD2C1A">
        <w:rPr>
          <w:lang w:val="en-US"/>
        </w:rPr>
        <w:t>Sandrock et al. (2005).</w:t>
      </w:r>
    </w:p>
    <w:p w14:paraId="5DE09839" w14:textId="7E9EFC62" w:rsidR="00BA7637" w:rsidRDefault="007E4695" w:rsidP="000B02B9">
      <w:pPr>
        <w:pStyle w:val="Newparagraph"/>
        <w:spacing w:after="3" w:line="473" w:lineRule="auto"/>
        <w:ind w:right="14" w:firstLine="0"/>
        <w:jc w:val="both"/>
        <w:rPr>
          <w:lang w:val="en-US" w:eastAsia="ja-JP"/>
        </w:rPr>
      </w:pPr>
      <w:r>
        <w:rPr>
          <w:lang w:val="en-US" w:eastAsia="ja-JP"/>
        </w:rPr>
        <w:t>-</w:t>
      </w:r>
    </w:p>
    <w:p w14:paraId="0C3C9FFF" w14:textId="598A8E6F" w:rsidR="00BA7637" w:rsidRPr="00DD2C1A" w:rsidRDefault="00BA7637" w:rsidP="000B02B9">
      <w:pPr>
        <w:pStyle w:val="Newparagraph"/>
        <w:spacing w:after="3" w:line="473" w:lineRule="auto"/>
        <w:ind w:right="14"/>
        <w:jc w:val="both"/>
        <w:rPr>
          <w:rFonts w:asciiTheme="majorBidi" w:hAnsiTheme="majorBidi" w:cstheme="majorBidi"/>
          <w:lang w:val="en-US"/>
        </w:rPr>
      </w:pPr>
      <w:r w:rsidRPr="00DD2C1A">
        <w:rPr>
          <w:rFonts w:asciiTheme="majorBidi" w:hAnsiTheme="majorBidi" w:cstheme="majorBidi"/>
          <w:lang w:val="en-US" w:eastAsia="ja-JP"/>
        </w:rPr>
        <w:t xml:space="preserve">Without measuring total pool size (total N), </w:t>
      </w:r>
      <w:r>
        <w:rPr>
          <w:rFonts w:asciiTheme="majorBidi" w:hAnsiTheme="majorBidi" w:cstheme="majorBidi"/>
          <w:lang w:val="en-US" w:eastAsia="ja-JP"/>
        </w:rPr>
        <w:t xml:space="preserve">and plotting </w:t>
      </w:r>
      <w:r w:rsidRPr="00F20450">
        <w:rPr>
          <w:rFonts w:asciiTheme="majorBidi" w:hAnsiTheme="majorBidi" w:cstheme="majorBidi"/>
          <w:vertAlign w:val="superscript"/>
          <w:lang w:val="en-US" w:eastAsia="ja-JP"/>
        </w:rPr>
        <w:t>14</w:t>
      </w:r>
      <w:r>
        <w:rPr>
          <w:rFonts w:asciiTheme="majorBidi" w:hAnsiTheme="majorBidi" w:cstheme="majorBidi"/>
          <w:lang w:val="en-US" w:eastAsia="ja-JP"/>
        </w:rPr>
        <w:t xml:space="preserve">N vs. </w:t>
      </w:r>
      <w:r w:rsidRPr="00F20450">
        <w:rPr>
          <w:rFonts w:asciiTheme="majorBidi" w:hAnsiTheme="majorBidi" w:cstheme="majorBidi"/>
          <w:vertAlign w:val="superscript"/>
          <w:lang w:val="en-US" w:eastAsia="ja-JP"/>
        </w:rPr>
        <w:t>15</w:t>
      </w:r>
      <w:r>
        <w:rPr>
          <w:rFonts w:asciiTheme="majorBidi" w:hAnsiTheme="majorBidi" w:cstheme="majorBidi"/>
          <w:lang w:val="en-US" w:eastAsia="ja-JP"/>
        </w:rPr>
        <w:t xml:space="preserve">N in mmoles / shoot (Figure </w:t>
      </w:r>
      <w:r w:rsidR="000E4A64">
        <w:rPr>
          <w:rFonts w:asciiTheme="majorBidi" w:hAnsiTheme="majorBidi" w:cstheme="majorBidi"/>
          <w:lang w:val="en-US" w:eastAsia="ja-JP"/>
        </w:rPr>
        <w:t>S</w:t>
      </w:r>
      <w:r>
        <w:rPr>
          <w:rFonts w:asciiTheme="majorBidi" w:hAnsiTheme="majorBidi" w:cstheme="majorBidi"/>
          <w:lang w:val="en-US" w:eastAsia="ja-JP"/>
        </w:rPr>
        <w:t xml:space="preserve">2a), </w:t>
      </w:r>
      <w:r w:rsidRPr="00DD2C1A">
        <w:rPr>
          <w:rFonts w:asciiTheme="majorBidi" w:hAnsiTheme="majorBidi" w:cstheme="majorBidi"/>
          <w:lang w:val="en-US" w:eastAsia="ja-JP"/>
        </w:rPr>
        <w:t xml:space="preserve">scaling issues </w:t>
      </w:r>
      <w:r w:rsidR="00CD3B43">
        <w:rPr>
          <w:rFonts w:asciiTheme="majorBidi" w:hAnsiTheme="majorBidi" w:cstheme="majorBidi"/>
          <w:lang w:val="en-US" w:eastAsia="ja-JP"/>
        </w:rPr>
        <w:t xml:space="preserve">are </w:t>
      </w:r>
      <w:r w:rsidRPr="00DD2C1A">
        <w:rPr>
          <w:rFonts w:asciiTheme="majorBidi" w:hAnsiTheme="majorBidi" w:cstheme="majorBidi"/>
          <w:lang w:val="en-US" w:eastAsia="ja-JP"/>
        </w:rPr>
        <w:t>not detected. In trophic level studies (Figure</w:t>
      </w:r>
      <w:r w:rsidR="00B6012E">
        <w:rPr>
          <w:rFonts w:asciiTheme="majorBidi" w:hAnsiTheme="majorBidi" w:cstheme="majorBidi"/>
          <w:lang w:val="en-US" w:eastAsia="ja-JP"/>
        </w:rPr>
        <w:t>s</w:t>
      </w:r>
      <w:r w:rsidRPr="00DD2C1A">
        <w:rPr>
          <w:rFonts w:asciiTheme="majorBidi" w:hAnsiTheme="majorBidi" w:cstheme="majorBidi"/>
          <w:lang w:val="en-US" w:eastAsia="ja-JP"/>
        </w:rPr>
        <w:t xml:space="preserve"> </w:t>
      </w:r>
      <w:r w:rsidR="000E4A64">
        <w:rPr>
          <w:rFonts w:asciiTheme="majorBidi" w:hAnsiTheme="majorBidi" w:cstheme="majorBidi"/>
          <w:lang w:val="en-US" w:eastAsia="ja-JP"/>
        </w:rPr>
        <w:t>S</w:t>
      </w:r>
      <w:r w:rsidRPr="00DD2C1A">
        <w:rPr>
          <w:rFonts w:asciiTheme="majorBidi" w:hAnsiTheme="majorBidi" w:cstheme="majorBidi"/>
          <w:lang w:val="en-US" w:eastAsia="ja-JP"/>
        </w:rPr>
        <w:t xml:space="preserve">1), differences in N concentration (that can sometimes be large) can help detect scaling difficulties. The method of choice, however, is quantifying total N. This will cause obvious logistical difficulties in some trophic studies with large animal size, but it is always important to know if one is dealing with a scaling system. Had only %N been measured here, the fact that </w:t>
      </w:r>
      <w:r w:rsidRPr="00DD2C1A">
        <w:rPr>
          <w:rFonts w:asciiTheme="majorBidi" w:hAnsiTheme="majorBidi" w:cstheme="majorBidi"/>
          <w:i/>
          <w:iCs/>
          <w:lang w:val="en-US" w:eastAsia="ja-JP"/>
        </w:rPr>
        <w:t>E. alatus</w:t>
      </w:r>
      <w:r w:rsidRPr="00DD2C1A">
        <w:rPr>
          <w:rFonts w:asciiTheme="majorBidi" w:hAnsiTheme="majorBidi" w:cstheme="majorBidi"/>
          <w:lang w:val="en-US" w:eastAsia="ja-JP"/>
        </w:rPr>
        <w:t xml:space="preserve"> </w:t>
      </w:r>
      <w:r w:rsidRPr="00DD2C1A">
        <w:rPr>
          <w:rFonts w:asciiTheme="majorBidi" w:hAnsiTheme="majorBidi" w:cstheme="majorBidi"/>
          <w:vertAlign w:val="superscript"/>
          <w:lang w:val="en-US" w:eastAsia="ja-JP"/>
        </w:rPr>
        <w:t>15</w:t>
      </w:r>
      <w:r w:rsidRPr="00DD2C1A">
        <w:rPr>
          <w:rFonts w:asciiTheme="majorBidi" w:hAnsiTheme="majorBidi" w:cstheme="majorBidi"/>
          <w:lang w:val="en-US" w:eastAsia="ja-JP"/>
        </w:rPr>
        <w:t>N:</w:t>
      </w:r>
      <w:r w:rsidRPr="00DD2C1A">
        <w:rPr>
          <w:rFonts w:asciiTheme="majorBidi" w:hAnsiTheme="majorBidi" w:cstheme="majorBidi"/>
          <w:vertAlign w:val="superscript"/>
          <w:lang w:val="en-US" w:eastAsia="ja-JP"/>
        </w:rPr>
        <w:t>14</w:t>
      </w:r>
      <w:r w:rsidRPr="00DD2C1A">
        <w:rPr>
          <w:rFonts w:asciiTheme="majorBidi" w:hAnsiTheme="majorBidi" w:cstheme="majorBidi"/>
          <w:lang w:val="en-US" w:eastAsia="ja-JP"/>
        </w:rPr>
        <w:t xml:space="preserve">N ratios and NDFF differences are likely caused by scaling relationships rather than physiological factors </w:t>
      </w:r>
      <w:r w:rsidRPr="00DD2C1A">
        <w:rPr>
          <w:rFonts w:asciiTheme="majorBidi" w:hAnsiTheme="majorBidi" w:cstheme="majorBidi"/>
          <w:lang w:val="en-US" w:eastAsia="ja-JP"/>
        </w:rPr>
        <w:lastRenderedPageBreak/>
        <w:t xml:space="preserve">would not have been detected. All three species have similar %N but vary greatly in total N. The same argument applies </w:t>
      </w:r>
      <w:r>
        <w:rPr>
          <w:rFonts w:asciiTheme="majorBidi" w:hAnsiTheme="majorBidi" w:cstheme="majorBidi"/>
          <w:lang w:val="en-US" w:eastAsia="ja-JP"/>
        </w:rPr>
        <w:t xml:space="preserve">to advantages in measuring </w:t>
      </w:r>
      <w:r w:rsidRPr="00DD2C1A">
        <w:rPr>
          <w:rFonts w:asciiTheme="majorBidi" w:hAnsiTheme="majorBidi" w:cstheme="majorBidi"/>
          <w:lang w:val="en-US" w:eastAsia="ja-JP"/>
        </w:rPr>
        <w:t xml:space="preserve">total pool size </w:t>
      </w:r>
      <w:r>
        <w:rPr>
          <w:rFonts w:asciiTheme="majorBidi" w:hAnsiTheme="majorBidi" w:cstheme="majorBidi"/>
          <w:lang w:val="en-US" w:eastAsia="ja-JP"/>
        </w:rPr>
        <w:t xml:space="preserve">(elemental content </w:t>
      </w:r>
      <w:r w:rsidRPr="00DD2C1A">
        <w:rPr>
          <w:rFonts w:asciiTheme="majorBidi" w:hAnsiTheme="majorBidi" w:cstheme="majorBidi"/>
          <w:lang w:val="en-US" w:eastAsia="ja-JP"/>
        </w:rPr>
        <w:t>differences</w:t>
      </w:r>
      <w:r>
        <w:rPr>
          <w:rFonts w:asciiTheme="majorBidi" w:hAnsiTheme="majorBidi" w:cstheme="majorBidi"/>
          <w:lang w:val="en-US" w:eastAsia="ja-JP"/>
        </w:rPr>
        <w:t>) rather than concentrations</w:t>
      </w:r>
      <w:r w:rsidRPr="00DD2C1A">
        <w:rPr>
          <w:rFonts w:asciiTheme="majorBidi" w:hAnsiTheme="majorBidi" w:cstheme="majorBidi"/>
          <w:lang w:val="en-US" w:eastAsia="ja-JP"/>
        </w:rPr>
        <w:t xml:space="preserve"> in broader ecological or geochemical studies. </w:t>
      </w:r>
    </w:p>
    <w:p w14:paraId="0CD2B296" w14:textId="77777777" w:rsidR="00BA7637" w:rsidRPr="007E4695" w:rsidRDefault="00BA7637" w:rsidP="000B02B9">
      <w:pPr>
        <w:pStyle w:val="Heading1"/>
        <w:spacing w:after="3" w:line="473" w:lineRule="auto"/>
        <w:ind w:left="0" w:right="14"/>
        <w:jc w:val="both"/>
        <w:rPr>
          <w:rFonts w:ascii="Times New Roman" w:hAnsi="Times New Roman" w:cs="Times New Roman"/>
          <w:sz w:val="24"/>
          <w:szCs w:val="24"/>
          <w:lang w:eastAsia="ja-JP"/>
        </w:rPr>
      </w:pPr>
      <w:r w:rsidRPr="007E4695">
        <w:rPr>
          <w:rFonts w:ascii="Times New Roman" w:hAnsi="Times New Roman" w:cs="Times New Roman"/>
          <w:sz w:val="24"/>
          <w:szCs w:val="24"/>
          <w:lang w:eastAsia="ja-JP"/>
        </w:rPr>
        <w:t xml:space="preserve">4.3 Study 3) Source and Background Analyses Improve Interpretation of </w:t>
      </w:r>
      <w:r w:rsidRPr="007E4695">
        <w:rPr>
          <w:rFonts w:ascii="Times New Roman" w:hAnsi="Times New Roman" w:cs="Times New Roman"/>
          <w:sz w:val="24"/>
          <w:szCs w:val="24"/>
          <w:vertAlign w:val="superscript"/>
          <w:lang w:eastAsia="ja-JP"/>
        </w:rPr>
        <w:t>13</w:t>
      </w:r>
      <w:r w:rsidRPr="007E4695">
        <w:rPr>
          <w:rFonts w:ascii="Times New Roman" w:hAnsi="Times New Roman" w:cs="Times New Roman"/>
          <w:sz w:val="24"/>
          <w:szCs w:val="24"/>
          <w:lang w:eastAsia="ja-JP"/>
        </w:rPr>
        <w:t xml:space="preserve">C and </w:t>
      </w:r>
      <w:r w:rsidRPr="007E4695">
        <w:rPr>
          <w:rFonts w:ascii="Times New Roman" w:hAnsi="Times New Roman" w:cs="Times New Roman"/>
          <w:sz w:val="24"/>
          <w:szCs w:val="24"/>
          <w:vertAlign w:val="superscript"/>
          <w:lang w:eastAsia="ja-JP"/>
        </w:rPr>
        <w:t>34</w:t>
      </w:r>
      <w:r w:rsidRPr="007E4695">
        <w:rPr>
          <w:rFonts w:ascii="Times New Roman" w:hAnsi="Times New Roman" w:cs="Times New Roman"/>
          <w:sz w:val="24"/>
          <w:szCs w:val="24"/>
          <w:lang w:eastAsia="ja-JP"/>
        </w:rPr>
        <w:t>S Isotopic Data from Mars.</w:t>
      </w:r>
    </w:p>
    <w:p w14:paraId="0A19D9C5" w14:textId="77777777" w:rsidR="00BA7637" w:rsidRPr="00DD2C1A" w:rsidRDefault="00BA7637" w:rsidP="000B02B9">
      <w:pPr>
        <w:pStyle w:val="Paragraph"/>
        <w:spacing w:before="0" w:after="3" w:line="473" w:lineRule="auto"/>
        <w:ind w:right="14"/>
        <w:jc w:val="both"/>
        <w:rPr>
          <w:lang w:val="en-US" w:eastAsia="ja-JP"/>
        </w:rPr>
      </w:pPr>
      <w:r w:rsidRPr="00DD2C1A">
        <w:rPr>
          <w:lang w:val="en-US" w:eastAsia="ja-JP"/>
        </w:rPr>
        <w:t xml:space="preserve">Determining whether life does or has existed on Mars is an omnipresent question. Obtaining isotopic information for organic carbon from Martian sediments has potential to elucidate the origin of such carbon with possible implications on whether life ever existed on Mars. Carbon with depleted </w:t>
      </w:r>
      <w:r w:rsidRPr="00DD2C1A">
        <w:rPr>
          <w:lang w:val="en-US"/>
        </w:rPr>
        <w:t>δ</w:t>
      </w:r>
      <w:r w:rsidRPr="00DD2C1A">
        <w:rPr>
          <w:vertAlign w:val="superscript"/>
          <w:lang w:val="en-US" w:eastAsia="ja-JP"/>
        </w:rPr>
        <w:t>13</w:t>
      </w:r>
      <w:r w:rsidRPr="00DD2C1A">
        <w:rPr>
          <w:lang w:val="en-US" w:eastAsia="ja-JP"/>
        </w:rPr>
        <w:t xml:space="preserve">C in Earth’s marine sediments </w:t>
      </w:r>
      <w:r>
        <w:rPr>
          <w:lang w:val="en-US" w:eastAsia="ja-JP"/>
        </w:rPr>
        <w:t>is</w:t>
      </w:r>
      <w:r w:rsidRPr="00DD2C1A">
        <w:rPr>
          <w:lang w:val="en-US" w:eastAsia="ja-JP"/>
        </w:rPr>
        <w:t xml:space="preserve"> an indication of biological methane production by primitive </w:t>
      </w:r>
      <w:r w:rsidRPr="00DD2C1A">
        <w:rPr>
          <w:lang w:val="en-US"/>
        </w:rPr>
        <w:t>archaebacteria (Hinrichs et al. 1999).</w:t>
      </w:r>
    </w:p>
    <w:p w14:paraId="1CC413AA" w14:textId="2B3CDFA9" w:rsidR="00BA7637" w:rsidRDefault="00BA7637" w:rsidP="000B02B9">
      <w:pPr>
        <w:pStyle w:val="Newparagraph"/>
        <w:spacing w:after="3" w:line="473" w:lineRule="auto"/>
        <w:ind w:right="14"/>
        <w:jc w:val="both"/>
        <w:rPr>
          <w:lang w:val="en-US" w:eastAsia="ja-JP"/>
        </w:rPr>
      </w:pPr>
      <w:r w:rsidRPr="00DD2C1A">
        <w:rPr>
          <w:lang w:val="en-US" w:eastAsia="ja-JP"/>
        </w:rPr>
        <w:t xml:space="preserve">The National Aeronautics and Space Administration (NASA) used the Curiosity rover on Mars to collect and analyze sediments for both </w:t>
      </w:r>
      <w:r w:rsidRPr="00DD2C1A">
        <w:rPr>
          <w:vertAlign w:val="superscript"/>
          <w:lang w:val="en-US" w:eastAsia="ja-JP"/>
        </w:rPr>
        <w:t>13</w:t>
      </w:r>
      <w:r w:rsidRPr="00DD2C1A">
        <w:rPr>
          <w:lang w:val="en-US" w:eastAsia="ja-JP"/>
        </w:rPr>
        <w:t xml:space="preserve">C and </w:t>
      </w:r>
      <w:r w:rsidRPr="00DD2C1A">
        <w:rPr>
          <w:vertAlign w:val="superscript"/>
          <w:lang w:val="en-US" w:eastAsia="ja-JP"/>
        </w:rPr>
        <w:t>34</w:t>
      </w:r>
      <w:r w:rsidRPr="00DD2C1A">
        <w:rPr>
          <w:lang w:val="en-US" w:eastAsia="ja-JP"/>
        </w:rPr>
        <w:t xml:space="preserve">S and then speculated on possible causes for the depleted </w:t>
      </w:r>
      <w:r w:rsidRPr="00DD2C1A">
        <w:rPr>
          <w:vertAlign w:val="superscript"/>
          <w:lang w:val="en-US" w:eastAsia="ja-JP"/>
        </w:rPr>
        <w:t>13</w:t>
      </w:r>
      <w:r w:rsidRPr="00DD2C1A">
        <w:rPr>
          <w:lang w:val="en-US" w:eastAsia="ja-JP"/>
        </w:rPr>
        <w:t xml:space="preserve">C samples detected. House et al. (2022) present data on 24 Gale crater samples from different aged sediments. </w:t>
      </w:r>
      <w:r w:rsidR="000423EA">
        <w:rPr>
          <w:lang w:val="en-US" w:eastAsia="ja-JP"/>
        </w:rPr>
        <w:t xml:space="preserve">Ten measured samples with </w:t>
      </w:r>
      <w:r w:rsidR="000423EA" w:rsidRPr="00DD2C1A">
        <w:rPr>
          <w:lang w:val="en-US"/>
        </w:rPr>
        <w:t>δ</w:t>
      </w:r>
      <w:r w:rsidR="000423EA" w:rsidRPr="00DD2C1A">
        <w:rPr>
          <w:vertAlign w:val="superscript"/>
          <w:lang w:val="en-US" w:eastAsia="ja-JP"/>
        </w:rPr>
        <w:t>13</w:t>
      </w:r>
      <w:r w:rsidR="000423EA" w:rsidRPr="00DD2C1A">
        <w:rPr>
          <w:lang w:val="en-US" w:eastAsia="ja-JP"/>
        </w:rPr>
        <w:t>C</w:t>
      </w:r>
      <w:r w:rsidR="000423EA">
        <w:rPr>
          <w:lang w:val="en-US" w:eastAsia="ja-JP"/>
        </w:rPr>
        <w:t xml:space="preserve"> values less than -70 were found </w:t>
      </w:r>
      <w:r w:rsidR="00A95CF3">
        <w:rPr>
          <w:lang w:val="en-US" w:eastAsia="ja-JP"/>
        </w:rPr>
        <w:t>in</w:t>
      </w:r>
      <w:r w:rsidR="000423EA">
        <w:rPr>
          <w:lang w:val="en-US" w:eastAsia="ja-JP"/>
        </w:rPr>
        <w:t xml:space="preserve"> samples from four </w:t>
      </w:r>
      <w:r w:rsidR="00B35B0B">
        <w:rPr>
          <w:lang w:val="en-US" w:eastAsia="ja-JP"/>
        </w:rPr>
        <w:t xml:space="preserve">different </w:t>
      </w:r>
      <w:r w:rsidR="000423EA">
        <w:rPr>
          <w:lang w:val="en-US" w:eastAsia="ja-JP"/>
        </w:rPr>
        <w:t>sediment</w:t>
      </w:r>
      <w:r w:rsidR="00B35B0B">
        <w:rPr>
          <w:lang w:val="en-US" w:eastAsia="ja-JP"/>
        </w:rPr>
        <w:t>s</w:t>
      </w:r>
      <w:r w:rsidR="000423EA">
        <w:rPr>
          <w:lang w:val="en-US" w:eastAsia="ja-JP"/>
        </w:rPr>
        <w:t xml:space="preserve">. </w:t>
      </w:r>
      <w:r w:rsidRPr="00DD2C1A">
        <w:rPr>
          <w:lang w:val="en-US" w:eastAsia="ja-JP"/>
        </w:rPr>
        <w:t>The expanded re</w:t>
      </w:r>
      <w:r>
        <w:rPr>
          <w:lang w:val="en-US" w:eastAsia="ja-JP"/>
        </w:rPr>
        <w:t>-</w:t>
      </w:r>
      <w:r w:rsidRPr="00DD2C1A">
        <w:rPr>
          <w:lang w:val="en-US" w:eastAsia="ja-JP"/>
        </w:rPr>
        <w:t xml:space="preserve">evaluations presented here include </w:t>
      </w:r>
      <w:r w:rsidR="000423EA" w:rsidRPr="00DD2C1A">
        <w:rPr>
          <w:lang w:val="en-US" w:eastAsia="ja-JP"/>
        </w:rPr>
        <w:t xml:space="preserve">denominator vs. numerator </w:t>
      </w:r>
      <w:r w:rsidR="00F2031B">
        <w:rPr>
          <w:lang w:val="en-US" w:eastAsia="ja-JP"/>
        </w:rPr>
        <w:t xml:space="preserve">plots </w:t>
      </w:r>
      <w:r w:rsidR="000423EA">
        <w:rPr>
          <w:lang w:val="en-US" w:eastAsia="ja-JP"/>
        </w:rPr>
        <w:t xml:space="preserve">and </w:t>
      </w:r>
      <w:r w:rsidRPr="00DD2C1A">
        <w:rPr>
          <w:lang w:val="en-US" w:eastAsia="ja-JP"/>
        </w:rPr>
        <w:t>mixing diagram</w:t>
      </w:r>
      <w:r w:rsidR="00C70A7D">
        <w:rPr>
          <w:lang w:val="en-US" w:eastAsia="ja-JP"/>
        </w:rPr>
        <w:t xml:space="preserve"> </w:t>
      </w:r>
      <w:r w:rsidR="00C70A7D" w:rsidRPr="00DD2C1A">
        <w:rPr>
          <w:lang w:val="en-US" w:eastAsia="ja-JP"/>
        </w:rPr>
        <w:t>source analyses</w:t>
      </w:r>
      <w:r w:rsidRPr="00DD2C1A">
        <w:rPr>
          <w:lang w:val="en-US" w:eastAsia="ja-JP"/>
        </w:rPr>
        <w:t xml:space="preserve"> that House et al. (2022) did not conduct. These re</w:t>
      </w:r>
      <w:r>
        <w:rPr>
          <w:lang w:val="en-US" w:eastAsia="ja-JP"/>
        </w:rPr>
        <w:t>-</w:t>
      </w:r>
      <w:r w:rsidRPr="00DD2C1A">
        <w:rPr>
          <w:lang w:val="en-US" w:eastAsia="ja-JP"/>
        </w:rPr>
        <w:t xml:space="preserve">evaluations indicate Martian sediments differ in sources and backgrounds for both </w:t>
      </w:r>
      <w:r w:rsidRPr="00DD2C1A">
        <w:rPr>
          <w:vertAlign w:val="superscript"/>
          <w:lang w:val="en-US" w:eastAsia="ja-JP"/>
        </w:rPr>
        <w:t>13</w:t>
      </w:r>
      <w:r w:rsidRPr="00DD2C1A">
        <w:rPr>
          <w:lang w:val="en-US" w:eastAsia="ja-JP"/>
        </w:rPr>
        <w:t xml:space="preserve">C and </w:t>
      </w:r>
      <w:r w:rsidRPr="00DD2C1A">
        <w:rPr>
          <w:vertAlign w:val="superscript"/>
          <w:lang w:val="en-US" w:eastAsia="ja-JP"/>
        </w:rPr>
        <w:t>34</w:t>
      </w:r>
      <w:r w:rsidRPr="00DD2C1A">
        <w:rPr>
          <w:lang w:val="en-US" w:eastAsia="ja-JP"/>
        </w:rPr>
        <w:t xml:space="preserve">S, and further suggest that much of the observed variability in </w:t>
      </w:r>
      <w:r w:rsidRPr="00DD2C1A">
        <w:rPr>
          <w:lang w:val="en-US"/>
        </w:rPr>
        <w:t>δ</w:t>
      </w:r>
      <w:r w:rsidRPr="00DD2C1A">
        <w:rPr>
          <w:vertAlign w:val="superscript"/>
          <w:lang w:val="en-US" w:eastAsia="ja-JP"/>
        </w:rPr>
        <w:t>13</w:t>
      </w:r>
      <w:r w:rsidRPr="00DD2C1A">
        <w:rPr>
          <w:lang w:val="en-US" w:eastAsia="ja-JP"/>
        </w:rPr>
        <w:t xml:space="preserve">C and </w:t>
      </w:r>
      <w:r w:rsidRPr="00DD2C1A">
        <w:rPr>
          <w:lang w:val="en-US"/>
        </w:rPr>
        <w:t>δ</w:t>
      </w:r>
      <w:r w:rsidRPr="00DD2C1A">
        <w:rPr>
          <w:vertAlign w:val="superscript"/>
          <w:lang w:val="en-US" w:eastAsia="ja-JP"/>
        </w:rPr>
        <w:t>34</w:t>
      </w:r>
      <w:r w:rsidRPr="00DD2C1A">
        <w:rPr>
          <w:lang w:val="en-US" w:eastAsia="ja-JP"/>
        </w:rPr>
        <w:t xml:space="preserve">S is driven by total C and S concentrations, respectively. </w:t>
      </w:r>
    </w:p>
    <w:p w14:paraId="1DBC80C4" w14:textId="1EC920FE" w:rsidR="000423EA" w:rsidRPr="00DD2C1A" w:rsidRDefault="000423EA" w:rsidP="00E3116C">
      <w:pPr>
        <w:pStyle w:val="Newparagraph"/>
        <w:spacing w:after="3" w:line="473" w:lineRule="auto"/>
        <w:ind w:right="14"/>
        <w:jc w:val="both"/>
        <w:rPr>
          <w:lang w:val="en-US" w:eastAsia="ja-JP"/>
        </w:rPr>
      </w:pPr>
      <w:r>
        <w:rPr>
          <w:lang w:val="en-US" w:eastAsia="ja-JP"/>
        </w:rPr>
        <w:t xml:space="preserve">We will argue that scaling effects rather than </w:t>
      </w:r>
      <w:r w:rsidR="006A4B66" w:rsidRPr="00DD2C1A">
        <w:rPr>
          <w:vertAlign w:val="superscript"/>
          <w:lang w:val="en-US" w:eastAsia="ja-JP"/>
        </w:rPr>
        <w:t>13</w:t>
      </w:r>
      <w:r w:rsidR="006A4B66" w:rsidRPr="00DD2C1A">
        <w:rPr>
          <w:lang w:val="en-US" w:eastAsia="ja-JP"/>
        </w:rPr>
        <w:t>C</w:t>
      </w:r>
      <w:r w:rsidR="006A4B66">
        <w:rPr>
          <w:lang w:val="en-US" w:eastAsia="ja-JP"/>
        </w:rPr>
        <w:t xml:space="preserve"> depleted sources account for the highly depleted </w:t>
      </w:r>
      <w:r w:rsidR="006A4B66" w:rsidRPr="00DD2C1A">
        <w:rPr>
          <w:lang w:val="en-US"/>
        </w:rPr>
        <w:t>δ</w:t>
      </w:r>
      <w:r w:rsidR="006A4B66" w:rsidRPr="00DD2C1A">
        <w:rPr>
          <w:vertAlign w:val="superscript"/>
          <w:lang w:val="en-US" w:eastAsia="ja-JP"/>
        </w:rPr>
        <w:t>13</w:t>
      </w:r>
      <w:r w:rsidR="006A4B66" w:rsidRPr="00DD2C1A">
        <w:rPr>
          <w:lang w:val="en-US" w:eastAsia="ja-JP"/>
        </w:rPr>
        <w:t>C</w:t>
      </w:r>
      <w:r w:rsidR="006A4B66">
        <w:rPr>
          <w:lang w:val="en-US" w:eastAsia="ja-JP"/>
        </w:rPr>
        <w:t xml:space="preserve"> samples in the younge</w:t>
      </w:r>
      <w:r w:rsidR="00E3116C">
        <w:rPr>
          <w:lang w:val="en-US" w:eastAsia="ja-JP"/>
        </w:rPr>
        <w:t>r</w:t>
      </w:r>
      <w:r w:rsidR="006A4B66">
        <w:rPr>
          <w:lang w:val="en-US" w:eastAsia="ja-JP"/>
        </w:rPr>
        <w:t xml:space="preserve"> Caroline Shoemaker</w:t>
      </w:r>
      <w:r w:rsidR="00CF6849">
        <w:rPr>
          <w:lang w:val="en-US" w:eastAsia="ja-JP"/>
        </w:rPr>
        <w:t>,</w:t>
      </w:r>
      <w:r w:rsidR="006A4B66">
        <w:rPr>
          <w:lang w:val="en-US" w:eastAsia="ja-JP"/>
        </w:rPr>
        <w:t xml:space="preserve"> Murray </w:t>
      </w:r>
      <w:r w:rsidR="00CF6849">
        <w:rPr>
          <w:lang w:val="en-US" w:eastAsia="ja-JP"/>
        </w:rPr>
        <w:t xml:space="preserve">and Stimson </w:t>
      </w:r>
      <w:r w:rsidR="006A4B66">
        <w:rPr>
          <w:lang w:val="en-US" w:eastAsia="ja-JP"/>
        </w:rPr>
        <w:t xml:space="preserve">sediments. Depleted samples in the </w:t>
      </w:r>
      <w:r w:rsidR="00E3116C">
        <w:rPr>
          <w:lang w:val="en-US" w:eastAsia="ja-JP"/>
        </w:rPr>
        <w:t xml:space="preserve">older </w:t>
      </w:r>
      <w:r w:rsidR="006A4B66">
        <w:rPr>
          <w:lang w:val="en-US" w:eastAsia="ja-JP"/>
        </w:rPr>
        <w:t>S</w:t>
      </w:r>
      <w:r w:rsidR="008439D8">
        <w:rPr>
          <w:lang w:val="en-US" w:eastAsia="ja-JP"/>
        </w:rPr>
        <w:t>heep</w:t>
      </w:r>
      <w:r w:rsidR="0006556A">
        <w:rPr>
          <w:lang w:val="en-US" w:eastAsia="ja-JP"/>
        </w:rPr>
        <w:t>be</w:t>
      </w:r>
      <w:r w:rsidR="008439D8">
        <w:rPr>
          <w:lang w:val="en-US" w:eastAsia="ja-JP"/>
        </w:rPr>
        <w:t>d</w:t>
      </w:r>
      <w:r w:rsidR="006A4B66">
        <w:rPr>
          <w:lang w:val="en-US" w:eastAsia="ja-JP"/>
        </w:rPr>
        <w:t xml:space="preserve"> sediment</w:t>
      </w:r>
      <w:r w:rsidR="008439D8">
        <w:rPr>
          <w:lang w:val="en-US" w:eastAsia="ja-JP"/>
        </w:rPr>
        <w:t xml:space="preserve"> samples</w:t>
      </w:r>
      <w:r w:rsidR="006A4B66">
        <w:rPr>
          <w:lang w:val="en-US" w:eastAsia="ja-JP"/>
        </w:rPr>
        <w:t xml:space="preserve"> can be attributed to depleted </w:t>
      </w:r>
      <w:r w:rsidR="006A4B66" w:rsidRPr="006A4B66">
        <w:rPr>
          <w:vertAlign w:val="superscript"/>
          <w:lang w:val="en-US" w:eastAsia="ja-JP"/>
        </w:rPr>
        <w:t>13</w:t>
      </w:r>
      <w:r w:rsidR="006A4B66">
        <w:rPr>
          <w:lang w:val="en-US" w:eastAsia="ja-JP"/>
        </w:rPr>
        <w:t xml:space="preserve">C sources. </w:t>
      </w:r>
    </w:p>
    <w:p w14:paraId="293323F8" w14:textId="4B645126" w:rsidR="00BA7637" w:rsidRPr="00DD2C1A" w:rsidRDefault="00BA7637" w:rsidP="000B02B9">
      <w:pPr>
        <w:pStyle w:val="Newparagraph"/>
        <w:spacing w:after="3" w:line="473" w:lineRule="auto"/>
        <w:ind w:right="14"/>
        <w:jc w:val="both"/>
        <w:rPr>
          <w:lang w:val="en-US" w:eastAsia="ja-JP"/>
        </w:rPr>
      </w:pPr>
      <w:r w:rsidRPr="00DD2C1A">
        <w:rPr>
          <w:lang w:val="en-US" w:eastAsia="ja-JP"/>
        </w:rPr>
        <w:t xml:space="preserve">To create Martian </w:t>
      </w:r>
      <w:r w:rsidR="003834DA">
        <w:rPr>
          <w:lang w:val="en-US" w:eastAsia="ja-JP"/>
        </w:rPr>
        <w:t xml:space="preserve">denominator vs. numerator plots and </w:t>
      </w:r>
      <w:r w:rsidRPr="00DD2C1A">
        <w:rPr>
          <w:lang w:val="en-US" w:eastAsia="ja-JP"/>
        </w:rPr>
        <w:t xml:space="preserve">mixing diagrams, the TLS nmole concentrations in Table 1 </w:t>
      </w:r>
      <w:r w:rsidR="001245EA">
        <w:rPr>
          <w:lang w:val="en-US" w:eastAsia="ja-JP"/>
        </w:rPr>
        <w:t xml:space="preserve">for methane </w:t>
      </w:r>
      <w:r w:rsidRPr="00DD2C1A">
        <w:rPr>
          <w:lang w:val="en-US" w:eastAsia="ja-JP"/>
        </w:rPr>
        <w:t xml:space="preserve">and the </w:t>
      </w:r>
      <w:r w:rsidR="009C775D">
        <w:rPr>
          <w:lang w:val="en-US" w:eastAsia="ja-JP"/>
        </w:rPr>
        <w:t xml:space="preserve">BSW nmole </w:t>
      </w:r>
      <w:r w:rsidR="001245EA">
        <w:rPr>
          <w:lang w:val="en-US" w:eastAsia="ja-JP"/>
        </w:rPr>
        <w:t xml:space="preserve">concentrations </w:t>
      </w:r>
      <w:r w:rsidR="009C775D">
        <w:rPr>
          <w:lang w:val="en-US" w:eastAsia="ja-JP"/>
        </w:rPr>
        <w:t xml:space="preserve">in Table 2 </w:t>
      </w:r>
      <w:r w:rsidR="001245EA">
        <w:rPr>
          <w:lang w:val="en-US" w:eastAsia="ja-JP"/>
        </w:rPr>
        <w:t>for</w:t>
      </w:r>
      <w:r w:rsidR="009C775D">
        <w:rPr>
          <w:lang w:val="en-US" w:eastAsia="ja-JP"/>
        </w:rPr>
        <w:t xml:space="preserve"> t</w:t>
      </w:r>
      <w:r w:rsidR="001245EA">
        <w:rPr>
          <w:lang w:val="en-US" w:eastAsia="ja-JP"/>
        </w:rPr>
        <w:t xml:space="preserve">otal </w:t>
      </w:r>
      <w:r w:rsidR="009C775D">
        <w:rPr>
          <w:lang w:val="en-US" w:eastAsia="ja-JP"/>
        </w:rPr>
        <w:t xml:space="preserve">S </w:t>
      </w:r>
      <w:r w:rsidRPr="00DD2C1A">
        <w:rPr>
          <w:lang w:val="en-US" w:eastAsia="ja-JP"/>
        </w:rPr>
        <w:lastRenderedPageBreak/>
        <w:t xml:space="preserve">in the original House et al. (2022) publication were </w:t>
      </w:r>
      <w:r w:rsidR="0083657B">
        <w:rPr>
          <w:lang w:val="en-US" w:eastAsia="ja-JP"/>
        </w:rPr>
        <w:t>used.</w:t>
      </w:r>
      <w:r w:rsidRPr="00DD2C1A">
        <w:rPr>
          <w:lang w:val="en-US" w:eastAsia="ja-JP"/>
        </w:rPr>
        <w:t xml:space="preserve"> Mixing diagrams provide the same information as linear denominator vs. numerator plots. The </w:t>
      </w:r>
      <w:r w:rsidRPr="00DD2C1A">
        <w:rPr>
          <w:i/>
          <w:iCs/>
          <w:lang w:val="en-US" w:eastAsia="ja-JP"/>
        </w:rPr>
        <w:t>y</w:t>
      </w:r>
      <w:r w:rsidRPr="00DD2C1A">
        <w:rPr>
          <w:lang w:val="en-US" w:eastAsia="ja-JP"/>
        </w:rPr>
        <w:t xml:space="preserve">-intercept of a denominator vs. numerator plot and the slope of 1/denominator vs. isotopic ratio form </w:t>
      </w:r>
      <w:r w:rsidR="002C44EB">
        <w:rPr>
          <w:lang w:val="en-US" w:eastAsia="ja-JP"/>
        </w:rPr>
        <w:t xml:space="preserve">(in molar units) </w:t>
      </w:r>
      <w:r w:rsidRPr="00DD2C1A">
        <w:rPr>
          <w:lang w:val="en-US" w:eastAsia="ja-JP"/>
        </w:rPr>
        <w:t>of the mixing line are the same (</w:t>
      </w:r>
      <w:r w:rsidR="00C43188">
        <w:rPr>
          <w:lang w:val="en-US"/>
        </w:rPr>
        <w:t>M</w:t>
      </w:r>
      <w:r w:rsidR="0074018C">
        <w:rPr>
          <w:lang w:val="en-US"/>
        </w:rPr>
        <w:t>oots</w:t>
      </w:r>
      <w:r w:rsidR="00C43188">
        <w:rPr>
          <w:lang w:val="en-US"/>
        </w:rPr>
        <w:t xml:space="preserve"> et al.</w:t>
      </w:r>
      <w:r w:rsidRPr="00DD2C1A">
        <w:rPr>
          <w:lang w:val="en-US" w:eastAsia="ja-JP"/>
        </w:rPr>
        <w:t xml:space="preserve"> 202</w:t>
      </w:r>
      <w:r w:rsidR="0074018C">
        <w:rPr>
          <w:lang w:val="en-US" w:eastAsia="ja-JP"/>
        </w:rPr>
        <w:t>4</w:t>
      </w:r>
      <w:r w:rsidR="00E73E69">
        <w:rPr>
          <w:lang w:val="en-US" w:eastAsia="ja-JP"/>
        </w:rPr>
        <w:t>a</w:t>
      </w:r>
      <w:r w:rsidRPr="00DD2C1A">
        <w:rPr>
          <w:lang w:val="en-US" w:eastAsia="ja-JP"/>
        </w:rPr>
        <w:t xml:space="preserve">). </w:t>
      </w:r>
    </w:p>
    <w:p w14:paraId="3DB14170" w14:textId="77777777" w:rsidR="003D0EF5" w:rsidRDefault="003834DA" w:rsidP="006639BC">
      <w:pPr>
        <w:pStyle w:val="Newparagraph"/>
        <w:spacing w:after="3" w:line="473" w:lineRule="auto"/>
        <w:ind w:right="14"/>
        <w:jc w:val="both"/>
        <w:rPr>
          <w:lang w:val="en-US" w:eastAsia="ja-JP"/>
        </w:rPr>
      </w:pPr>
      <w:r>
        <w:rPr>
          <w:lang w:val="en-US" w:eastAsia="ja-JP"/>
        </w:rPr>
        <w:t>As stated above, s</w:t>
      </w:r>
      <w:r w:rsidR="00BA7637" w:rsidRPr="00DD2C1A">
        <w:rPr>
          <w:lang w:val="en-US" w:eastAsia="ja-JP"/>
        </w:rPr>
        <w:t xml:space="preserve">amples were collected </w:t>
      </w:r>
      <w:r w:rsidR="00D62A9B">
        <w:rPr>
          <w:lang w:val="en-US" w:eastAsia="ja-JP"/>
        </w:rPr>
        <w:t>as</w:t>
      </w:r>
      <w:r w:rsidR="00BA7637" w:rsidRPr="00DD2C1A">
        <w:rPr>
          <w:lang w:val="en-US" w:eastAsia="ja-JP"/>
        </w:rPr>
        <w:t xml:space="preserve"> the Curiosity rover </w:t>
      </w:r>
      <w:r w:rsidR="00B35B0B">
        <w:rPr>
          <w:lang w:val="en-US" w:eastAsia="ja-JP"/>
        </w:rPr>
        <w:t>moved over</w:t>
      </w:r>
      <w:r w:rsidR="00BA7637" w:rsidRPr="00DD2C1A">
        <w:rPr>
          <w:lang w:val="en-US" w:eastAsia="ja-JP"/>
        </w:rPr>
        <w:t xml:space="preserve"> four different sediments in Gale crater, Mars. </w:t>
      </w:r>
      <w:r w:rsidR="008E4D31">
        <w:rPr>
          <w:lang w:val="en-US" w:eastAsia="ja-JP"/>
        </w:rPr>
        <w:t xml:space="preserve">Regression equation slopes </w:t>
      </w:r>
      <w:r w:rsidR="009E46B5">
        <w:rPr>
          <w:lang w:val="en-US" w:eastAsia="ja-JP"/>
        </w:rPr>
        <w:t xml:space="preserve">in Figure S3a </w:t>
      </w:r>
      <w:r w:rsidR="008E4D31">
        <w:rPr>
          <w:lang w:val="en-US" w:eastAsia="ja-JP"/>
        </w:rPr>
        <w:t xml:space="preserve">represent the </w:t>
      </w:r>
      <w:r w:rsidR="008E4D31" w:rsidRPr="00177A25">
        <w:rPr>
          <w:vertAlign w:val="superscript"/>
          <w:lang w:val="en-US" w:eastAsia="ja-JP"/>
        </w:rPr>
        <w:t>13</w:t>
      </w:r>
      <w:r w:rsidR="008E4D31">
        <w:rPr>
          <w:lang w:val="en-US" w:eastAsia="ja-JP"/>
        </w:rPr>
        <w:t>C:</w:t>
      </w:r>
      <w:r w:rsidR="008E4D31" w:rsidRPr="00177A25">
        <w:rPr>
          <w:vertAlign w:val="superscript"/>
          <w:lang w:val="en-US" w:eastAsia="ja-JP"/>
        </w:rPr>
        <w:t>12</w:t>
      </w:r>
      <w:r w:rsidR="008E4D31">
        <w:rPr>
          <w:lang w:val="en-US" w:eastAsia="ja-JP"/>
        </w:rPr>
        <w:t xml:space="preserve">C source of </w:t>
      </w:r>
      <w:r w:rsidR="003D0EF5">
        <w:rPr>
          <w:lang w:val="en-US" w:eastAsia="ja-JP"/>
        </w:rPr>
        <w:t>C</w:t>
      </w:r>
      <w:r w:rsidR="008E4D31">
        <w:rPr>
          <w:lang w:val="en-US" w:eastAsia="ja-JP"/>
        </w:rPr>
        <w:t xml:space="preserve"> either added to or removed from the systems. However, these plots do not provide information and whether C is accumulating or being lost over time. </w:t>
      </w:r>
    </w:p>
    <w:p w14:paraId="41B67720" w14:textId="26903EF6" w:rsidR="00CE1E86" w:rsidRDefault="00BA7637" w:rsidP="00670D32">
      <w:pPr>
        <w:pStyle w:val="Figurecaption"/>
        <w:spacing w:before="0" w:after="3" w:line="473" w:lineRule="auto"/>
        <w:ind w:right="14" w:firstLine="720"/>
        <w:jc w:val="both"/>
        <w:rPr>
          <w:lang w:val="en-US" w:eastAsia="ja-JP"/>
        </w:rPr>
      </w:pPr>
      <w:r w:rsidRPr="00DD2C1A">
        <w:rPr>
          <w:lang w:val="en-US" w:eastAsia="ja-JP"/>
        </w:rPr>
        <w:t>The Sheepbed samples were the first collected. These samples are associated with an ancient habitable environment for life on Mars (Grotzinger et al. 2014)</w:t>
      </w:r>
      <w:r w:rsidR="00AE7932">
        <w:rPr>
          <w:lang w:val="en-US" w:eastAsia="ja-JP"/>
        </w:rPr>
        <w:t xml:space="preserve"> and differ from the other three sediments in both age (much older) and CH</w:t>
      </w:r>
      <w:r w:rsidR="00AE7932" w:rsidRPr="00AC380F">
        <w:rPr>
          <w:vertAlign w:val="subscript"/>
          <w:lang w:val="en-US" w:eastAsia="ja-JP"/>
        </w:rPr>
        <w:t>4</w:t>
      </w:r>
      <w:r w:rsidR="00AE7932">
        <w:rPr>
          <w:lang w:val="en-US" w:eastAsia="ja-JP"/>
        </w:rPr>
        <w:t xml:space="preserve"> concentrations (lower)</w:t>
      </w:r>
      <w:r w:rsidRPr="00DD2C1A">
        <w:rPr>
          <w:lang w:val="en-US" w:eastAsia="ja-JP"/>
        </w:rPr>
        <w:t xml:space="preserve">. A linear </w:t>
      </w:r>
      <w:r w:rsidR="00B1201E" w:rsidRPr="00B1201E">
        <w:rPr>
          <w:vertAlign w:val="superscript"/>
          <w:lang w:val="en-US" w:eastAsia="ja-JP"/>
        </w:rPr>
        <w:t>13</w:t>
      </w:r>
      <w:r w:rsidR="00B1201E">
        <w:rPr>
          <w:lang w:val="en-US" w:eastAsia="ja-JP"/>
        </w:rPr>
        <w:t>C</w:t>
      </w:r>
      <w:r w:rsidRPr="00DD2C1A">
        <w:rPr>
          <w:lang w:val="en-US" w:eastAsia="ja-JP"/>
        </w:rPr>
        <w:t xml:space="preserve"> vs. </w:t>
      </w:r>
      <w:r w:rsidR="00B1201E" w:rsidRPr="00B1201E">
        <w:rPr>
          <w:vertAlign w:val="superscript"/>
          <w:lang w:val="en-US" w:eastAsia="ja-JP"/>
        </w:rPr>
        <w:t>12</w:t>
      </w:r>
      <w:r w:rsidR="00B1201E">
        <w:rPr>
          <w:lang w:val="en-US" w:eastAsia="ja-JP"/>
        </w:rPr>
        <w:t>C</w:t>
      </w:r>
      <w:r w:rsidRPr="00DD2C1A">
        <w:rPr>
          <w:lang w:val="en-US" w:eastAsia="ja-JP"/>
        </w:rPr>
        <w:t xml:space="preserve"> plot is presented for the Martian Sheepbed sediments in Figure </w:t>
      </w:r>
      <w:r w:rsidR="0023191D">
        <w:rPr>
          <w:lang w:val="en-US" w:eastAsia="ja-JP"/>
        </w:rPr>
        <w:t>S</w:t>
      </w:r>
      <w:r>
        <w:rPr>
          <w:lang w:val="en-US" w:eastAsia="ja-JP"/>
        </w:rPr>
        <w:t>3</w:t>
      </w:r>
      <w:r w:rsidRPr="00DD2C1A">
        <w:rPr>
          <w:lang w:val="en-US" w:eastAsia="ja-JP"/>
        </w:rPr>
        <w:t>a. The slope (0.01043</w:t>
      </w:r>
      <w:r>
        <w:rPr>
          <w:lang w:val="en-US" w:eastAsia="ja-JP"/>
        </w:rPr>
        <w:t>3</w:t>
      </w:r>
      <w:r w:rsidRPr="00DD2C1A">
        <w:rPr>
          <w:lang w:val="en-US" w:eastAsia="ja-JP"/>
        </w:rPr>
        <w:t xml:space="preserve">) corresponds to a delta value of approximately -140, suggesting a depleted source. </w:t>
      </w:r>
      <w:r w:rsidR="006639BC" w:rsidRPr="00DD2C1A">
        <w:rPr>
          <w:lang w:val="en-US" w:eastAsia="ja-JP"/>
        </w:rPr>
        <w:t xml:space="preserve">The positive </w:t>
      </w:r>
      <w:r w:rsidR="006639BC" w:rsidRPr="00DD2C1A">
        <w:rPr>
          <w:i/>
          <w:iCs/>
          <w:lang w:val="en-US" w:eastAsia="ja-JP"/>
        </w:rPr>
        <w:t>y</w:t>
      </w:r>
      <w:r w:rsidR="006639BC" w:rsidRPr="00DD2C1A">
        <w:rPr>
          <w:lang w:val="en-US" w:eastAsia="ja-JP"/>
        </w:rPr>
        <w:t xml:space="preserve">-intercept </w:t>
      </w:r>
      <w:r w:rsidR="006639BC">
        <w:rPr>
          <w:lang w:val="en-US" w:eastAsia="ja-JP"/>
        </w:rPr>
        <w:t xml:space="preserve">for the </w:t>
      </w:r>
      <w:r w:rsidR="00FF4D53" w:rsidRPr="00FF4D53">
        <w:rPr>
          <w:vertAlign w:val="superscript"/>
          <w:lang w:val="en-US" w:eastAsia="ja-JP"/>
        </w:rPr>
        <w:t>1</w:t>
      </w:r>
      <w:r w:rsidR="00FF4D53">
        <w:rPr>
          <w:vertAlign w:val="superscript"/>
          <w:lang w:val="en-US" w:eastAsia="ja-JP"/>
        </w:rPr>
        <w:t>2</w:t>
      </w:r>
      <w:r w:rsidR="00FF4D53">
        <w:rPr>
          <w:lang w:val="en-US" w:eastAsia="ja-JP"/>
        </w:rPr>
        <w:t xml:space="preserve">C vs. </w:t>
      </w:r>
      <w:r w:rsidR="00FF4D53" w:rsidRPr="00FF4D53">
        <w:rPr>
          <w:vertAlign w:val="superscript"/>
          <w:lang w:val="en-US" w:eastAsia="ja-JP"/>
        </w:rPr>
        <w:t>13</w:t>
      </w:r>
      <w:r w:rsidR="00FF4D53">
        <w:rPr>
          <w:lang w:val="en-US" w:eastAsia="ja-JP"/>
        </w:rPr>
        <w:t xml:space="preserve">C relationship for </w:t>
      </w:r>
      <w:r w:rsidR="006639BC">
        <w:rPr>
          <w:lang w:val="en-US" w:eastAsia="ja-JP"/>
        </w:rPr>
        <w:t xml:space="preserve">Sheepbed sediment samples </w:t>
      </w:r>
      <w:r w:rsidR="006639BC" w:rsidRPr="00DD2C1A">
        <w:rPr>
          <w:lang w:val="en-US" w:eastAsia="ja-JP"/>
        </w:rPr>
        <w:t xml:space="preserve">suggests the background is higher than the source, thus </w:t>
      </w:r>
      <w:r w:rsidR="006639BC" w:rsidRPr="00DD2C1A">
        <w:rPr>
          <w:vertAlign w:val="superscript"/>
          <w:lang w:val="en-US" w:eastAsia="ja-JP"/>
        </w:rPr>
        <w:t>13</w:t>
      </w:r>
      <w:r w:rsidR="006639BC" w:rsidRPr="00DD2C1A">
        <w:rPr>
          <w:lang w:val="en-US" w:eastAsia="ja-JP"/>
        </w:rPr>
        <w:t>C:</w:t>
      </w:r>
      <w:r w:rsidR="006639BC" w:rsidRPr="00DD2C1A">
        <w:rPr>
          <w:vertAlign w:val="superscript"/>
          <w:lang w:val="en-US" w:eastAsia="ja-JP"/>
        </w:rPr>
        <w:t>12</w:t>
      </w:r>
      <w:r w:rsidR="006639BC" w:rsidRPr="00DD2C1A">
        <w:rPr>
          <w:lang w:val="en-US" w:eastAsia="ja-JP"/>
        </w:rPr>
        <w:t xml:space="preserve">C ratios or </w:t>
      </w:r>
      <w:r w:rsidR="006639BC" w:rsidRPr="00DD2C1A">
        <w:rPr>
          <w:lang w:val="en-US"/>
        </w:rPr>
        <w:t>δ</w:t>
      </w:r>
      <w:r w:rsidR="006639BC" w:rsidRPr="00DD2C1A">
        <w:rPr>
          <w:vertAlign w:val="superscript"/>
          <w:lang w:val="en-US" w:eastAsia="ja-JP"/>
        </w:rPr>
        <w:t>13</w:t>
      </w:r>
      <w:r w:rsidR="006639BC" w:rsidRPr="00DD2C1A">
        <w:rPr>
          <w:lang w:val="en-US" w:eastAsia="ja-JP"/>
        </w:rPr>
        <w:t xml:space="preserve">C values </w:t>
      </w:r>
      <w:r w:rsidR="006639BC">
        <w:rPr>
          <w:lang w:val="en-US" w:eastAsia="ja-JP"/>
        </w:rPr>
        <w:t xml:space="preserve">must </w:t>
      </w:r>
      <w:r w:rsidR="006639BC" w:rsidRPr="00DD2C1A">
        <w:rPr>
          <w:lang w:val="en-US" w:eastAsia="ja-JP"/>
        </w:rPr>
        <w:t xml:space="preserve">decline with increasing total C. </w:t>
      </w:r>
      <w:r w:rsidR="006639BC">
        <w:rPr>
          <w:lang w:val="en-US" w:eastAsia="ja-JP"/>
        </w:rPr>
        <w:t>I</w:t>
      </w:r>
      <w:r w:rsidR="006639BC" w:rsidRPr="00DD2C1A">
        <w:rPr>
          <w:lang w:val="en-US" w:eastAsia="ja-JP"/>
        </w:rPr>
        <w:t xml:space="preserve">n Figure </w:t>
      </w:r>
      <w:r w:rsidR="006639BC">
        <w:rPr>
          <w:lang w:val="en-US" w:eastAsia="ja-JP"/>
        </w:rPr>
        <w:t>S3</w:t>
      </w:r>
      <w:r w:rsidR="008000C6">
        <w:rPr>
          <w:lang w:val="en-US" w:eastAsia="ja-JP"/>
        </w:rPr>
        <w:t>b</w:t>
      </w:r>
      <w:r w:rsidR="006639BC">
        <w:rPr>
          <w:lang w:val="en-US" w:eastAsia="ja-JP"/>
        </w:rPr>
        <w:t xml:space="preserve">, </w:t>
      </w:r>
      <w:r w:rsidR="006639BC" w:rsidRPr="00DD2C1A">
        <w:rPr>
          <w:vertAlign w:val="superscript"/>
          <w:lang w:val="en-US" w:eastAsia="ja-JP"/>
        </w:rPr>
        <w:t>13</w:t>
      </w:r>
      <w:r w:rsidR="006639BC" w:rsidRPr="00DD2C1A">
        <w:rPr>
          <w:lang w:val="en-US" w:eastAsia="ja-JP"/>
        </w:rPr>
        <w:t>C:</w:t>
      </w:r>
      <w:r w:rsidR="006639BC" w:rsidRPr="00DD2C1A">
        <w:rPr>
          <w:vertAlign w:val="superscript"/>
          <w:lang w:val="en-US" w:eastAsia="ja-JP"/>
        </w:rPr>
        <w:t>12</w:t>
      </w:r>
      <w:r w:rsidR="006639BC" w:rsidRPr="00DD2C1A">
        <w:rPr>
          <w:lang w:val="en-US" w:eastAsia="ja-JP"/>
        </w:rPr>
        <w:t xml:space="preserve">C ratio variability </w:t>
      </w:r>
      <w:r w:rsidR="006639BC">
        <w:rPr>
          <w:lang w:val="en-US" w:eastAsia="ja-JP"/>
        </w:rPr>
        <w:t xml:space="preserve">in the Sheepbed sediments </w:t>
      </w:r>
      <w:r w:rsidR="006639BC" w:rsidRPr="00DD2C1A">
        <w:rPr>
          <w:lang w:val="en-US" w:eastAsia="ja-JP"/>
        </w:rPr>
        <w:t>is clearly driven by C concentrations. Even so, the points with the lowest C concentration still have depleted ratios.</w:t>
      </w:r>
      <w:r w:rsidR="00FF4D53" w:rsidRPr="00FF4D53">
        <w:rPr>
          <w:lang w:val="en-US" w:eastAsia="ja-JP"/>
        </w:rPr>
        <w:t xml:space="preserve"> </w:t>
      </w:r>
      <w:r w:rsidR="00CE1E86">
        <w:rPr>
          <w:lang w:val="en-US" w:eastAsia="ja-JP"/>
        </w:rPr>
        <w:t xml:space="preserve">Although samples with highly depleted </w:t>
      </w:r>
      <w:r w:rsidR="00CE1E86" w:rsidRPr="0064546E">
        <w:rPr>
          <w:lang w:val="en-US"/>
        </w:rPr>
        <w:t>δ</w:t>
      </w:r>
      <w:r w:rsidR="00CE1E86" w:rsidRPr="00AC380F">
        <w:rPr>
          <w:vertAlign w:val="superscript"/>
          <w:lang w:val="en-US" w:eastAsia="ja-JP"/>
        </w:rPr>
        <w:t>13</w:t>
      </w:r>
      <w:r w:rsidR="00CE1E86">
        <w:rPr>
          <w:lang w:val="en-US" w:eastAsia="ja-JP"/>
        </w:rPr>
        <w:t xml:space="preserve">C were found in all four sediments, only the Sheepbed samples have a substantially depleted source. </w:t>
      </w:r>
    </w:p>
    <w:p w14:paraId="1352EF5F" w14:textId="05789DCC" w:rsidR="0034019B" w:rsidRDefault="00B1201E" w:rsidP="000B02B9">
      <w:pPr>
        <w:pStyle w:val="Newparagraph"/>
        <w:spacing w:after="3" w:line="473" w:lineRule="auto"/>
        <w:ind w:right="14"/>
        <w:jc w:val="both"/>
        <w:rPr>
          <w:lang w:val="en-US" w:eastAsia="ja-JP"/>
        </w:rPr>
      </w:pPr>
      <w:r>
        <w:rPr>
          <w:lang w:val="en-US" w:eastAsia="ja-JP"/>
        </w:rPr>
        <w:t xml:space="preserve">Also shown in Figure S3a are linear </w:t>
      </w:r>
      <w:r w:rsidRPr="00B1201E">
        <w:rPr>
          <w:vertAlign w:val="superscript"/>
          <w:lang w:val="en-US" w:eastAsia="ja-JP"/>
        </w:rPr>
        <w:t>12</w:t>
      </w:r>
      <w:r>
        <w:rPr>
          <w:lang w:val="en-US" w:eastAsia="ja-JP"/>
        </w:rPr>
        <w:t xml:space="preserve">C vs. </w:t>
      </w:r>
      <w:r w:rsidRPr="00B1201E">
        <w:rPr>
          <w:vertAlign w:val="superscript"/>
          <w:lang w:val="en-US" w:eastAsia="ja-JP"/>
        </w:rPr>
        <w:t>13</w:t>
      </w:r>
      <w:r>
        <w:rPr>
          <w:lang w:val="en-US" w:eastAsia="ja-JP"/>
        </w:rPr>
        <w:t xml:space="preserve">C plots for the younger </w:t>
      </w:r>
      <w:r w:rsidR="00035065">
        <w:rPr>
          <w:lang w:val="en-US" w:eastAsia="ja-JP"/>
        </w:rPr>
        <w:t xml:space="preserve">Stimson, </w:t>
      </w:r>
      <w:r>
        <w:rPr>
          <w:lang w:val="en-US" w:eastAsia="ja-JP"/>
        </w:rPr>
        <w:t>Carolyn Shoemaker an</w:t>
      </w:r>
      <w:r w:rsidR="00461ED9">
        <w:rPr>
          <w:lang w:val="en-US" w:eastAsia="ja-JP"/>
        </w:rPr>
        <w:t>d</w:t>
      </w:r>
      <w:r>
        <w:rPr>
          <w:lang w:val="en-US" w:eastAsia="ja-JP"/>
        </w:rPr>
        <w:t xml:space="preserve"> Murray sediments. Including extreme outlier points (the maximum CH</w:t>
      </w:r>
      <w:r w:rsidRPr="00B1201E">
        <w:rPr>
          <w:vertAlign w:val="subscript"/>
          <w:lang w:val="en-US" w:eastAsia="ja-JP"/>
        </w:rPr>
        <w:t>4</w:t>
      </w:r>
      <w:r>
        <w:rPr>
          <w:lang w:val="en-US" w:eastAsia="ja-JP"/>
        </w:rPr>
        <w:t xml:space="preserve"> concentration for the </w:t>
      </w:r>
      <w:r w:rsidR="00230BAE">
        <w:rPr>
          <w:lang w:val="en-US" w:eastAsia="ja-JP"/>
        </w:rPr>
        <w:t>Carolyn Shoemaker sediments and the minimum CH</w:t>
      </w:r>
      <w:r w:rsidR="00230BAE" w:rsidRPr="00230BAE">
        <w:rPr>
          <w:vertAlign w:val="subscript"/>
          <w:lang w:val="en-US" w:eastAsia="ja-JP"/>
        </w:rPr>
        <w:t>4</w:t>
      </w:r>
      <w:r w:rsidR="00230BAE">
        <w:rPr>
          <w:lang w:val="en-US" w:eastAsia="ja-JP"/>
        </w:rPr>
        <w:t xml:space="preserve"> concentration for the Murray sediments) does not radically change source conclusions</w:t>
      </w:r>
      <w:r w:rsidR="00035065">
        <w:rPr>
          <w:lang w:val="en-US" w:eastAsia="ja-JP"/>
        </w:rPr>
        <w:t xml:space="preserve"> (data not shown)</w:t>
      </w:r>
      <w:r w:rsidR="00230BAE">
        <w:rPr>
          <w:lang w:val="en-US" w:eastAsia="ja-JP"/>
        </w:rPr>
        <w:t>. T</w:t>
      </w:r>
      <w:r w:rsidR="00435DC9">
        <w:rPr>
          <w:lang w:val="en-US" w:eastAsia="ja-JP"/>
        </w:rPr>
        <w:t>h</w:t>
      </w:r>
      <w:r w:rsidR="00230BAE">
        <w:rPr>
          <w:lang w:val="en-US" w:eastAsia="ja-JP"/>
        </w:rPr>
        <w:t xml:space="preserve">e slopes for the </w:t>
      </w:r>
      <w:r w:rsidR="00035065">
        <w:rPr>
          <w:lang w:val="en-US" w:eastAsia="ja-JP"/>
        </w:rPr>
        <w:t xml:space="preserve">Stimson, </w:t>
      </w:r>
      <w:r w:rsidR="00230BAE">
        <w:rPr>
          <w:lang w:val="en-US" w:eastAsia="ja-JP"/>
        </w:rPr>
        <w:t>Carolyn Shoemaker and Murray datasets do not support strongly depleted sources</w:t>
      </w:r>
      <w:r w:rsidR="003723C6">
        <w:rPr>
          <w:lang w:val="en-US" w:eastAsia="ja-JP"/>
        </w:rPr>
        <w:t xml:space="preserve">. </w:t>
      </w:r>
    </w:p>
    <w:p w14:paraId="45ED748D" w14:textId="2F70ECA9" w:rsidR="004D350C" w:rsidRDefault="004D350C" w:rsidP="004D350C">
      <w:pPr>
        <w:pStyle w:val="Figurecaption"/>
        <w:spacing w:before="0" w:after="3" w:line="473" w:lineRule="auto"/>
        <w:ind w:right="14" w:firstLine="720"/>
        <w:jc w:val="both"/>
        <w:rPr>
          <w:lang w:val="en-US" w:eastAsia="ja-JP"/>
        </w:rPr>
      </w:pPr>
      <w:r>
        <w:rPr>
          <w:lang w:val="en-US"/>
        </w:rPr>
        <w:lastRenderedPageBreak/>
        <w:t xml:space="preserve">The overall inverse relationship between </w:t>
      </w:r>
      <w:r w:rsidRPr="00874541">
        <w:rPr>
          <w:vertAlign w:val="superscript"/>
          <w:lang w:val="en-US"/>
        </w:rPr>
        <w:t>12</w:t>
      </w:r>
      <w:r>
        <w:rPr>
          <w:lang w:val="en-US"/>
        </w:rPr>
        <w:t>CH</w:t>
      </w:r>
      <w:r w:rsidRPr="004834C0">
        <w:rPr>
          <w:vertAlign w:val="subscript"/>
          <w:lang w:val="en-US"/>
        </w:rPr>
        <w:t xml:space="preserve">4 </w:t>
      </w:r>
      <w:r>
        <w:rPr>
          <w:lang w:val="en-US"/>
        </w:rPr>
        <w:t xml:space="preserve">(and the highly correlated total C) and </w:t>
      </w:r>
      <w:r w:rsidRPr="00874541">
        <w:rPr>
          <w:vertAlign w:val="superscript"/>
          <w:lang w:val="en-US"/>
        </w:rPr>
        <w:t>13</w:t>
      </w:r>
      <w:r>
        <w:rPr>
          <w:lang w:val="en-US"/>
        </w:rPr>
        <w:t>C:</w:t>
      </w:r>
      <w:r w:rsidRPr="00874541">
        <w:rPr>
          <w:vertAlign w:val="superscript"/>
          <w:lang w:val="en-US"/>
        </w:rPr>
        <w:t>12</w:t>
      </w:r>
      <w:r>
        <w:rPr>
          <w:lang w:val="en-US"/>
        </w:rPr>
        <w:t>C ratios for the three youngest sediments in Figure S3c is statistically significant (r</w:t>
      </w:r>
      <w:r w:rsidRPr="004834C0">
        <w:rPr>
          <w:vertAlign w:val="superscript"/>
          <w:lang w:val="en-US"/>
        </w:rPr>
        <w:t>2</w:t>
      </w:r>
      <w:r>
        <w:rPr>
          <w:lang w:val="en-US"/>
        </w:rPr>
        <w:t>= 0.</w:t>
      </w:r>
      <w:r w:rsidR="001B0535">
        <w:rPr>
          <w:lang w:val="en-US"/>
        </w:rPr>
        <w:t>2081</w:t>
      </w:r>
      <w:r>
        <w:rPr>
          <w:lang w:val="en-US"/>
        </w:rPr>
        <w:t xml:space="preserve"> </w:t>
      </w:r>
      <w:r w:rsidRPr="001B0535">
        <w:rPr>
          <w:i/>
          <w:iCs/>
          <w:lang w:val="en-US"/>
        </w:rPr>
        <w:t>p</w:t>
      </w:r>
      <w:r w:rsidR="001B0535">
        <w:rPr>
          <w:i/>
          <w:iCs/>
          <w:lang w:val="en-US"/>
        </w:rPr>
        <w:t xml:space="preserve"> </w:t>
      </w:r>
      <w:r>
        <w:rPr>
          <w:lang w:val="en-US"/>
        </w:rPr>
        <w:t>=</w:t>
      </w:r>
      <w:r w:rsidR="001B0535">
        <w:rPr>
          <w:lang w:val="en-US"/>
        </w:rPr>
        <w:t xml:space="preserve"> </w:t>
      </w:r>
      <w:r>
        <w:rPr>
          <w:lang w:val="en-US"/>
        </w:rPr>
        <w:t>0</w:t>
      </w:r>
      <w:r w:rsidR="001B0535">
        <w:rPr>
          <w:lang w:val="en-US"/>
        </w:rPr>
        <w:t>.0496</w:t>
      </w:r>
      <w:r>
        <w:rPr>
          <w:lang w:val="en-US"/>
        </w:rPr>
        <w:t>)</w:t>
      </w:r>
      <w:r w:rsidR="00944DAB">
        <w:rPr>
          <w:lang w:val="en-US"/>
        </w:rPr>
        <w:t xml:space="preserve"> when data from all three sediments are combined</w:t>
      </w:r>
      <w:r>
        <w:rPr>
          <w:lang w:val="en-US"/>
        </w:rPr>
        <w:t xml:space="preserve">. However, relationships for individual sediments generally follow the expected increase in </w:t>
      </w:r>
      <w:r w:rsidRPr="009F03EE">
        <w:rPr>
          <w:vertAlign w:val="superscript"/>
          <w:lang w:val="en-US"/>
        </w:rPr>
        <w:t>13</w:t>
      </w:r>
      <w:r w:rsidRPr="0064546E">
        <w:rPr>
          <w:lang w:val="en-US"/>
        </w:rPr>
        <w:t>C</w:t>
      </w:r>
      <w:r>
        <w:rPr>
          <w:lang w:val="en-US"/>
        </w:rPr>
        <w:t>:</w:t>
      </w:r>
      <w:r w:rsidRPr="004834C0">
        <w:rPr>
          <w:vertAlign w:val="superscript"/>
          <w:lang w:val="en-US"/>
        </w:rPr>
        <w:t>12</w:t>
      </w:r>
      <w:r>
        <w:rPr>
          <w:lang w:val="en-US"/>
        </w:rPr>
        <w:t xml:space="preserve">C ratios that approach the source value as total C increases for </w:t>
      </w:r>
      <w:r w:rsidR="004B1479">
        <w:rPr>
          <w:lang w:val="en-US"/>
        </w:rPr>
        <w:t xml:space="preserve">these </w:t>
      </w:r>
      <w:r>
        <w:rPr>
          <w:lang w:val="en-US"/>
        </w:rPr>
        <w:t xml:space="preserve">systems with enriched sources and depleted backgrounds suggested by the regressions in Figure S3a. </w:t>
      </w:r>
    </w:p>
    <w:p w14:paraId="0930479B" w14:textId="2196669F" w:rsidR="006600D4" w:rsidRDefault="00421C3D" w:rsidP="00B72489">
      <w:pPr>
        <w:pStyle w:val="Newparagraph"/>
        <w:spacing w:after="3" w:line="473" w:lineRule="auto"/>
        <w:ind w:right="14"/>
        <w:jc w:val="both"/>
        <w:rPr>
          <w:lang w:val="en-US" w:eastAsia="ja-JP"/>
        </w:rPr>
      </w:pPr>
      <w:r w:rsidRPr="00DD2C1A">
        <w:rPr>
          <w:lang w:val="en-US" w:eastAsia="ja-JP"/>
        </w:rPr>
        <w:t xml:space="preserve">Figure </w:t>
      </w:r>
      <w:r w:rsidR="00455419">
        <w:rPr>
          <w:lang w:val="en-US" w:eastAsia="ja-JP"/>
        </w:rPr>
        <w:t>S</w:t>
      </w:r>
      <w:r>
        <w:rPr>
          <w:lang w:val="en-US" w:eastAsia="ja-JP"/>
        </w:rPr>
        <w:t>3</w:t>
      </w:r>
      <w:r w:rsidR="00070F17">
        <w:rPr>
          <w:lang w:val="en-US" w:eastAsia="ja-JP"/>
        </w:rPr>
        <w:t>c is</w:t>
      </w:r>
      <w:r w:rsidR="00562840">
        <w:rPr>
          <w:lang w:val="en-US" w:eastAsia="ja-JP"/>
        </w:rPr>
        <w:t xml:space="preserve"> </w:t>
      </w:r>
      <w:r w:rsidRPr="00DD2C1A">
        <w:rPr>
          <w:lang w:val="en-US" w:eastAsia="ja-JP"/>
        </w:rPr>
        <w:t>consistent with depleted backgrounds that existed long ago</w:t>
      </w:r>
      <w:r w:rsidR="00070F17">
        <w:rPr>
          <w:lang w:val="en-US" w:eastAsia="ja-JP"/>
        </w:rPr>
        <w:t xml:space="preserve"> for the Stimson, Carolyn Shoemaker and Murray sediments</w:t>
      </w:r>
      <w:r w:rsidRPr="00DD2C1A">
        <w:rPr>
          <w:lang w:val="en-US" w:eastAsia="ja-JP"/>
        </w:rPr>
        <w:t>.</w:t>
      </w:r>
      <w:r>
        <w:rPr>
          <w:lang w:val="en-US" w:eastAsia="ja-JP"/>
        </w:rPr>
        <w:t xml:space="preserve"> </w:t>
      </w:r>
      <w:r w:rsidR="00157122">
        <w:rPr>
          <w:lang w:val="en-US" w:eastAsia="ja-JP"/>
        </w:rPr>
        <w:t>One interpretation could be that a</w:t>
      </w:r>
      <w:r w:rsidR="00157122" w:rsidRPr="00DD2C1A">
        <w:rPr>
          <w:lang w:val="en-US" w:eastAsia="ja-JP"/>
        </w:rPr>
        <w:t xml:space="preserve">s new material with enriched </w:t>
      </w:r>
      <w:r w:rsidR="00157122" w:rsidRPr="00DD2C1A">
        <w:rPr>
          <w:vertAlign w:val="superscript"/>
          <w:lang w:val="en-US" w:eastAsia="ja-JP"/>
        </w:rPr>
        <w:t>13</w:t>
      </w:r>
      <w:r w:rsidR="00157122" w:rsidRPr="00DD2C1A">
        <w:rPr>
          <w:lang w:val="en-US" w:eastAsia="ja-JP"/>
        </w:rPr>
        <w:t>C was added to the system in more recent times, the sediment</w:t>
      </w:r>
      <w:r w:rsidR="00C844EF">
        <w:rPr>
          <w:lang w:val="en-US" w:eastAsia="ja-JP"/>
        </w:rPr>
        <w:t>s</w:t>
      </w:r>
      <w:r w:rsidR="00157122" w:rsidRPr="00DD2C1A">
        <w:rPr>
          <w:lang w:val="en-US" w:eastAsia="ja-JP"/>
        </w:rPr>
        <w:t xml:space="preserve"> bec</w:t>
      </w:r>
      <w:r w:rsidR="00FA2600">
        <w:rPr>
          <w:lang w:val="en-US" w:eastAsia="ja-JP"/>
        </w:rPr>
        <w:t>a</w:t>
      </w:r>
      <w:r w:rsidR="00157122" w:rsidRPr="00DD2C1A">
        <w:rPr>
          <w:lang w:val="en-US" w:eastAsia="ja-JP"/>
        </w:rPr>
        <w:t>me less depleted.</w:t>
      </w:r>
      <w:r w:rsidR="00B72489">
        <w:rPr>
          <w:lang w:val="en-US" w:eastAsia="ja-JP"/>
        </w:rPr>
        <w:t xml:space="preserve"> Several strongly</w:t>
      </w:r>
      <w:r w:rsidR="00B72489" w:rsidRPr="00DD2C1A">
        <w:rPr>
          <w:lang w:val="en-US" w:eastAsia="ja-JP"/>
        </w:rPr>
        <w:t xml:space="preserve"> depleted </w:t>
      </w:r>
      <w:r w:rsidR="00B72489" w:rsidRPr="006140C5">
        <w:rPr>
          <w:vertAlign w:val="superscript"/>
          <w:lang w:val="en-US" w:eastAsia="ja-JP"/>
        </w:rPr>
        <w:t>13</w:t>
      </w:r>
      <w:r w:rsidR="00B72489">
        <w:rPr>
          <w:lang w:val="en-US" w:eastAsia="ja-JP"/>
        </w:rPr>
        <w:t xml:space="preserve">C </w:t>
      </w:r>
      <w:r w:rsidR="00B72489" w:rsidRPr="00DD2C1A">
        <w:rPr>
          <w:lang w:val="en-US" w:eastAsia="ja-JP"/>
        </w:rPr>
        <w:t xml:space="preserve">samples the Curiosity rover collected are from the Carolyn Shoemaker and Murray formations even though these sediments </w:t>
      </w:r>
      <w:r w:rsidR="00B72489">
        <w:rPr>
          <w:lang w:val="en-US" w:eastAsia="ja-JP"/>
        </w:rPr>
        <w:t xml:space="preserve">do not </w:t>
      </w:r>
      <w:r w:rsidR="00B72489" w:rsidRPr="00DD2C1A">
        <w:rPr>
          <w:lang w:val="en-US" w:eastAsia="ja-JP"/>
        </w:rPr>
        <w:t xml:space="preserve">have </w:t>
      </w:r>
      <w:r w:rsidR="00B72489">
        <w:rPr>
          <w:lang w:val="en-US" w:eastAsia="ja-JP"/>
        </w:rPr>
        <w:t xml:space="preserve">highly depleted </w:t>
      </w:r>
      <w:r w:rsidR="00B72489" w:rsidRPr="00DD2C1A">
        <w:rPr>
          <w:lang w:val="en-US" w:eastAsia="ja-JP"/>
        </w:rPr>
        <w:t>sources.</w:t>
      </w:r>
    </w:p>
    <w:p w14:paraId="42F88B2B" w14:textId="4CA48C8A" w:rsidR="00B72489" w:rsidRDefault="008E29D5" w:rsidP="004B70C2">
      <w:pPr>
        <w:pStyle w:val="Newparagraph"/>
        <w:spacing w:after="3" w:line="473" w:lineRule="auto"/>
        <w:ind w:right="14"/>
        <w:jc w:val="both"/>
        <w:rPr>
          <w:lang w:val="en-US" w:eastAsia="ja-JP"/>
        </w:rPr>
      </w:pPr>
      <w:r>
        <w:rPr>
          <w:lang w:val="en-US" w:eastAsia="ja-JP"/>
        </w:rPr>
        <w:t>It is unlikely</w:t>
      </w:r>
      <w:r w:rsidR="00624DF6">
        <w:rPr>
          <w:lang w:val="en-US" w:eastAsia="ja-JP"/>
        </w:rPr>
        <w:t>,</w:t>
      </w:r>
      <w:r>
        <w:rPr>
          <w:lang w:val="en-US" w:eastAsia="ja-JP"/>
        </w:rPr>
        <w:t xml:space="preserve"> but possible</w:t>
      </w:r>
      <w:r w:rsidR="00624DF6">
        <w:rPr>
          <w:lang w:val="en-US" w:eastAsia="ja-JP"/>
        </w:rPr>
        <w:t>,</w:t>
      </w:r>
      <w:r>
        <w:rPr>
          <w:lang w:val="en-US" w:eastAsia="ja-JP"/>
        </w:rPr>
        <w:t xml:space="preserve"> that </w:t>
      </w:r>
      <w:r w:rsidR="004A7203">
        <w:rPr>
          <w:lang w:val="en-US" w:eastAsia="ja-JP"/>
        </w:rPr>
        <w:t>the younger</w:t>
      </w:r>
      <w:r>
        <w:rPr>
          <w:lang w:val="en-US" w:eastAsia="ja-JP"/>
        </w:rPr>
        <w:t xml:space="preserve"> sediments</w:t>
      </w:r>
      <w:r w:rsidR="00F55CC9">
        <w:rPr>
          <w:lang w:val="en-US" w:eastAsia="ja-JP"/>
        </w:rPr>
        <w:t xml:space="preserve"> </w:t>
      </w:r>
      <w:r w:rsidR="00712CC8">
        <w:rPr>
          <w:lang w:val="en-US" w:eastAsia="ja-JP"/>
        </w:rPr>
        <w:t>lost</w:t>
      </w:r>
      <w:r w:rsidR="00F55CC9">
        <w:rPr>
          <w:lang w:val="en-US" w:eastAsia="ja-JP"/>
        </w:rPr>
        <w:t xml:space="preserve"> total Carbon over time. A deplete</w:t>
      </w:r>
      <w:r w:rsidR="00C8739B">
        <w:rPr>
          <w:lang w:val="en-US" w:eastAsia="ja-JP"/>
        </w:rPr>
        <w:t xml:space="preserve">d background with an enriched </w:t>
      </w:r>
      <w:r w:rsidR="009074AA">
        <w:rPr>
          <w:lang w:val="en-US" w:eastAsia="ja-JP"/>
        </w:rPr>
        <w:t xml:space="preserve">or slightly depleted source </w:t>
      </w:r>
      <w:r w:rsidR="00CF4085">
        <w:rPr>
          <w:lang w:val="en-US" w:eastAsia="ja-JP"/>
        </w:rPr>
        <w:t xml:space="preserve">for the released carbon </w:t>
      </w:r>
      <w:r w:rsidR="00C8739B">
        <w:rPr>
          <w:lang w:val="en-US" w:eastAsia="ja-JP"/>
        </w:rPr>
        <w:t>could</w:t>
      </w:r>
      <w:r w:rsidR="00061C1C">
        <w:rPr>
          <w:lang w:val="en-US" w:eastAsia="ja-JP"/>
        </w:rPr>
        <w:t xml:space="preserve"> </w:t>
      </w:r>
      <w:r w:rsidR="00077AE5">
        <w:rPr>
          <w:lang w:val="en-US" w:eastAsia="ja-JP"/>
        </w:rPr>
        <w:t>occur</w:t>
      </w:r>
      <w:r w:rsidR="001A5649">
        <w:rPr>
          <w:lang w:val="en-US" w:eastAsia="ja-JP"/>
        </w:rPr>
        <w:t>.</w:t>
      </w:r>
      <w:r w:rsidR="004A7203">
        <w:rPr>
          <w:lang w:val="en-US" w:eastAsia="ja-JP"/>
        </w:rPr>
        <w:t xml:space="preserve"> The enriched or slightly depleted C </w:t>
      </w:r>
      <w:r w:rsidR="00B9664D">
        <w:rPr>
          <w:lang w:val="en-US" w:eastAsia="ja-JP"/>
        </w:rPr>
        <w:t xml:space="preserve">loss </w:t>
      </w:r>
      <w:r w:rsidR="004A7203">
        <w:rPr>
          <w:lang w:val="en-US" w:eastAsia="ja-JP"/>
        </w:rPr>
        <w:t>cou</w:t>
      </w:r>
      <w:r w:rsidR="00134307">
        <w:rPr>
          <w:lang w:val="en-US" w:eastAsia="ja-JP"/>
        </w:rPr>
        <w:t>ld leave</w:t>
      </w:r>
      <w:r w:rsidR="0069682C">
        <w:rPr>
          <w:lang w:val="en-US" w:eastAsia="ja-JP"/>
        </w:rPr>
        <w:t xml:space="preserve"> </w:t>
      </w:r>
      <w:r w:rsidR="004F1076">
        <w:rPr>
          <w:lang w:val="en-US" w:eastAsia="ja-JP"/>
        </w:rPr>
        <w:t xml:space="preserve">more depleted </w:t>
      </w:r>
      <w:r w:rsidR="004F1076" w:rsidRPr="00AD7086">
        <w:rPr>
          <w:vertAlign w:val="superscript"/>
          <w:lang w:val="en-US" w:eastAsia="ja-JP"/>
        </w:rPr>
        <w:t>12</w:t>
      </w:r>
      <w:r w:rsidR="004F1076">
        <w:rPr>
          <w:lang w:val="en-US" w:eastAsia="ja-JP"/>
        </w:rPr>
        <w:t>C:</w:t>
      </w:r>
      <w:r w:rsidR="004F1076" w:rsidRPr="00AD7086">
        <w:rPr>
          <w:vertAlign w:val="superscript"/>
          <w:lang w:val="en-US" w:eastAsia="ja-JP"/>
        </w:rPr>
        <w:t>1</w:t>
      </w:r>
      <w:r w:rsidR="00437AF3" w:rsidRPr="00AD7086">
        <w:rPr>
          <w:vertAlign w:val="superscript"/>
          <w:lang w:val="en-US" w:eastAsia="ja-JP"/>
        </w:rPr>
        <w:t>3</w:t>
      </w:r>
      <w:r w:rsidR="00437AF3">
        <w:rPr>
          <w:lang w:val="en-US" w:eastAsia="ja-JP"/>
        </w:rPr>
        <w:t xml:space="preserve">C </w:t>
      </w:r>
      <w:r w:rsidR="006A052D">
        <w:rPr>
          <w:lang w:val="en-US" w:eastAsia="ja-JP"/>
        </w:rPr>
        <w:t xml:space="preserve">behind, thus </w:t>
      </w:r>
      <w:r w:rsidR="00BF0ABF" w:rsidRPr="00AD7086">
        <w:rPr>
          <w:vertAlign w:val="superscript"/>
          <w:lang w:val="en-US" w:eastAsia="ja-JP"/>
        </w:rPr>
        <w:t>12</w:t>
      </w:r>
      <w:r w:rsidR="00BF0ABF">
        <w:rPr>
          <w:lang w:val="en-US" w:eastAsia="ja-JP"/>
        </w:rPr>
        <w:t>C:</w:t>
      </w:r>
      <w:r w:rsidR="00BF0ABF" w:rsidRPr="00AD7086">
        <w:rPr>
          <w:vertAlign w:val="superscript"/>
          <w:lang w:val="en-US" w:eastAsia="ja-JP"/>
        </w:rPr>
        <w:t>13</w:t>
      </w:r>
      <w:r w:rsidR="00BF0ABF">
        <w:rPr>
          <w:lang w:val="en-US" w:eastAsia="ja-JP"/>
        </w:rPr>
        <w:t xml:space="preserve">C </w:t>
      </w:r>
      <w:r w:rsidR="00437AF3">
        <w:rPr>
          <w:lang w:val="en-US" w:eastAsia="ja-JP"/>
        </w:rPr>
        <w:t>ratio</w:t>
      </w:r>
      <w:r w:rsidR="00C73262">
        <w:rPr>
          <w:lang w:val="en-US" w:eastAsia="ja-JP"/>
        </w:rPr>
        <w:t xml:space="preserve">s </w:t>
      </w:r>
      <w:r w:rsidR="00686697">
        <w:rPr>
          <w:lang w:val="en-US" w:eastAsia="ja-JP"/>
        </w:rPr>
        <w:t xml:space="preserve">decline </w:t>
      </w:r>
      <w:r w:rsidR="00C73262">
        <w:rPr>
          <w:lang w:val="en-US" w:eastAsia="ja-JP"/>
        </w:rPr>
        <w:t>with declining total C</w:t>
      </w:r>
      <w:r w:rsidR="00F76B76">
        <w:rPr>
          <w:lang w:val="en-US" w:eastAsia="ja-JP"/>
        </w:rPr>
        <w:t xml:space="preserve"> as shown in Figure S3</w:t>
      </w:r>
      <w:r w:rsidR="001B4D2A">
        <w:rPr>
          <w:lang w:val="en-US" w:eastAsia="ja-JP"/>
        </w:rPr>
        <w:t>c</w:t>
      </w:r>
      <w:r w:rsidR="00437AF3">
        <w:rPr>
          <w:lang w:val="en-US" w:eastAsia="ja-JP"/>
        </w:rPr>
        <w:t>.</w:t>
      </w:r>
      <w:r w:rsidR="00EB1A76">
        <w:rPr>
          <w:lang w:val="en-US" w:eastAsia="ja-JP"/>
        </w:rPr>
        <w:t xml:space="preserve"> Neither the C gain or C loss scenario support </w:t>
      </w:r>
      <w:r w:rsidR="00DB2031">
        <w:rPr>
          <w:lang w:val="en-US" w:eastAsia="ja-JP"/>
        </w:rPr>
        <w:t>depleted</w:t>
      </w:r>
      <w:r w:rsidR="00EB1A76">
        <w:rPr>
          <w:lang w:val="en-US" w:eastAsia="ja-JP"/>
        </w:rPr>
        <w:t xml:space="preserve"> </w:t>
      </w:r>
      <w:r w:rsidR="00EB1A76" w:rsidRPr="00EB1A76">
        <w:rPr>
          <w:vertAlign w:val="superscript"/>
          <w:lang w:val="en-US" w:eastAsia="ja-JP"/>
        </w:rPr>
        <w:t>13</w:t>
      </w:r>
      <w:r w:rsidR="00EB1A76">
        <w:rPr>
          <w:lang w:val="en-US" w:eastAsia="ja-JP"/>
        </w:rPr>
        <w:t>C sources</w:t>
      </w:r>
      <w:r w:rsidR="00D51172">
        <w:rPr>
          <w:lang w:val="en-US" w:eastAsia="ja-JP"/>
        </w:rPr>
        <w:t xml:space="preserve"> for the </w:t>
      </w:r>
      <w:r w:rsidR="00B61696">
        <w:rPr>
          <w:lang w:val="en-US" w:eastAsia="ja-JP"/>
        </w:rPr>
        <w:t>three youngest sediments</w:t>
      </w:r>
      <w:r w:rsidR="00EB1A76">
        <w:rPr>
          <w:lang w:val="en-US" w:eastAsia="ja-JP"/>
        </w:rPr>
        <w:t>.</w:t>
      </w:r>
      <w:r w:rsidR="004A7203">
        <w:rPr>
          <w:lang w:val="en-US" w:eastAsia="ja-JP"/>
        </w:rPr>
        <w:t xml:space="preserve"> </w:t>
      </w:r>
    </w:p>
    <w:p w14:paraId="2F406B6B" w14:textId="7CC370F2" w:rsidR="00CC3E66" w:rsidRDefault="00212567" w:rsidP="00020B0D">
      <w:pPr>
        <w:pStyle w:val="Newparagraph"/>
        <w:spacing w:after="3" w:line="473" w:lineRule="auto"/>
        <w:ind w:right="14" w:firstLine="0"/>
        <w:jc w:val="both"/>
        <w:rPr>
          <w:lang w:val="en-US" w:eastAsia="ja-JP"/>
        </w:rPr>
      </w:pPr>
      <w:r w:rsidRPr="00212567">
        <w:rPr>
          <w:noProof/>
        </w:rPr>
        <w:drawing>
          <wp:inline distT="0" distB="0" distL="0" distR="0" wp14:anchorId="5C82531E" wp14:editId="0EBB8AE8">
            <wp:extent cx="4552381" cy="2780952"/>
            <wp:effectExtent l="0" t="0" r="635" b="635"/>
            <wp:docPr id="840275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275332" name=""/>
                    <pic:cNvPicPr/>
                  </pic:nvPicPr>
                  <pic:blipFill>
                    <a:blip r:embed="rId21"/>
                    <a:stretch>
                      <a:fillRect/>
                    </a:stretch>
                  </pic:blipFill>
                  <pic:spPr>
                    <a:xfrm>
                      <a:off x="0" y="0"/>
                      <a:ext cx="4552381" cy="2780952"/>
                    </a:xfrm>
                    <a:prstGeom prst="rect">
                      <a:avLst/>
                    </a:prstGeom>
                  </pic:spPr>
                </pic:pic>
              </a:graphicData>
            </a:graphic>
          </wp:inline>
        </w:drawing>
      </w:r>
    </w:p>
    <w:p w14:paraId="059CA32D" w14:textId="66F71C9B" w:rsidR="00BA7637" w:rsidRDefault="00BA7637" w:rsidP="000B02B9">
      <w:pPr>
        <w:pStyle w:val="Figurecaption"/>
        <w:spacing w:before="0" w:after="3" w:line="473" w:lineRule="auto"/>
        <w:ind w:right="14"/>
        <w:jc w:val="both"/>
        <w:rPr>
          <w:lang w:val="en-US" w:eastAsia="ja-JP"/>
        </w:rPr>
      </w:pPr>
      <w:r w:rsidRPr="0064546E">
        <w:rPr>
          <w:lang w:val="en-US"/>
        </w:rPr>
        <w:lastRenderedPageBreak/>
        <w:t xml:space="preserve">Figure </w:t>
      </w:r>
      <w:r w:rsidR="0023191D">
        <w:rPr>
          <w:lang w:val="en-US"/>
        </w:rPr>
        <w:t>S</w:t>
      </w:r>
      <w:r>
        <w:rPr>
          <w:lang w:val="en-US"/>
        </w:rPr>
        <w:t>3</w:t>
      </w:r>
      <w:r w:rsidRPr="0064546E">
        <w:rPr>
          <w:lang w:val="en-US"/>
        </w:rPr>
        <w:t xml:space="preserve">a. </w:t>
      </w:r>
      <w:r w:rsidRPr="0064546E">
        <w:rPr>
          <w:lang w:val="en-US" w:eastAsia="ja-JP"/>
        </w:rPr>
        <w:t xml:space="preserve">The relationship between </w:t>
      </w:r>
      <w:r w:rsidRPr="0064546E">
        <w:rPr>
          <w:color w:val="000000" w:themeColor="text1"/>
          <w:vertAlign w:val="superscript"/>
          <w:lang w:val="en-US"/>
        </w:rPr>
        <w:t>12</w:t>
      </w:r>
      <w:r w:rsidRPr="0064546E">
        <w:rPr>
          <w:color w:val="000000" w:themeColor="text1"/>
          <w:lang w:val="en-US"/>
        </w:rPr>
        <w:t>C</w:t>
      </w:r>
      <w:r w:rsidR="00AC380F">
        <w:rPr>
          <w:color w:val="000000" w:themeColor="text1"/>
          <w:lang w:val="en-US"/>
        </w:rPr>
        <w:t>H</w:t>
      </w:r>
      <w:r w:rsidR="00AC380F" w:rsidRPr="00AC380F">
        <w:rPr>
          <w:color w:val="000000" w:themeColor="text1"/>
          <w:vertAlign w:val="subscript"/>
          <w:lang w:val="en-US"/>
        </w:rPr>
        <w:t>4</w:t>
      </w:r>
      <w:r w:rsidRPr="0064546E">
        <w:rPr>
          <w:color w:val="000000" w:themeColor="text1"/>
          <w:lang w:val="en-US"/>
        </w:rPr>
        <w:t xml:space="preserve"> and</w:t>
      </w:r>
      <w:r w:rsidRPr="0064546E">
        <w:rPr>
          <w:lang w:val="en-US" w:eastAsia="ja-JP"/>
        </w:rPr>
        <w:t xml:space="preserve"> </w:t>
      </w:r>
      <w:r w:rsidRPr="0064546E">
        <w:rPr>
          <w:color w:val="000000" w:themeColor="text1"/>
          <w:vertAlign w:val="superscript"/>
          <w:lang w:val="en-US"/>
        </w:rPr>
        <w:t>13</w:t>
      </w:r>
      <w:r w:rsidRPr="0064546E">
        <w:rPr>
          <w:color w:val="000000" w:themeColor="text1"/>
          <w:lang w:val="en-US"/>
        </w:rPr>
        <w:t>C</w:t>
      </w:r>
      <w:r w:rsidR="00AC380F">
        <w:rPr>
          <w:color w:val="000000" w:themeColor="text1"/>
          <w:lang w:val="en-US"/>
        </w:rPr>
        <w:t>H</w:t>
      </w:r>
      <w:r w:rsidR="00AC380F" w:rsidRPr="00AC380F">
        <w:rPr>
          <w:color w:val="000000" w:themeColor="text1"/>
          <w:vertAlign w:val="subscript"/>
          <w:lang w:val="en-US"/>
        </w:rPr>
        <w:t>4</w:t>
      </w:r>
      <w:r w:rsidRPr="0064546E">
        <w:rPr>
          <w:lang w:val="en-US" w:eastAsia="ja-JP"/>
        </w:rPr>
        <w:t xml:space="preserve"> for </w:t>
      </w:r>
      <w:r w:rsidR="00B95ADD">
        <w:rPr>
          <w:lang w:val="en-US" w:eastAsia="ja-JP"/>
        </w:rPr>
        <w:t xml:space="preserve">Stimson, </w:t>
      </w:r>
      <w:r w:rsidR="00AC380F">
        <w:rPr>
          <w:lang w:val="en-US" w:eastAsia="ja-JP"/>
        </w:rPr>
        <w:t xml:space="preserve">Carolyn Shoemaker, Murray and </w:t>
      </w:r>
      <w:r w:rsidRPr="0064546E">
        <w:rPr>
          <w:lang w:val="en-US" w:eastAsia="ja-JP"/>
        </w:rPr>
        <w:t>Sheepbed sediment samples</w:t>
      </w:r>
      <w:r w:rsidR="00AC380F">
        <w:rPr>
          <w:lang w:val="en-US" w:eastAsia="ja-JP"/>
        </w:rPr>
        <w:t xml:space="preserve"> </w:t>
      </w:r>
      <w:r w:rsidR="00AC380F" w:rsidRPr="0064546E">
        <w:rPr>
          <w:lang w:val="en-US" w:eastAsia="ja-JP"/>
        </w:rPr>
        <w:t>collected and analyzed with the Curiosity rover at Gale crater, Mars.</w:t>
      </w:r>
      <w:r w:rsidRPr="0064546E">
        <w:rPr>
          <w:lang w:val="en-US" w:eastAsia="ja-JP"/>
        </w:rPr>
        <w:t xml:space="preserve"> </w:t>
      </w:r>
      <w:r w:rsidR="00AC380F" w:rsidRPr="0064546E">
        <w:rPr>
          <w:lang w:val="en-US" w:eastAsia="ja-JP"/>
        </w:rPr>
        <w:t xml:space="preserve">The </w:t>
      </w:r>
      <w:r w:rsidR="00AC380F" w:rsidRPr="00AC380F">
        <w:rPr>
          <w:i/>
          <w:iCs/>
          <w:lang w:val="en-US" w:eastAsia="ja-JP"/>
        </w:rPr>
        <w:t>x</w:t>
      </w:r>
      <w:r w:rsidR="00AC380F" w:rsidRPr="0064546E">
        <w:rPr>
          <w:vertAlign w:val="superscript"/>
          <w:lang w:val="en-US" w:eastAsia="ja-JP"/>
        </w:rPr>
        <w:t>2</w:t>
      </w:r>
      <w:r w:rsidR="00AC380F" w:rsidRPr="0064546E">
        <w:rPr>
          <w:lang w:val="en-US" w:eastAsia="ja-JP"/>
        </w:rPr>
        <w:t xml:space="preserve"> term for polynomial equation</w:t>
      </w:r>
      <w:r w:rsidR="00AC380F">
        <w:rPr>
          <w:lang w:val="en-US" w:eastAsia="ja-JP"/>
        </w:rPr>
        <w:t>s</w:t>
      </w:r>
      <w:r w:rsidR="00AC380F" w:rsidRPr="0064546E">
        <w:rPr>
          <w:lang w:val="en-US" w:eastAsia="ja-JP"/>
        </w:rPr>
        <w:t xml:space="preserve"> </w:t>
      </w:r>
      <w:r w:rsidR="00AC380F">
        <w:rPr>
          <w:lang w:val="en-US" w:eastAsia="ja-JP"/>
        </w:rPr>
        <w:t xml:space="preserve">for any of the relationships shown are </w:t>
      </w:r>
      <w:r w:rsidR="00AC380F" w:rsidRPr="0064546E">
        <w:rPr>
          <w:lang w:val="en-US" w:eastAsia="ja-JP"/>
        </w:rPr>
        <w:t xml:space="preserve">not </w:t>
      </w:r>
      <w:r w:rsidR="00AC380F">
        <w:rPr>
          <w:lang w:val="en-US" w:eastAsia="ja-JP"/>
        </w:rPr>
        <w:t xml:space="preserve">statistically </w:t>
      </w:r>
      <w:r w:rsidR="00AC380F" w:rsidRPr="0064546E">
        <w:rPr>
          <w:lang w:val="en-US" w:eastAsia="ja-JP"/>
        </w:rPr>
        <w:t>significant (</w:t>
      </w:r>
      <w:r w:rsidR="00AC380F" w:rsidRPr="0064546E">
        <w:rPr>
          <w:i/>
          <w:iCs/>
          <w:lang w:val="en-US" w:eastAsia="ja-JP"/>
        </w:rPr>
        <w:t>p</w:t>
      </w:r>
      <w:r w:rsidR="00AC380F" w:rsidRPr="0064546E">
        <w:rPr>
          <w:lang w:val="en-US" w:eastAsia="ja-JP"/>
        </w:rPr>
        <w:t xml:space="preserve"> </w:t>
      </w:r>
      <w:r w:rsidR="00AC380F">
        <w:rPr>
          <w:lang w:val="en-US" w:eastAsia="ja-JP"/>
        </w:rPr>
        <w:t>&gt;</w:t>
      </w:r>
      <w:r w:rsidR="00AC380F" w:rsidRPr="0064546E">
        <w:rPr>
          <w:lang w:val="en-US" w:eastAsia="ja-JP"/>
        </w:rPr>
        <w:t xml:space="preserve"> 0.</w:t>
      </w:r>
      <w:r w:rsidR="00AC380F">
        <w:rPr>
          <w:lang w:val="en-US" w:eastAsia="ja-JP"/>
        </w:rPr>
        <w:t>5</w:t>
      </w:r>
      <w:r w:rsidR="00AC380F" w:rsidRPr="0064546E">
        <w:rPr>
          <w:lang w:val="en-US" w:eastAsia="ja-JP"/>
        </w:rPr>
        <w:t xml:space="preserve">) and adding the curvature component does not substantially change the </w:t>
      </w:r>
      <w:r w:rsidR="00AC380F" w:rsidRPr="0064546E">
        <w:rPr>
          <w:i/>
          <w:iCs/>
          <w:lang w:val="en-US" w:eastAsia="ja-JP"/>
        </w:rPr>
        <w:t>y</w:t>
      </w:r>
      <w:r w:rsidR="00AC380F" w:rsidRPr="0064546E">
        <w:rPr>
          <w:lang w:val="en-US" w:eastAsia="ja-JP"/>
        </w:rPr>
        <w:t>-intercept term</w:t>
      </w:r>
      <w:r w:rsidR="00177A25">
        <w:rPr>
          <w:lang w:val="en-US" w:eastAsia="ja-JP"/>
        </w:rPr>
        <w:t>s</w:t>
      </w:r>
      <w:r w:rsidR="00AC380F" w:rsidRPr="0064546E">
        <w:rPr>
          <w:lang w:val="en-US" w:eastAsia="ja-JP"/>
        </w:rPr>
        <w:t>.</w:t>
      </w:r>
      <w:r w:rsidR="00AC380F">
        <w:rPr>
          <w:lang w:val="en-US" w:eastAsia="ja-JP"/>
        </w:rPr>
        <w:t xml:space="preserve"> </w:t>
      </w:r>
      <w:r w:rsidR="00966D92">
        <w:rPr>
          <w:lang w:val="en-US" w:eastAsia="ja-JP"/>
        </w:rPr>
        <w:t xml:space="preserve">An outlier for the Carolyn Shoemaker formation that was kept for this analysis but not included in the mixing line presentation (Figure S3e) is shown. </w:t>
      </w:r>
      <w:r w:rsidR="00177A25">
        <w:rPr>
          <w:lang w:val="en-US" w:eastAsia="ja-JP"/>
        </w:rPr>
        <w:t xml:space="preserve">Regression equation slopes represent the </w:t>
      </w:r>
      <w:r w:rsidR="00177A25" w:rsidRPr="00177A25">
        <w:rPr>
          <w:vertAlign w:val="superscript"/>
          <w:lang w:val="en-US" w:eastAsia="ja-JP"/>
        </w:rPr>
        <w:t>13</w:t>
      </w:r>
      <w:r w:rsidR="00177A25">
        <w:rPr>
          <w:lang w:val="en-US" w:eastAsia="ja-JP"/>
        </w:rPr>
        <w:t>C:</w:t>
      </w:r>
      <w:r w:rsidR="00177A25" w:rsidRPr="00177A25">
        <w:rPr>
          <w:vertAlign w:val="superscript"/>
          <w:lang w:val="en-US" w:eastAsia="ja-JP"/>
        </w:rPr>
        <w:t>12</w:t>
      </w:r>
      <w:r w:rsidR="00177A25">
        <w:rPr>
          <w:lang w:val="en-US" w:eastAsia="ja-JP"/>
        </w:rPr>
        <w:t>C source of methane either added to or removed from the systems.</w:t>
      </w:r>
      <w:r w:rsidR="008D46B6">
        <w:rPr>
          <w:lang w:val="en-US" w:eastAsia="ja-JP"/>
        </w:rPr>
        <w:t xml:space="preserve"> The values in parentheses at the start of the legends are the </w:t>
      </w:r>
      <w:r w:rsidR="008D46B6" w:rsidRPr="0064546E">
        <w:rPr>
          <w:lang w:val="en-US"/>
        </w:rPr>
        <w:t>δ</w:t>
      </w:r>
      <w:r w:rsidR="008D46B6" w:rsidRPr="00AC380F">
        <w:rPr>
          <w:vertAlign w:val="superscript"/>
          <w:lang w:val="en-US" w:eastAsia="ja-JP"/>
        </w:rPr>
        <w:t>13</w:t>
      </w:r>
      <w:r w:rsidR="008D46B6">
        <w:rPr>
          <w:lang w:val="en-US" w:eastAsia="ja-JP"/>
        </w:rPr>
        <w:t>C</w:t>
      </w:r>
      <w:r w:rsidR="008D46B6" w:rsidRPr="0064546E">
        <w:rPr>
          <w:lang w:val="en-US" w:eastAsia="ja-JP"/>
        </w:rPr>
        <w:t xml:space="preserve"> </w:t>
      </w:r>
      <w:r w:rsidR="008D46B6">
        <w:rPr>
          <w:lang w:val="en-US" w:eastAsia="ja-JP"/>
        </w:rPr>
        <w:t xml:space="preserve">equivalents of the linear slopes. </w:t>
      </w:r>
      <w:r w:rsidR="008D46B6" w:rsidRPr="0064546E">
        <w:rPr>
          <w:lang w:val="en-US" w:eastAsia="ja-JP"/>
        </w:rPr>
        <w:t>Data after House et al. (2022).</w:t>
      </w:r>
    </w:p>
    <w:p w14:paraId="2D629D89" w14:textId="77777777" w:rsidR="00035065" w:rsidRDefault="00035065" w:rsidP="00035065">
      <w:pPr>
        <w:rPr>
          <w:lang w:eastAsia="ja-JP"/>
        </w:rPr>
      </w:pPr>
    </w:p>
    <w:p w14:paraId="61159D24" w14:textId="77777777" w:rsidR="00035065" w:rsidRDefault="00035065" w:rsidP="00035065">
      <w:pPr>
        <w:ind w:left="0" w:right="14"/>
        <w:rPr>
          <w:rFonts w:asciiTheme="majorBidi" w:hAnsiTheme="majorBidi" w:cstheme="majorBidi"/>
        </w:rPr>
      </w:pPr>
      <w:r w:rsidRPr="008A74DD">
        <w:rPr>
          <w:noProof/>
        </w:rPr>
        <w:drawing>
          <wp:inline distT="0" distB="0" distL="0" distR="0" wp14:anchorId="7BCE2709" wp14:editId="2EBC7556">
            <wp:extent cx="4561905" cy="2780952"/>
            <wp:effectExtent l="0" t="0" r="0" b="635"/>
            <wp:docPr id="985702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702344" name=""/>
                    <pic:cNvPicPr/>
                  </pic:nvPicPr>
                  <pic:blipFill>
                    <a:blip r:embed="rId22"/>
                    <a:stretch>
                      <a:fillRect/>
                    </a:stretch>
                  </pic:blipFill>
                  <pic:spPr>
                    <a:xfrm>
                      <a:off x="0" y="0"/>
                      <a:ext cx="4561905" cy="2780952"/>
                    </a:xfrm>
                    <a:prstGeom prst="rect">
                      <a:avLst/>
                    </a:prstGeom>
                  </pic:spPr>
                </pic:pic>
              </a:graphicData>
            </a:graphic>
          </wp:inline>
        </w:drawing>
      </w:r>
    </w:p>
    <w:p w14:paraId="153A61FF" w14:textId="70D0E1C2" w:rsidR="00035065" w:rsidRDefault="00035065" w:rsidP="00035065">
      <w:pPr>
        <w:pStyle w:val="Figurecaption"/>
        <w:spacing w:before="0" w:after="3" w:line="473" w:lineRule="auto"/>
        <w:ind w:right="14"/>
        <w:jc w:val="both"/>
        <w:rPr>
          <w:lang w:val="en-US" w:eastAsia="ja-JP"/>
        </w:rPr>
      </w:pPr>
      <w:r w:rsidRPr="0064546E">
        <w:rPr>
          <w:lang w:val="en-US"/>
        </w:rPr>
        <w:t xml:space="preserve">Figure </w:t>
      </w:r>
      <w:r>
        <w:rPr>
          <w:lang w:val="en-US"/>
        </w:rPr>
        <w:t>S3b</w:t>
      </w:r>
      <w:r w:rsidRPr="0064546E">
        <w:rPr>
          <w:lang w:val="en-US"/>
        </w:rPr>
        <w:t>. The relationship between C</w:t>
      </w:r>
      <w:r>
        <w:rPr>
          <w:lang w:val="en-US"/>
        </w:rPr>
        <w:t>H</w:t>
      </w:r>
      <w:r w:rsidRPr="00CA2ABA">
        <w:rPr>
          <w:vertAlign w:val="subscript"/>
          <w:lang w:val="en-US"/>
        </w:rPr>
        <w:t>4</w:t>
      </w:r>
      <w:r w:rsidRPr="0064546E">
        <w:rPr>
          <w:lang w:val="en-US"/>
        </w:rPr>
        <w:t xml:space="preserve"> concentration and δ</w:t>
      </w:r>
      <w:r w:rsidRPr="009F03EE">
        <w:rPr>
          <w:vertAlign w:val="superscript"/>
          <w:lang w:val="en-US"/>
        </w:rPr>
        <w:t>13</w:t>
      </w:r>
      <w:r w:rsidRPr="0064546E">
        <w:rPr>
          <w:lang w:val="en-US"/>
        </w:rPr>
        <w:t xml:space="preserve">C for Sheepbed sediment samples (mudstone) collected and analyzed with the Curiosity rover at Gale crater, Mars. </w:t>
      </w:r>
      <w:r>
        <w:rPr>
          <w:lang w:val="en-US" w:eastAsia="ja-JP"/>
        </w:rPr>
        <w:t xml:space="preserve">Values in parenthesis are the corresponding delta values for the </w:t>
      </w:r>
      <w:r w:rsidRPr="0064546E">
        <w:rPr>
          <w:vertAlign w:val="superscript"/>
          <w:lang w:val="en-US"/>
        </w:rPr>
        <w:t>13</w:t>
      </w:r>
      <w:r w:rsidRPr="0064546E">
        <w:rPr>
          <w:lang w:val="en-US"/>
        </w:rPr>
        <w:t>C</w:t>
      </w:r>
      <w:r>
        <w:rPr>
          <w:lang w:val="en-US"/>
        </w:rPr>
        <w:t>:</w:t>
      </w:r>
      <w:r w:rsidRPr="00CC37F7">
        <w:rPr>
          <w:vertAlign w:val="superscript"/>
          <w:lang w:val="en-US"/>
        </w:rPr>
        <w:t>12</w:t>
      </w:r>
      <w:r>
        <w:rPr>
          <w:lang w:val="en-US"/>
        </w:rPr>
        <w:t>C ratio</w:t>
      </w:r>
      <w:r w:rsidRPr="0064546E">
        <w:rPr>
          <w:lang w:val="en-US"/>
        </w:rPr>
        <w:t xml:space="preserve"> </w:t>
      </w:r>
      <w:r>
        <w:rPr>
          <w:lang w:val="en-US"/>
        </w:rPr>
        <w:t xml:space="preserve">presented. </w:t>
      </w:r>
      <w:r w:rsidRPr="0064546E">
        <w:rPr>
          <w:lang w:val="en-US"/>
        </w:rPr>
        <w:t xml:space="preserve">The Sheepbed samples were the first that the Curiosity rover collected and come from an ancient habitable environment for life on Mars (Grotzinger et al. 2014). The predicted relationship is derived from the </w:t>
      </w:r>
      <w:r w:rsidRPr="0083657B">
        <w:rPr>
          <w:vertAlign w:val="superscript"/>
          <w:lang w:val="en-US"/>
        </w:rPr>
        <w:t>12</w:t>
      </w:r>
      <w:r>
        <w:rPr>
          <w:lang w:val="en-US"/>
        </w:rPr>
        <w:t>C</w:t>
      </w:r>
      <w:r w:rsidRPr="0064546E">
        <w:rPr>
          <w:lang w:val="en-US"/>
        </w:rPr>
        <w:t xml:space="preserve"> vs.</w:t>
      </w:r>
      <w:r>
        <w:rPr>
          <w:lang w:val="en-US"/>
        </w:rPr>
        <w:t xml:space="preserve"> </w:t>
      </w:r>
      <w:r w:rsidRPr="0083657B">
        <w:rPr>
          <w:vertAlign w:val="superscript"/>
          <w:lang w:val="en-US"/>
        </w:rPr>
        <w:t>13</w:t>
      </w:r>
      <w:r>
        <w:rPr>
          <w:lang w:val="en-US"/>
        </w:rPr>
        <w:t>C</w:t>
      </w:r>
      <w:r w:rsidRPr="0064546E">
        <w:rPr>
          <w:lang w:val="en-US"/>
        </w:rPr>
        <w:t xml:space="preserve"> plot for the Sheepbed samples in Figure </w:t>
      </w:r>
      <w:r>
        <w:rPr>
          <w:lang w:val="en-US"/>
        </w:rPr>
        <w:t>S3</w:t>
      </w:r>
      <w:r w:rsidRPr="0064546E">
        <w:rPr>
          <w:lang w:val="en-US"/>
        </w:rPr>
        <w:t xml:space="preserve">a. </w:t>
      </w:r>
      <w:r>
        <w:rPr>
          <w:lang w:val="en-US"/>
        </w:rPr>
        <w:t xml:space="preserve">The relationship between </w:t>
      </w:r>
      <w:r w:rsidRPr="00874541">
        <w:rPr>
          <w:vertAlign w:val="superscript"/>
          <w:lang w:val="en-US"/>
        </w:rPr>
        <w:t>12</w:t>
      </w:r>
      <w:r>
        <w:rPr>
          <w:lang w:val="en-US"/>
        </w:rPr>
        <w:t>CH</w:t>
      </w:r>
      <w:r w:rsidRPr="004834C0">
        <w:rPr>
          <w:vertAlign w:val="subscript"/>
          <w:lang w:val="en-US"/>
        </w:rPr>
        <w:t xml:space="preserve">4 </w:t>
      </w:r>
      <w:r>
        <w:rPr>
          <w:lang w:val="en-US"/>
        </w:rPr>
        <w:t xml:space="preserve">(and the highly correlated total C) and </w:t>
      </w:r>
      <w:r w:rsidRPr="00874541">
        <w:rPr>
          <w:vertAlign w:val="superscript"/>
          <w:lang w:val="en-US"/>
        </w:rPr>
        <w:t>13</w:t>
      </w:r>
      <w:r>
        <w:rPr>
          <w:lang w:val="en-US"/>
        </w:rPr>
        <w:t>C:</w:t>
      </w:r>
      <w:r w:rsidRPr="00874541">
        <w:rPr>
          <w:vertAlign w:val="superscript"/>
          <w:lang w:val="en-US"/>
        </w:rPr>
        <w:t>12</w:t>
      </w:r>
      <w:r>
        <w:rPr>
          <w:lang w:val="en-US"/>
        </w:rPr>
        <w:t xml:space="preserve">C ratio generally follow the expected decrease in </w:t>
      </w:r>
      <w:r w:rsidRPr="009F03EE">
        <w:rPr>
          <w:vertAlign w:val="superscript"/>
          <w:lang w:val="en-US"/>
        </w:rPr>
        <w:t>13</w:t>
      </w:r>
      <w:r w:rsidRPr="0064546E">
        <w:rPr>
          <w:lang w:val="en-US"/>
        </w:rPr>
        <w:t>C</w:t>
      </w:r>
      <w:r>
        <w:rPr>
          <w:lang w:val="en-US"/>
        </w:rPr>
        <w:t>:</w:t>
      </w:r>
      <w:r w:rsidRPr="004834C0">
        <w:rPr>
          <w:vertAlign w:val="superscript"/>
          <w:lang w:val="en-US"/>
        </w:rPr>
        <w:t>12</w:t>
      </w:r>
      <w:r>
        <w:rPr>
          <w:lang w:val="en-US"/>
        </w:rPr>
        <w:t xml:space="preserve">C </w:t>
      </w:r>
      <w:r>
        <w:rPr>
          <w:lang w:val="en-US"/>
        </w:rPr>
        <w:lastRenderedPageBreak/>
        <w:t xml:space="preserve">ratios as total C increases for a system with a depleted source and less depleted backgrounds suggested by the regressions in Figure S3a. </w:t>
      </w:r>
      <w:r w:rsidRPr="0064546E">
        <w:rPr>
          <w:lang w:val="en-US"/>
        </w:rPr>
        <w:t>Data after House et al. (2022)</w:t>
      </w:r>
      <w:r w:rsidRPr="0064546E">
        <w:rPr>
          <w:lang w:val="en-US" w:eastAsia="ja-JP"/>
        </w:rPr>
        <w:t xml:space="preserve">. </w:t>
      </w:r>
    </w:p>
    <w:p w14:paraId="300563DB" w14:textId="4179827E" w:rsidR="00540715" w:rsidRDefault="009C674A" w:rsidP="00540715">
      <w:pPr>
        <w:rPr>
          <w:lang w:eastAsia="ja-JP"/>
        </w:rPr>
      </w:pPr>
      <w:r w:rsidRPr="009C674A">
        <w:rPr>
          <w:noProof/>
        </w:rPr>
        <w:drawing>
          <wp:inline distT="0" distB="0" distL="0" distR="0" wp14:anchorId="5B611464" wp14:editId="36581CDE">
            <wp:extent cx="4561905" cy="2790476"/>
            <wp:effectExtent l="0" t="0" r="0" b="0"/>
            <wp:docPr id="1103943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943992" name=""/>
                    <pic:cNvPicPr/>
                  </pic:nvPicPr>
                  <pic:blipFill>
                    <a:blip r:embed="rId23"/>
                    <a:stretch>
                      <a:fillRect/>
                    </a:stretch>
                  </pic:blipFill>
                  <pic:spPr>
                    <a:xfrm>
                      <a:off x="0" y="0"/>
                      <a:ext cx="4561905" cy="2790476"/>
                    </a:xfrm>
                    <a:prstGeom prst="rect">
                      <a:avLst/>
                    </a:prstGeom>
                  </pic:spPr>
                </pic:pic>
              </a:graphicData>
            </a:graphic>
          </wp:inline>
        </w:drawing>
      </w:r>
    </w:p>
    <w:p w14:paraId="2B42E9A4" w14:textId="7DED0A42" w:rsidR="008A72B2" w:rsidRDefault="0079066F" w:rsidP="00225A76">
      <w:pPr>
        <w:pStyle w:val="Figurecaption"/>
        <w:spacing w:before="0" w:after="3" w:line="473" w:lineRule="auto"/>
        <w:ind w:right="14" w:firstLine="720"/>
        <w:jc w:val="both"/>
        <w:rPr>
          <w:lang w:val="en-US" w:eastAsia="ja-JP"/>
        </w:rPr>
      </w:pPr>
      <w:r w:rsidRPr="0064546E">
        <w:rPr>
          <w:lang w:val="en-US"/>
        </w:rPr>
        <w:t xml:space="preserve">Figure </w:t>
      </w:r>
      <w:r>
        <w:rPr>
          <w:lang w:val="en-US"/>
        </w:rPr>
        <w:t>S3</w:t>
      </w:r>
      <w:r w:rsidR="00035065">
        <w:rPr>
          <w:lang w:val="en-US"/>
        </w:rPr>
        <w:t>c</w:t>
      </w:r>
      <w:r w:rsidRPr="0064546E">
        <w:rPr>
          <w:lang w:val="en-US"/>
        </w:rPr>
        <w:t>. The relationship between C</w:t>
      </w:r>
      <w:r>
        <w:rPr>
          <w:lang w:val="en-US"/>
        </w:rPr>
        <w:t>H</w:t>
      </w:r>
      <w:r w:rsidRPr="00CA2ABA">
        <w:rPr>
          <w:vertAlign w:val="subscript"/>
          <w:lang w:val="en-US"/>
        </w:rPr>
        <w:t>4</w:t>
      </w:r>
      <w:r w:rsidRPr="0064546E">
        <w:rPr>
          <w:lang w:val="en-US"/>
        </w:rPr>
        <w:t xml:space="preserve"> concentration and </w:t>
      </w:r>
      <w:r w:rsidRPr="009F03EE">
        <w:rPr>
          <w:vertAlign w:val="superscript"/>
          <w:lang w:val="en-US"/>
        </w:rPr>
        <w:t>13</w:t>
      </w:r>
      <w:r w:rsidRPr="0064546E">
        <w:rPr>
          <w:lang w:val="en-US"/>
        </w:rPr>
        <w:t>C</w:t>
      </w:r>
      <w:r w:rsidR="004834C0">
        <w:rPr>
          <w:lang w:val="en-US"/>
        </w:rPr>
        <w:t>:</w:t>
      </w:r>
      <w:r w:rsidR="004834C0" w:rsidRPr="004834C0">
        <w:rPr>
          <w:vertAlign w:val="superscript"/>
          <w:lang w:val="en-US"/>
        </w:rPr>
        <w:t>12</w:t>
      </w:r>
      <w:r w:rsidR="004834C0">
        <w:rPr>
          <w:lang w:val="en-US"/>
        </w:rPr>
        <w:t>C ratios</w:t>
      </w:r>
      <w:r w:rsidRPr="0064546E">
        <w:rPr>
          <w:lang w:val="en-US"/>
        </w:rPr>
        <w:t xml:space="preserve"> for </w:t>
      </w:r>
      <w:r w:rsidR="00091A24">
        <w:rPr>
          <w:lang w:val="en-US"/>
        </w:rPr>
        <w:t>t</w:t>
      </w:r>
      <w:r w:rsidR="00091A24" w:rsidRPr="0064546E">
        <w:rPr>
          <w:lang w:val="en-US"/>
        </w:rPr>
        <w:t>he S</w:t>
      </w:r>
      <w:r w:rsidR="00091A24">
        <w:rPr>
          <w:lang w:val="en-US"/>
        </w:rPr>
        <w:t xml:space="preserve">timson, Murray and Carolyn Shoemaker </w:t>
      </w:r>
      <w:r w:rsidR="00091A24" w:rsidRPr="0064546E">
        <w:rPr>
          <w:lang w:val="en-US"/>
        </w:rPr>
        <w:t xml:space="preserve">samples </w:t>
      </w:r>
      <w:r w:rsidRPr="0064546E">
        <w:rPr>
          <w:lang w:val="en-US"/>
        </w:rPr>
        <w:t>collected and analyzed with the Curiosity rover at Gale crater, Mars.</w:t>
      </w:r>
      <w:r w:rsidR="004834C0">
        <w:rPr>
          <w:lang w:val="en-US"/>
        </w:rPr>
        <w:t xml:space="preserve"> </w:t>
      </w:r>
      <w:r w:rsidR="004834C0">
        <w:rPr>
          <w:lang w:val="en-US" w:eastAsia="ja-JP"/>
        </w:rPr>
        <w:t xml:space="preserve">Values in parenthesis are the corresponding delta values for the </w:t>
      </w:r>
      <w:r w:rsidR="004834C0" w:rsidRPr="0064546E">
        <w:rPr>
          <w:vertAlign w:val="superscript"/>
          <w:lang w:val="en-US"/>
        </w:rPr>
        <w:t>13</w:t>
      </w:r>
      <w:r w:rsidR="004834C0" w:rsidRPr="0064546E">
        <w:rPr>
          <w:lang w:val="en-US"/>
        </w:rPr>
        <w:t>C</w:t>
      </w:r>
      <w:r w:rsidR="004834C0">
        <w:rPr>
          <w:lang w:val="en-US"/>
        </w:rPr>
        <w:t>:</w:t>
      </w:r>
      <w:r w:rsidR="004834C0" w:rsidRPr="00CC37F7">
        <w:rPr>
          <w:vertAlign w:val="superscript"/>
          <w:lang w:val="en-US"/>
        </w:rPr>
        <w:t>12</w:t>
      </w:r>
      <w:r w:rsidR="004834C0">
        <w:rPr>
          <w:lang w:val="en-US"/>
        </w:rPr>
        <w:t>C ratio</w:t>
      </w:r>
      <w:r w:rsidR="004834C0" w:rsidRPr="0064546E">
        <w:rPr>
          <w:lang w:val="en-US"/>
        </w:rPr>
        <w:t xml:space="preserve"> </w:t>
      </w:r>
      <w:r w:rsidR="004834C0">
        <w:rPr>
          <w:lang w:val="en-US"/>
        </w:rPr>
        <w:t xml:space="preserve">presented. </w:t>
      </w:r>
      <w:r w:rsidRPr="0064546E">
        <w:rPr>
          <w:lang w:val="en-US"/>
        </w:rPr>
        <w:t xml:space="preserve"> </w:t>
      </w:r>
      <w:r w:rsidR="00D01654" w:rsidRPr="0064546E">
        <w:rPr>
          <w:lang w:val="en-US" w:eastAsia="ja-JP"/>
        </w:rPr>
        <w:t>The Stimpson formation overlies the Carolyn Shoemaker formation and represents an ancient aeolian (wind-blown) lithified dune field.</w:t>
      </w:r>
      <w:r w:rsidR="000D7D79">
        <w:rPr>
          <w:lang w:val="en-US" w:eastAsia="ja-JP"/>
        </w:rPr>
        <w:t xml:space="preserve"> </w:t>
      </w:r>
      <w:r w:rsidR="00876BDA" w:rsidRPr="0064546E">
        <w:rPr>
          <w:lang w:val="en-US" w:eastAsia="ja-JP"/>
        </w:rPr>
        <w:t xml:space="preserve">The Carolyn Shoemaker formation is a lacustrine (derived under a lake) sediment that overlies another lacustrine deposit, the Murray formation. </w:t>
      </w:r>
      <w:r w:rsidR="00876BDA">
        <w:rPr>
          <w:lang w:val="en-US"/>
        </w:rPr>
        <w:t>P</w:t>
      </w:r>
      <w:r w:rsidRPr="0064546E">
        <w:rPr>
          <w:lang w:val="en-US"/>
        </w:rPr>
        <w:t>redicted relationship</w:t>
      </w:r>
      <w:r w:rsidR="00876BDA">
        <w:rPr>
          <w:lang w:val="en-US"/>
        </w:rPr>
        <w:t>s</w:t>
      </w:r>
      <w:r w:rsidRPr="0064546E">
        <w:rPr>
          <w:lang w:val="en-US"/>
        </w:rPr>
        <w:t xml:space="preserve"> </w:t>
      </w:r>
      <w:r w:rsidR="00876BDA">
        <w:rPr>
          <w:lang w:val="en-US"/>
        </w:rPr>
        <w:t>are</w:t>
      </w:r>
      <w:r w:rsidRPr="0064546E">
        <w:rPr>
          <w:lang w:val="en-US"/>
        </w:rPr>
        <w:t xml:space="preserve"> derived from the </w:t>
      </w:r>
      <w:r w:rsidRPr="0083657B">
        <w:rPr>
          <w:vertAlign w:val="superscript"/>
          <w:lang w:val="en-US"/>
        </w:rPr>
        <w:t>12</w:t>
      </w:r>
      <w:r>
        <w:rPr>
          <w:lang w:val="en-US"/>
        </w:rPr>
        <w:t>C</w:t>
      </w:r>
      <w:r w:rsidRPr="0064546E">
        <w:rPr>
          <w:lang w:val="en-US"/>
        </w:rPr>
        <w:t xml:space="preserve"> vs.</w:t>
      </w:r>
      <w:r>
        <w:rPr>
          <w:lang w:val="en-US"/>
        </w:rPr>
        <w:t xml:space="preserve"> </w:t>
      </w:r>
      <w:r w:rsidRPr="0083657B">
        <w:rPr>
          <w:vertAlign w:val="superscript"/>
          <w:lang w:val="en-US"/>
        </w:rPr>
        <w:t>13</w:t>
      </w:r>
      <w:r>
        <w:rPr>
          <w:lang w:val="en-US"/>
        </w:rPr>
        <w:t>C</w:t>
      </w:r>
      <w:r w:rsidRPr="0064546E">
        <w:rPr>
          <w:lang w:val="en-US"/>
        </w:rPr>
        <w:t xml:space="preserve"> </w:t>
      </w:r>
      <w:r w:rsidR="00AB7BFD">
        <w:rPr>
          <w:lang w:val="en-US"/>
        </w:rPr>
        <w:t xml:space="preserve">plots presented </w:t>
      </w:r>
      <w:r w:rsidRPr="0064546E">
        <w:rPr>
          <w:lang w:val="en-US"/>
        </w:rPr>
        <w:t xml:space="preserve">in Figure </w:t>
      </w:r>
      <w:r>
        <w:rPr>
          <w:lang w:val="en-US"/>
        </w:rPr>
        <w:t>S3</w:t>
      </w:r>
      <w:r w:rsidRPr="0064546E">
        <w:rPr>
          <w:lang w:val="en-US"/>
        </w:rPr>
        <w:t>a.</w:t>
      </w:r>
      <w:r w:rsidR="008A72B2">
        <w:rPr>
          <w:lang w:val="en-US"/>
        </w:rPr>
        <w:t xml:space="preserve"> </w:t>
      </w:r>
      <w:r w:rsidR="008A72B2" w:rsidRPr="0064546E">
        <w:rPr>
          <w:lang w:val="en-US"/>
        </w:rPr>
        <w:t>Data after House et al. (2022)</w:t>
      </w:r>
      <w:r w:rsidR="008A72B2" w:rsidRPr="0064546E">
        <w:rPr>
          <w:lang w:val="en-US" w:eastAsia="ja-JP"/>
        </w:rPr>
        <w:t xml:space="preserve">. </w:t>
      </w:r>
    </w:p>
    <w:p w14:paraId="00BA1749" w14:textId="72DF013D" w:rsidR="00B13EAD" w:rsidRPr="00517743" w:rsidRDefault="00F708F5" w:rsidP="00517743">
      <w:pPr>
        <w:rPr>
          <w:lang w:eastAsia="ja-JP"/>
        </w:rPr>
      </w:pPr>
      <w:r>
        <w:rPr>
          <w:lang w:eastAsia="ja-JP"/>
        </w:rPr>
        <w:t>-</w:t>
      </w:r>
    </w:p>
    <w:p w14:paraId="555A00BD" w14:textId="62FAC080" w:rsidR="00CC3E66" w:rsidRDefault="00035065" w:rsidP="005431F0">
      <w:pPr>
        <w:ind w:firstLine="710"/>
        <w:rPr>
          <w:lang w:eastAsia="ja-JP"/>
        </w:rPr>
      </w:pPr>
      <w:r>
        <w:rPr>
          <w:lang w:eastAsia="ja-JP"/>
        </w:rPr>
        <w:t>The mixing line data for the Sheep</w:t>
      </w:r>
      <w:r w:rsidR="00517743">
        <w:rPr>
          <w:lang w:eastAsia="ja-JP"/>
        </w:rPr>
        <w:t xml:space="preserve">bed samples </w:t>
      </w:r>
      <w:r>
        <w:rPr>
          <w:lang w:eastAsia="ja-JP"/>
        </w:rPr>
        <w:t xml:space="preserve">in Figure </w:t>
      </w:r>
      <w:r w:rsidR="00CC3E66">
        <w:rPr>
          <w:lang w:eastAsia="ja-JP"/>
        </w:rPr>
        <w:t>S</w:t>
      </w:r>
      <w:r>
        <w:rPr>
          <w:lang w:eastAsia="ja-JP"/>
        </w:rPr>
        <w:t>3d</w:t>
      </w:r>
      <w:r w:rsidR="00517743">
        <w:rPr>
          <w:lang w:eastAsia="ja-JP"/>
        </w:rPr>
        <w:t xml:space="preserve"> confirms </w:t>
      </w:r>
      <w:r w:rsidR="00FF01A0">
        <w:rPr>
          <w:lang w:eastAsia="ja-JP"/>
        </w:rPr>
        <w:t xml:space="preserve">source and background </w:t>
      </w:r>
      <w:r w:rsidR="00517743">
        <w:rPr>
          <w:lang w:eastAsia="ja-JP"/>
        </w:rPr>
        <w:t xml:space="preserve">conclusions based on the </w:t>
      </w:r>
      <w:r w:rsidR="009A51EE" w:rsidRPr="00B13EAD">
        <w:rPr>
          <w:vertAlign w:val="superscript"/>
          <w:lang w:eastAsia="ja-JP"/>
        </w:rPr>
        <w:t>12</w:t>
      </w:r>
      <w:r w:rsidR="009A51EE">
        <w:rPr>
          <w:lang w:eastAsia="ja-JP"/>
        </w:rPr>
        <w:t>CH</w:t>
      </w:r>
      <w:r w:rsidR="009A51EE" w:rsidRPr="00BD64B3">
        <w:rPr>
          <w:vertAlign w:val="subscript"/>
          <w:lang w:eastAsia="ja-JP"/>
        </w:rPr>
        <w:t>4</w:t>
      </w:r>
      <w:r w:rsidR="009A51EE">
        <w:rPr>
          <w:lang w:eastAsia="ja-JP"/>
        </w:rPr>
        <w:t xml:space="preserve"> vs. </w:t>
      </w:r>
      <w:r w:rsidR="009A51EE" w:rsidRPr="00B13EAD">
        <w:rPr>
          <w:vertAlign w:val="superscript"/>
          <w:lang w:eastAsia="ja-JP"/>
        </w:rPr>
        <w:t>13</w:t>
      </w:r>
      <w:r w:rsidR="009A51EE">
        <w:rPr>
          <w:lang w:eastAsia="ja-JP"/>
        </w:rPr>
        <w:t>CH</w:t>
      </w:r>
      <w:r w:rsidR="009A51EE" w:rsidRPr="00BD64B3">
        <w:rPr>
          <w:vertAlign w:val="subscript"/>
          <w:lang w:eastAsia="ja-JP"/>
        </w:rPr>
        <w:t xml:space="preserve">4 </w:t>
      </w:r>
      <w:r w:rsidR="009A51EE">
        <w:rPr>
          <w:lang w:eastAsia="ja-JP"/>
        </w:rPr>
        <w:t>plot in Figure S3a.</w:t>
      </w:r>
      <w:r w:rsidR="00517743">
        <w:rPr>
          <w:lang w:eastAsia="ja-JP"/>
        </w:rPr>
        <w:t xml:space="preserve"> The </w:t>
      </w:r>
      <w:r w:rsidR="00DE3A6C">
        <w:rPr>
          <w:lang w:eastAsia="ja-JP"/>
        </w:rPr>
        <w:t xml:space="preserve">mixing line </w:t>
      </w:r>
      <w:r w:rsidR="00517743" w:rsidRPr="00F708F5">
        <w:rPr>
          <w:i/>
          <w:iCs/>
          <w:lang w:eastAsia="ja-JP"/>
        </w:rPr>
        <w:t>y</w:t>
      </w:r>
      <w:r w:rsidR="00517743">
        <w:rPr>
          <w:lang w:eastAsia="ja-JP"/>
        </w:rPr>
        <w:t>-intercept suggests a depleted source while a positive slope suggests the background, although still depleted, is higher (less negative) than the source.</w:t>
      </w:r>
      <w:r w:rsidR="00601616">
        <w:rPr>
          <w:lang w:eastAsia="ja-JP"/>
        </w:rPr>
        <w:t xml:space="preserve"> </w:t>
      </w:r>
      <w:r w:rsidR="00B13EAD">
        <w:rPr>
          <w:lang w:eastAsia="ja-JP"/>
        </w:rPr>
        <w:t xml:space="preserve">The mixing line data (Figures S3e-g) for the Simpson, Carolyn Shoemaker and Murray sediments also confirm conclusions based on the </w:t>
      </w:r>
      <w:r w:rsidR="00B13EAD" w:rsidRPr="00230BAE">
        <w:rPr>
          <w:vertAlign w:val="superscript"/>
          <w:lang w:eastAsia="ja-JP"/>
        </w:rPr>
        <w:t>12</w:t>
      </w:r>
      <w:r w:rsidR="00B13EAD">
        <w:rPr>
          <w:lang w:eastAsia="ja-JP"/>
        </w:rPr>
        <w:t xml:space="preserve">C vs. </w:t>
      </w:r>
      <w:r w:rsidR="00B13EAD" w:rsidRPr="00230BAE">
        <w:rPr>
          <w:vertAlign w:val="superscript"/>
          <w:lang w:eastAsia="ja-JP"/>
        </w:rPr>
        <w:t>13</w:t>
      </w:r>
      <w:r w:rsidR="00B13EAD">
        <w:rPr>
          <w:lang w:eastAsia="ja-JP"/>
        </w:rPr>
        <w:t xml:space="preserve">C slopes in Figure S3a. The strongly depleted </w:t>
      </w:r>
      <w:r w:rsidR="00B13EAD" w:rsidRPr="006639BC">
        <w:rPr>
          <w:vertAlign w:val="superscript"/>
          <w:lang w:eastAsia="ja-JP"/>
        </w:rPr>
        <w:t>13</w:t>
      </w:r>
      <w:r w:rsidR="00B13EAD">
        <w:rPr>
          <w:lang w:eastAsia="ja-JP"/>
        </w:rPr>
        <w:t xml:space="preserve">C values </w:t>
      </w:r>
      <w:r w:rsidR="00B13EAD">
        <w:rPr>
          <w:lang w:eastAsia="ja-JP"/>
        </w:rPr>
        <w:lastRenderedPageBreak/>
        <w:t xml:space="preserve">from </w:t>
      </w:r>
      <w:r w:rsidR="00A2418B">
        <w:rPr>
          <w:lang w:eastAsia="ja-JP"/>
        </w:rPr>
        <w:t>the Carolyn Shoemaker and Murray</w:t>
      </w:r>
      <w:r w:rsidR="00B13EAD">
        <w:rPr>
          <w:lang w:eastAsia="ja-JP"/>
        </w:rPr>
        <w:t xml:space="preserve"> sediments cannot be explained by strongly depleted sources.</w:t>
      </w:r>
    </w:p>
    <w:p w14:paraId="78DB3137" w14:textId="77777777" w:rsidR="00CC3E66" w:rsidRDefault="00CC3E66" w:rsidP="00CC3E66">
      <w:pPr>
        <w:pStyle w:val="Newparagraph"/>
        <w:spacing w:after="3" w:line="473" w:lineRule="auto"/>
        <w:ind w:right="14" w:firstLine="0"/>
        <w:jc w:val="both"/>
        <w:rPr>
          <w:lang w:val="en-US" w:eastAsia="ja-JP"/>
        </w:rPr>
      </w:pPr>
      <w:r w:rsidRPr="00251960">
        <w:rPr>
          <w:noProof/>
        </w:rPr>
        <w:drawing>
          <wp:inline distT="0" distB="0" distL="0" distR="0" wp14:anchorId="60990C8F" wp14:editId="6A83B6BE">
            <wp:extent cx="4571429" cy="2752381"/>
            <wp:effectExtent l="0" t="0" r="635" b="0"/>
            <wp:docPr id="394852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852266" name=""/>
                    <pic:cNvPicPr/>
                  </pic:nvPicPr>
                  <pic:blipFill>
                    <a:blip r:embed="rId24"/>
                    <a:stretch>
                      <a:fillRect/>
                    </a:stretch>
                  </pic:blipFill>
                  <pic:spPr>
                    <a:xfrm>
                      <a:off x="0" y="0"/>
                      <a:ext cx="4571429" cy="2752381"/>
                    </a:xfrm>
                    <a:prstGeom prst="rect">
                      <a:avLst/>
                    </a:prstGeom>
                  </pic:spPr>
                </pic:pic>
              </a:graphicData>
            </a:graphic>
          </wp:inline>
        </w:drawing>
      </w:r>
    </w:p>
    <w:p w14:paraId="2ABAEBA3" w14:textId="2CD717F7" w:rsidR="00CC3E66" w:rsidRDefault="00CC3E66" w:rsidP="00CC3E66">
      <w:pPr>
        <w:pStyle w:val="Figurecaption"/>
        <w:spacing w:before="0" w:after="3" w:line="473" w:lineRule="auto"/>
        <w:ind w:right="14"/>
        <w:jc w:val="both"/>
        <w:rPr>
          <w:lang w:val="en-US"/>
        </w:rPr>
      </w:pPr>
      <w:r>
        <w:rPr>
          <w:lang w:val="en-US" w:eastAsia="ja-JP"/>
        </w:rPr>
        <w:t>Figure S3</w:t>
      </w:r>
      <w:r w:rsidR="00EA4F8D">
        <w:rPr>
          <w:lang w:val="en-US" w:eastAsia="ja-JP"/>
        </w:rPr>
        <w:t>d</w:t>
      </w:r>
      <w:r>
        <w:rPr>
          <w:lang w:val="en-US" w:eastAsia="ja-JP"/>
        </w:rPr>
        <w:t xml:space="preserve">. </w:t>
      </w:r>
      <w:r w:rsidRPr="0064546E">
        <w:rPr>
          <w:lang w:val="en-US" w:eastAsia="ja-JP"/>
        </w:rPr>
        <w:t xml:space="preserve">The relationship between </w:t>
      </w:r>
      <w:r w:rsidRPr="0064546E">
        <w:rPr>
          <w:lang w:val="en-US"/>
        </w:rPr>
        <w:t>C</w:t>
      </w:r>
      <w:r>
        <w:rPr>
          <w:lang w:val="en-US"/>
        </w:rPr>
        <w:t>H</w:t>
      </w:r>
      <w:r w:rsidRPr="006E2551">
        <w:rPr>
          <w:vertAlign w:val="subscript"/>
          <w:lang w:val="en-US"/>
        </w:rPr>
        <w:t>4</w:t>
      </w:r>
      <w:r>
        <w:rPr>
          <w:lang w:val="en-US"/>
        </w:rPr>
        <w:t xml:space="preserve"> concentration</w:t>
      </w:r>
      <w:r w:rsidRPr="0064546E">
        <w:rPr>
          <w:lang w:val="en-US"/>
        </w:rPr>
        <w:t xml:space="preserve"> and </w:t>
      </w:r>
      <w:r w:rsidRPr="0064546E">
        <w:rPr>
          <w:vertAlign w:val="superscript"/>
          <w:lang w:val="en-US"/>
        </w:rPr>
        <w:t>13</w:t>
      </w:r>
      <w:r w:rsidRPr="0064546E">
        <w:rPr>
          <w:lang w:val="en-US"/>
        </w:rPr>
        <w:t>C</w:t>
      </w:r>
      <w:r>
        <w:rPr>
          <w:lang w:val="en-US"/>
        </w:rPr>
        <w:t>:</w:t>
      </w:r>
      <w:r w:rsidRPr="00CC37F7">
        <w:rPr>
          <w:vertAlign w:val="superscript"/>
          <w:lang w:val="en-US"/>
        </w:rPr>
        <w:t>12</w:t>
      </w:r>
      <w:r>
        <w:rPr>
          <w:lang w:val="en-US"/>
        </w:rPr>
        <w:t>C ratio</w:t>
      </w:r>
      <w:r w:rsidRPr="0064546E">
        <w:rPr>
          <w:lang w:val="en-US"/>
        </w:rPr>
        <w:t xml:space="preserve"> for </w:t>
      </w:r>
      <w:r>
        <w:rPr>
          <w:lang w:val="en-US"/>
        </w:rPr>
        <w:t xml:space="preserve">the Sheepbed samples. </w:t>
      </w:r>
      <w:r w:rsidR="0037779C" w:rsidRPr="0064546E">
        <w:rPr>
          <w:lang w:val="en-US" w:eastAsia="ja-JP"/>
        </w:rPr>
        <w:t>The Sheepbed samples were the first that the Curiosity rover collected and come from an ancient habitable environment for life on Mars (Grotzinger et al. 2014)</w:t>
      </w:r>
      <w:r w:rsidR="0037779C">
        <w:rPr>
          <w:lang w:val="en-US" w:eastAsia="ja-JP"/>
        </w:rPr>
        <w:t xml:space="preserve">. </w:t>
      </w:r>
      <w:r w:rsidR="0037779C" w:rsidRPr="0064546E">
        <w:rPr>
          <w:lang w:val="en-US"/>
        </w:rPr>
        <w:t>Data after House et al. (2022)</w:t>
      </w:r>
      <w:r w:rsidR="0037779C" w:rsidRPr="0064546E">
        <w:rPr>
          <w:lang w:val="en-US" w:eastAsia="ja-JP"/>
        </w:rPr>
        <w:t>.</w:t>
      </w:r>
    </w:p>
    <w:p w14:paraId="7DF20534" w14:textId="77777777" w:rsidR="00CC3E66" w:rsidRDefault="00CC3E66" w:rsidP="00035065">
      <w:pPr>
        <w:rPr>
          <w:lang w:eastAsia="ja-JP"/>
        </w:rPr>
      </w:pPr>
    </w:p>
    <w:p w14:paraId="48260307" w14:textId="77777777" w:rsidR="00D53379" w:rsidRDefault="00D53379" w:rsidP="00D53379">
      <w:pPr>
        <w:ind w:left="0" w:firstLine="0"/>
        <w:rPr>
          <w:lang w:eastAsia="ja-JP"/>
        </w:rPr>
      </w:pPr>
    </w:p>
    <w:p w14:paraId="7169F522" w14:textId="23C5D886" w:rsidR="00D53379" w:rsidRDefault="00CC3E66" w:rsidP="00D53379">
      <w:pPr>
        <w:pStyle w:val="Newparagraph"/>
        <w:spacing w:after="3" w:line="473" w:lineRule="auto"/>
        <w:ind w:right="14" w:firstLine="0"/>
        <w:jc w:val="both"/>
        <w:rPr>
          <w:lang w:val="en-US" w:eastAsia="ja-JP"/>
        </w:rPr>
      </w:pPr>
      <w:r>
        <w:rPr>
          <w:lang w:val="en-US" w:eastAsia="ja-JP"/>
        </w:rPr>
        <w:t>.</w:t>
      </w:r>
    </w:p>
    <w:p w14:paraId="6EADAB9D" w14:textId="77777777" w:rsidR="00D53379" w:rsidRDefault="00D53379" w:rsidP="00D53379">
      <w:pPr>
        <w:pStyle w:val="Newparagraph"/>
        <w:spacing w:after="3" w:line="473" w:lineRule="auto"/>
        <w:ind w:right="14" w:firstLine="0"/>
        <w:jc w:val="both"/>
        <w:rPr>
          <w:lang w:val="en-US" w:eastAsia="ja-JP"/>
        </w:rPr>
      </w:pPr>
    </w:p>
    <w:p w14:paraId="2C5945EA" w14:textId="548EDC88" w:rsidR="00186DB8" w:rsidRDefault="00D53379" w:rsidP="00186DB8">
      <w:pPr>
        <w:pStyle w:val="Newparagraph"/>
        <w:spacing w:after="3" w:line="473" w:lineRule="auto"/>
        <w:ind w:right="14" w:firstLine="0"/>
        <w:jc w:val="both"/>
        <w:rPr>
          <w:lang w:val="en-US" w:eastAsia="ja-JP"/>
        </w:rPr>
      </w:pPr>
      <w:r>
        <w:rPr>
          <w:lang w:val="en-US" w:eastAsia="ja-JP"/>
        </w:rPr>
        <w:t>.</w:t>
      </w:r>
    </w:p>
    <w:p w14:paraId="77DBECB5" w14:textId="77777777" w:rsidR="00186DB8" w:rsidRDefault="00186DB8" w:rsidP="00186DB8">
      <w:pPr>
        <w:pStyle w:val="Newparagraph"/>
        <w:spacing w:after="3" w:line="473" w:lineRule="auto"/>
        <w:ind w:right="14" w:firstLine="0"/>
        <w:jc w:val="both"/>
        <w:rPr>
          <w:lang w:val="en-US" w:eastAsia="ja-JP"/>
        </w:rPr>
      </w:pPr>
      <w:r w:rsidRPr="00B75560">
        <w:rPr>
          <w:noProof/>
        </w:rPr>
        <w:lastRenderedPageBreak/>
        <w:drawing>
          <wp:inline distT="0" distB="0" distL="0" distR="0" wp14:anchorId="2FDE65E2" wp14:editId="01F7497A">
            <wp:extent cx="4571429" cy="2752381"/>
            <wp:effectExtent l="0" t="0" r="635" b="0"/>
            <wp:docPr id="1413850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850877" name=""/>
                    <pic:cNvPicPr/>
                  </pic:nvPicPr>
                  <pic:blipFill>
                    <a:blip r:embed="rId25"/>
                    <a:stretch>
                      <a:fillRect/>
                    </a:stretch>
                  </pic:blipFill>
                  <pic:spPr>
                    <a:xfrm>
                      <a:off x="0" y="0"/>
                      <a:ext cx="4571429" cy="2752381"/>
                    </a:xfrm>
                    <a:prstGeom prst="rect">
                      <a:avLst/>
                    </a:prstGeom>
                  </pic:spPr>
                </pic:pic>
              </a:graphicData>
            </a:graphic>
          </wp:inline>
        </w:drawing>
      </w:r>
    </w:p>
    <w:p w14:paraId="6ACEB692" w14:textId="356095FA" w:rsidR="008A273F" w:rsidRDefault="00186DB8" w:rsidP="00186DB8">
      <w:pPr>
        <w:pStyle w:val="Newparagraph"/>
        <w:spacing w:after="3" w:line="473" w:lineRule="auto"/>
        <w:ind w:right="14" w:firstLine="0"/>
        <w:jc w:val="both"/>
        <w:rPr>
          <w:lang w:val="en-US" w:eastAsia="ja-JP"/>
        </w:rPr>
      </w:pPr>
      <w:r>
        <w:rPr>
          <w:lang w:val="en-US"/>
        </w:rPr>
        <w:t>Figure S3</w:t>
      </w:r>
      <w:r w:rsidR="00EA4F8D">
        <w:rPr>
          <w:lang w:val="en-US"/>
        </w:rPr>
        <w:t>e</w:t>
      </w:r>
      <w:r>
        <w:rPr>
          <w:lang w:val="en-US"/>
        </w:rPr>
        <w:t xml:space="preserve">. </w:t>
      </w:r>
      <w:r w:rsidRPr="0064546E">
        <w:rPr>
          <w:lang w:val="en-US"/>
        </w:rPr>
        <w:t>Mixing diagrams (1/total C</w:t>
      </w:r>
      <w:r>
        <w:rPr>
          <w:lang w:val="en-US"/>
        </w:rPr>
        <w:t>H</w:t>
      </w:r>
      <w:r w:rsidRPr="00654221">
        <w:rPr>
          <w:vertAlign w:val="subscript"/>
          <w:lang w:val="en-US"/>
        </w:rPr>
        <w:t>4</w:t>
      </w:r>
      <w:r w:rsidRPr="0064546E">
        <w:rPr>
          <w:lang w:val="en-US"/>
        </w:rPr>
        <w:t xml:space="preserve"> concentration vs. </w:t>
      </w:r>
      <w:r w:rsidRPr="0064546E">
        <w:rPr>
          <w:color w:val="000000" w:themeColor="text1"/>
          <w:lang w:val="en-US"/>
        </w:rPr>
        <w:t>δ</w:t>
      </w:r>
      <w:r w:rsidRPr="0064546E">
        <w:rPr>
          <w:vertAlign w:val="superscript"/>
          <w:lang w:val="en-US"/>
        </w:rPr>
        <w:t>13</w:t>
      </w:r>
      <w:r w:rsidRPr="0064546E">
        <w:rPr>
          <w:lang w:val="en-US"/>
        </w:rPr>
        <w:t xml:space="preserve">C) </w:t>
      </w:r>
      <w:r w:rsidRPr="0064546E">
        <w:rPr>
          <w:lang w:val="en-US" w:eastAsia="ja-JP"/>
        </w:rPr>
        <w:t xml:space="preserve">for the </w:t>
      </w:r>
      <w:r>
        <w:rPr>
          <w:lang w:val="en-US" w:eastAsia="ja-JP"/>
        </w:rPr>
        <w:t xml:space="preserve">Murray </w:t>
      </w:r>
      <w:r w:rsidRPr="0064546E">
        <w:rPr>
          <w:lang w:val="en-US" w:eastAsia="ja-JP"/>
        </w:rPr>
        <w:t xml:space="preserve">formation collected and analyzed with the Curiosity rover at Gale crater, Mars. The </w:t>
      </w:r>
      <w:r>
        <w:rPr>
          <w:lang w:val="en-US" w:eastAsia="ja-JP"/>
        </w:rPr>
        <w:t xml:space="preserve">Murray </w:t>
      </w:r>
      <w:r w:rsidRPr="0064546E">
        <w:rPr>
          <w:lang w:val="en-US" w:eastAsia="ja-JP"/>
        </w:rPr>
        <w:t xml:space="preserve">formation is a lacustrine (derived under a lake) sediment that </w:t>
      </w:r>
      <w:r>
        <w:rPr>
          <w:lang w:val="en-US" w:eastAsia="ja-JP"/>
        </w:rPr>
        <w:t xml:space="preserve">underlies </w:t>
      </w:r>
      <w:r w:rsidRPr="0064546E">
        <w:rPr>
          <w:lang w:val="en-US" w:eastAsia="ja-JP"/>
        </w:rPr>
        <w:t xml:space="preserve">another </w:t>
      </w:r>
      <w:r w:rsidR="00050CB2">
        <w:rPr>
          <w:lang w:val="en-US" w:eastAsia="ja-JP"/>
        </w:rPr>
        <w:t xml:space="preserve">likely younger </w:t>
      </w:r>
      <w:r w:rsidRPr="0064546E">
        <w:rPr>
          <w:lang w:val="en-US" w:eastAsia="ja-JP"/>
        </w:rPr>
        <w:t xml:space="preserve">lacustrine deposit, the </w:t>
      </w:r>
      <w:r>
        <w:rPr>
          <w:lang w:val="en-US" w:eastAsia="ja-JP"/>
        </w:rPr>
        <w:t xml:space="preserve">Carolyn Shoemaker </w:t>
      </w:r>
      <w:r w:rsidRPr="0064546E">
        <w:rPr>
          <w:lang w:val="en-US" w:eastAsia="ja-JP"/>
        </w:rPr>
        <w:t>formation.</w:t>
      </w:r>
    </w:p>
    <w:p w14:paraId="179D4AA8" w14:textId="77777777" w:rsidR="00517743" w:rsidRDefault="00517743" w:rsidP="00517743">
      <w:pPr>
        <w:ind w:left="0" w:right="14"/>
        <w:rPr>
          <w:rFonts w:asciiTheme="majorBidi" w:hAnsiTheme="majorBidi" w:cstheme="majorBidi"/>
        </w:rPr>
      </w:pPr>
      <w:r w:rsidRPr="000A1AE2">
        <w:rPr>
          <w:noProof/>
        </w:rPr>
        <w:drawing>
          <wp:inline distT="0" distB="0" distL="0" distR="0" wp14:anchorId="79D8E926" wp14:editId="117561CD">
            <wp:extent cx="4571429" cy="2761905"/>
            <wp:effectExtent l="0" t="0" r="635" b="635"/>
            <wp:docPr id="426564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564729" name=""/>
                    <pic:cNvPicPr/>
                  </pic:nvPicPr>
                  <pic:blipFill>
                    <a:blip r:embed="rId26"/>
                    <a:stretch>
                      <a:fillRect/>
                    </a:stretch>
                  </pic:blipFill>
                  <pic:spPr>
                    <a:xfrm>
                      <a:off x="0" y="0"/>
                      <a:ext cx="4571429" cy="2761905"/>
                    </a:xfrm>
                    <a:prstGeom prst="rect">
                      <a:avLst/>
                    </a:prstGeom>
                  </pic:spPr>
                </pic:pic>
              </a:graphicData>
            </a:graphic>
          </wp:inline>
        </w:drawing>
      </w:r>
    </w:p>
    <w:p w14:paraId="35BD294B" w14:textId="178228DF" w:rsidR="00EA4F8D" w:rsidRDefault="00517743" w:rsidP="00517743">
      <w:pPr>
        <w:pStyle w:val="Figurecaption"/>
        <w:spacing w:before="0" w:after="3" w:line="473" w:lineRule="auto"/>
        <w:ind w:right="14"/>
        <w:jc w:val="both"/>
        <w:rPr>
          <w:lang w:val="en-US" w:eastAsia="ja-JP"/>
        </w:rPr>
      </w:pPr>
      <w:r w:rsidRPr="0064546E">
        <w:rPr>
          <w:lang w:val="en-US"/>
        </w:rPr>
        <w:t xml:space="preserve">Figure </w:t>
      </w:r>
      <w:r>
        <w:rPr>
          <w:lang w:val="en-US"/>
        </w:rPr>
        <w:t>S3</w:t>
      </w:r>
      <w:r w:rsidR="00EA4F8D">
        <w:rPr>
          <w:lang w:val="en-US"/>
        </w:rPr>
        <w:t>f</w:t>
      </w:r>
      <w:r w:rsidRPr="0064546E">
        <w:rPr>
          <w:lang w:val="en-US"/>
        </w:rPr>
        <w:t>. Mixing diagrams (1/total C</w:t>
      </w:r>
      <w:r>
        <w:rPr>
          <w:lang w:val="en-US"/>
        </w:rPr>
        <w:t>H</w:t>
      </w:r>
      <w:r w:rsidRPr="00654221">
        <w:rPr>
          <w:vertAlign w:val="subscript"/>
          <w:lang w:val="en-US"/>
        </w:rPr>
        <w:t>4</w:t>
      </w:r>
      <w:r w:rsidRPr="0064546E">
        <w:rPr>
          <w:lang w:val="en-US"/>
        </w:rPr>
        <w:t xml:space="preserve"> concentration vs. </w:t>
      </w:r>
      <w:r w:rsidRPr="0064546E">
        <w:rPr>
          <w:color w:val="000000" w:themeColor="text1"/>
          <w:lang w:val="en-US"/>
        </w:rPr>
        <w:t>δ</w:t>
      </w:r>
      <w:r w:rsidRPr="0064546E">
        <w:rPr>
          <w:vertAlign w:val="superscript"/>
          <w:lang w:val="en-US"/>
        </w:rPr>
        <w:t>13</w:t>
      </w:r>
      <w:r w:rsidRPr="0064546E">
        <w:rPr>
          <w:lang w:val="en-US"/>
        </w:rPr>
        <w:t xml:space="preserve">C) </w:t>
      </w:r>
      <w:r w:rsidRPr="0064546E">
        <w:rPr>
          <w:lang w:val="en-US" w:eastAsia="ja-JP"/>
        </w:rPr>
        <w:t>for the Carolyn Shoemaker</w:t>
      </w:r>
      <w:r>
        <w:rPr>
          <w:lang w:val="en-US" w:eastAsia="ja-JP"/>
        </w:rPr>
        <w:t xml:space="preserve"> </w:t>
      </w:r>
      <w:r w:rsidRPr="0064546E">
        <w:rPr>
          <w:lang w:val="en-US" w:eastAsia="ja-JP"/>
        </w:rPr>
        <w:t xml:space="preserve">formation collected and analyzed with the Curiosity rover at Gale crater, Mars. </w:t>
      </w:r>
      <w:r>
        <w:rPr>
          <w:lang w:val="en-US" w:eastAsia="ja-JP"/>
        </w:rPr>
        <w:t xml:space="preserve">An outlier </w:t>
      </w:r>
      <w:r w:rsidR="0037779C">
        <w:rPr>
          <w:lang w:val="en-US" w:eastAsia="ja-JP"/>
        </w:rPr>
        <w:t xml:space="preserve">was </w:t>
      </w:r>
      <w:r>
        <w:rPr>
          <w:lang w:val="en-US" w:eastAsia="ja-JP"/>
        </w:rPr>
        <w:t xml:space="preserve">not used in the regression analysis. </w:t>
      </w:r>
      <w:r w:rsidR="0037779C">
        <w:rPr>
          <w:lang w:val="en-US" w:eastAsia="ja-JP"/>
        </w:rPr>
        <w:t xml:space="preserve">This outlier point is the same as marked in Figure S3a. </w:t>
      </w:r>
      <w:r w:rsidRPr="0064546E">
        <w:rPr>
          <w:lang w:val="en-US" w:eastAsia="ja-JP"/>
        </w:rPr>
        <w:t xml:space="preserve">The </w:t>
      </w:r>
      <w:r w:rsidRPr="0064546E">
        <w:rPr>
          <w:lang w:val="en-US" w:eastAsia="ja-JP"/>
        </w:rPr>
        <w:lastRenderedPageBreak/>
        <w:t>Carolyn Shoemaker formation is a lacustrine (derived under a lake) sediment that overlies another lacustrine deposit, the Murray formation</w:t>
      </w:r>
      <w:r w:rsidR="00EA4F8D">
        <w:rPr>
          <w:lang w:val="en-US" w:eastAsia="ja-JP"/>
        </w:rPr>
        <w:t>.</w:t>
      </w:r>
      <w:r w:rsidRPr="0064546E">
        <w:rPr>
          <w:lang w:val="en-US"/>
        </w:rPr>
        <w:t xml:space="preserve">  </w:t>
      </w:r>
      <w:r w:rsidRPr="0064546E">
        <w:rPr>
          <w:lang w:val="en-US" w:eastAsia="ja-JP"/>
        </w:rPr>
        <w:t>Data after House et al. (2022).</w:t>
      </w:r>
    </w:p>
    <w:p w14:paraId="5D6BCF74" w14:textId="77777777" w:rsidR="00EA4F8D" w:rsidRDefault="00EA4F8D" w:rsidP="00517743">
      <w:pPr>
        <w:pStyle w:val="Figurecaption"/>
        <w:spacing w:before="0" w:after="3" w:line="473" w:lineRule="auto"/>
        <w:ind w:right="14"/>
        <w:jc w:val="both"/>
        <w:rPr>
          <w:lang w:val="en-US" w:eastAsia="ja-JP"/>
        </w:rPr>
      </w:pPr>
      <w:r>
        <w:rPr>
          <w:lang w:val="en-US" w:eastAsia="ja-JP"/>
        </w:rPr>
        <w:t>-</w:t>
      </w:r>
    </w:p>
    <w:p w14:paraId="365325C4" w14:textId="1662AE0B" w:rsidR="00793153" w:rsidRDefault="00E56E6F" w:rsidP="00E56E6F">
      <w:pPr>
        <w:pStyle w:val="Newparagraph"/>
        <w:spacing w:after="3" w:line="473" w:lineRule="auto"/>
        <w:ind w:right="14"/>
        <w:jc w:val="both"/>
        <w:rPr>
          <w:lang w:val="en-US" w:eastAsia="ja-JP"/>
        </w:rPr>
      </w:pPr>
      <w:r>
        <w:rPr>
          <w:lang w:val="en-US" w:eastAsia="ja-JP"/>
        </w:rPr>
        <w:t xml:space="preserve">The </w:t>
      </w:r>
      <w:r w:rsidRPr="00DD2C1A">
        <w:rPr>
          <w:lang w:val="en-US" w:eastAsia="ja-JP"/>
        </w:rPr>
        <w:t xml:space="preserve">final </w:t>
      </w:r>
      <w:r>
        <w:rPr>
          <w:lang w:val="en-US" w:eastAsia="ja-JP"/>
        </w:rPr>
        <w:t>sediment</w:t>
      </w:r>
      <w:r w:rsidRPr="00DD2C1A">
        <w:rPr>
          <w:lang w:val="en-US" w:eastAsia="ja-JP"/>
        </w:rPr>
        <w:t xml:space="preserve"> </w:t>
      </w:r>
      <w:r>
        <w:rPr>
          <w:lang w:val="en-US" w:eastAsia="ja-JP"/>
        </w:rPr>
        <w:t xml:space="preserve">mixing diagram (Figure S3g) is for </w:t>
      </w:r>
      <w:r w:rsidRPr="00DD2C1A">
        <w:rPr>
          <w:lang w:val="en-US" w:eastAsia="ja-JP"/>
        </w:rPr>
        <w:t xml:space="preserve">the Stimpson formation, </w:t>
      </w:r>
      <w:r>
        <w:rPr>
          <w:lang w:val="en-US" w:eastAsia="ja-JP"/>
        </w:rPr>
        <w:t xml:space="preserve">which </w:t>
      </w:r>
      <w:r w:rsidRPr="00DD2C1A">
        <w:rPr>
          <w:lang w:val="en-US" w:eastAsia="ja-JP"/>
        </w:rPr>
        <w:t>was encountered twice as the Curiosity rover traversed Gale crater. The Stimpson formation overlies the Carolyn Shoemaker formation and represents a lithified dune field with a</w:t>
      </w:r>
      <w:r>
        <w:rPr>
          <w:lang w:val="en-US" w:eastAsia="ja-JP"/>
        </w:rPr>
        <w:t>n</w:t>
      </w:r>
      <w:r w:rsidRPr="00DD2C1A">
        <w:rPr>
          <w:lang w:val="en-US" w:eastAsia="ja-JP"/>
        </w:rPr>
        <w:t xml:space="preserve"> ancient aeolian (wind-blown) source. Although the Stimpson formation was more recently deposited than underlying </w:t>
      </w:r>
      <w:r>
        <w:rPr>
          <w:lang w:val="en-US" w:eastAsia="ja-JP"/>
        </w:rPr>
        <w:t xml:space="preserve">Carolyn Shoemaker and Murray </w:t>
      </w:r>
      <w:r w:rsidRPr="00DD2C1A">
        <w:rPr>
          <w:lang w:val="en-US" w:eastAsia="ja-JP"/>
        </w:rPr>
        <w:t xml:space="preserve">layers, the actual material deposited </w:t>
      </w:r>
      <w:r>
        <w:rPr>
          <w:lang w:val="en-US" w:eastAsia="ja-JP"/>
        </w:rPr>
        <w:t>may be</w:t>
      </w:r>
      <w:r w:rsidRPr="00DD2C1A">
        <w:rPr>
          <w:lang w:val="en-US" w:eastAsia="ja-JP"/>
        </w:rPr>
        <w:t xml:space="preserve"> older than the Carolyn Shoemaker and Murray formations.</w:t>
      </w:r>
      <w:r>
        <w:rPr>
          <w:lang w:val="en-US" w:eastAsia="ja-JP"/>
        </w:rPr>
        <w:t xml:space="preserve"> </w:t>
      </w:r>
      <w:r w:rsidRPr="00DD2C1A">
        <w:rPr>
          <w:lang w:val="en-US" w:eastAsia="ja-JP"/>
        </w:rPr>
        <w:t>The Stimpson and Sheepbed sediments are geologically similar (Bedford et al. 2020).</w:t>
      </w:r>
      <w:r>
        <w:rPr>
          <w:lang w:val="en-US" w:eastAsia="ja-JP"/>
        </w:rPr>
        <w:t xml:space="preserve"> Both have much lower total CH</w:t>
      </w:r>
      <w:r w:rsidRPr="00D00E5D">
        <w:rPr>
          <w:vertAlign w:val="subscript"/>
          <w:lang w:val="en-US" w:eastAsia="ja-JP"/>
        </w:rPr>
        <w:t>4</w:t>
      </w:r>
      <w:r>
        <w:rPr>
          <w:lang w:val="en-US" w:eastAsia="ja-JP"/>
        </w:rPr>
        <w:t xml:space="preserve"> concentration than the Carolyn Shoemaker and Murray sediments. However, the Stimson formation is still likely younger than the Sheepbed samples.</w:t>
      </w:r>
    </w:p>
    <w:p w14:paraId="5521BBD0" w14:textId="7FDA7117" w:rsidR="00EA6D66" w:rsidRDefault="00EA6D66" w:rsidP="00E56E6F">
      <w:pPr>
        <w:pStyle w:val="Newparagraph"/>
        <w:spacing w:after="3" w:line="473" w:lineRule="auto"/>
        <w:ind w:right="14"/>
        <w:jc w:val="both"/>
        <w:rPr>
          <w:lang w:val="en-US" w:eastAsia="ja-JP"/>
        </w:rPr>
      </w:pPr>
      <w:r>
        <w:rPr>
          <w:lang w:val="en-US" w:eastAsia="ja-JP"/>
        </w:rPr>
        <w:t>The relationship in Figure S3g is weak and not statistically significant. However</w:t>
      </w:r>
      <w:r w:rsidR="00B73DEF">
        <w:rPr>
          <w:lang w:val="en-US" w:eastAsia="ja-JP"/>
        </w:rPr>
        <w:t>,</w:t>
      </w:r>
      <w:r>
        <w:rPr>
          <w:lang w:val="en-US" w:eastAsia="ja-JP"/>
        </w:rPr>
        <w:t xml:space="preserve"> the source value (</w:t>
      </w:r>
      <w:r w:rsidRPr="00EA6D66">
        <w:rPr>
          <w:i/>
          <w:iCs/>
          <w:lang w:val="en-US" w:eastAsia="ja-JP"/>
        </w:rPr>
        <w:t>y</w:t>
      </w:r>
      <w:r>
        <w:rPr>
          <w:lang w:val="en-US" w:eastAsia="ja-JP"/>
        </w:rPr>
        <w:t xml:space="preserve">-intercept equals -6.52 delta </w:t>
      </w:r>
      <w:r w:rsidRPr="00EA6D66">
        <w:rPr>
          <w:vertAlign w:val="superscript"/>
          <w:lang w:val="en-US" w:eastAsia="ja-JP"/>
        </w:rPr>
        <w:t>13</w:t>
      </w:r>
      <w:r>
        <w:rPr>
          <w:lang w:val="en-US" w:eastAsia="ja-JP"/>
        </w:rPr>
        <w:t xml:space="preserve">C approximates the source value derived from the </w:t>
      </w:r>
      <w:r w:rsidRPr="00EA6D66">
        <w:rPr>
          <w:vertAlign w:val="superscript"/>
          <w:lang w:val="en-US" w:eastAsia="ja-JP"/>
        </w:rPr>
        <w:t>12</w:t>
      </w:r>
      <w:r>
        <w:rPr>
          <w:lang w:val="en-US" w:eastAsia="ja-JP"/>
        </w:rPr>
        <w:t xml:space="preserve">C vs. </w:t>
      </w:r>
      <w:r w:rsidRPr="00EA6D66">
        <w:rPr>
          <w:vertAlign w:val="superscript"/>
          <w:lang w:val="en-US" w:eastAsia="ja-JP"/>
        </w:rPr>
        <w:t>13</w:t>
      </w:r>
      <w:r>
        <w:rPr>
          <w:lang w:val="en-US" w:eastAsia="ja-JP"/>
        </w:rPr>
        <w:t>C slope in Figure S3a (as it mathematically must) of</w:t>
      </w:r>
      <w:r w:rsidR="00B73DEF">
        <w:rPr>
          <w:lang w:val="en-US" w:eastAsia="ja-JP"/>
        </w:rPr>
        <w:t xml:space="preserve"> 5.28 delta </w:t>
      </w:r>
      <w:r w:rsidR="00B73DEF" w:rsidRPr="00EA6D66">
        <w:rPr>
          <w:vertAlign w:val="superscript"/>
          <w:lang w:val="en-US" w:eastAsia="ja-JP"/>
        </w:rPr>
        <w:t>13</w:t>
      </w:r>
      <w:r w:rsidR="00B73DEF">
        <w:rPr>
          <w:lang w:val="en-US" w:eastAsia="ja-JP"/>
        </w:rPr>
        <w:t>C.  Mixing line source estimates for the four sediments are strongly related to slope-based source estimates in Figure S3a (r</w:t>
      </w:r>
      <w:r w:rsidR="00B73DEF" w:rsidRPr="00B73DEF">
        <w:rPr>
          <w:vertAlign w:val="superscript"/>
          <w:lang w:val="en-US" w:eastAsia="ja-JP"/>
        </w:rPr>
        <w:t>2</w:t>
      </w:r>
      <w:r w:rsidR="00B73DEF">
        <w:rPr>
          <w:lang w:val="en-US" w:eastAsia="ja-JP"/>
        </w:rPr>
        <w:t xml:space="preserve"> = 0.9</w:t>
      </w:r>
      <w:r w:rsidR="001B0535">
        <w:rPr>
          <w:lang w:val="en-US" w:eastAsia="ja-JP"/>
        </w:rPr>
        <w:t>856</w:t>
      </w:r>
      <w:r w:rsidR="00B73DEF">
        <w:rPr>
          <w:lang w:val="en-US" w:eastAsia="ja-JP"/>
        </w:rPr>
        <w:t xml:space="preserve">; </w:t>
      </w:r>
      <w:r w:rsidR="00B73DEF" w:rsidRPr="001B0535">
        <w:rPr>
          <w:i/>
          <w:iCs/>
          <w:lang w:val="en-US" w:eastAsia="ja-JP"/>
        </w:rPr>
        <w:t>p</w:t>
      </w:r>
      <w:r w:rsidR="00B73DEF">
        <w:rPr>
          <w:lang w:val="en-US" w:eastAsia="ja-JP"/>
        </w:rPr>
        <w:t xml:space="preserve"> = 0.0</w:t>
      </w:r>
      <w:r w:rsidR="001B0535">
        <w:rPr>
          <w:lang w:val="en-US" w:eastAsia="ja-JP"/>
        </w:rPr>
        <w:t>0725</w:t>
      </w:r>
      <w:r w:rsidR="00B73DEF">
        <w:rPr>
          <w:lang w:val="en-US" w:eastAsia="ja-JP"/>
        </w:rPr>
        <w:t>). Both mixing line and slope</w:t>
      </w:r>
      <w:r w:rsidR="00855719">
        <w:rPr>
          <w:lang w:val="en-US" w:eastAsia="ja-JP"/>
        </w:rPr>
        <w:t>-</w:t>
      </w:r>
      <w:r w:rsidR="00B73DEF">
        <w:rPr>
          <w:lang w:val="en-US" w:eastAsia="ja-JP"/>
        </w:rPr>
        <w:t xml:space="preserve">based source estimates suggest only the oldest formation (Sheepbed) has </w:t>
      </w:r>
      <w:r w:rsidR="004F006E">
        <w:rPr>
          <w:lang w:val="en-US" w:eastAsia="ja-JP"/>
        </w:rPr>
        <w:t xml:space="preserve">a </w:t>
      </w:r>
      <w:r w:rsidR="00B73DEF">
        <w:rPr>
          <w:lang w:val="en-US" w:eastAsia="ja-JP"/>
        </w:rPr>
        <w:t>highly</w:t>
      </w:r>
      <w:r w:rsidR="0037779C">
        <w:rPr>
          <w:lang w:val="en-US" w:eastAsia="ja-JP"/>
        </w:rPr>
        <w:t xml:space="preserve"> depleted</w:t>
      </w:r>
      <w:r w:rsidR="00B73DEF">
        <w:rPr>
          <w:lang w:val="en-US" w:eastAsia="ja-JP"/>
        </w:rPr>
        <w:t xml:space="preserve"> source.</w:t>
      </w:r>
    </w:p>
    <w:p w14:paraId="2EDC9271" w14:textId="77777777" w:rsidR="00793153" w:rsidRDefault="00793153" w:rsidP="00793153">
      <w:r w:rsidRPr="00DA1076">
        <w:rPr>
          <w:noProof/>
        </w:rPr>
        <w:lastRenderedPageBreak/>
        <w:drawing>
          <wp:inline distT="0" distB="0" distL="0" distR="0" wp14:anchorId="6F30E2F3" wp14:editId="417F75F2">
            <wp:extent cx="4571429" cy="2752381"/>
            <wp:effectExtent l="0" t="0" r="635" b="0"/>
            <wp:docPr id="1580884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884493" name=""/>
                    <pic:cNvPicPr/>
                  </pic:nvPicPr>
                  <pic:blipFill>
                    <a:blip r:embed="rId27"/>
                    <a:stretch>
                      <a:fillRect/>
                    </a:stretch>
                  </pic:blipFill>
                  <pic:spPr>
                    <a:xfrm>
                      <a:off x="0" y="0"/>
                      <a:ext cx="4571429" cy="2752381"/>
                    </a:xfrm>
                    <a:prstGeom prst="rect">
                      <a:avLst/>
                    </a:prstGeom>
                  </pic:spPr>
                </pic:pic>
              </a:graphicData>
            </a:graphic>
          </wp:inline>
        </w:drawing>
      </w:r>
    </w:p>
    <w:p w14:paraId="16AC8D0B" w14:textId="15D324FE" w:rsidR="00EA4F8D" w:rsidRDefault="000163B9" w:rsidP="00E56E6F">
      <w:pPr>
        <w:pStyle w:val="Figurecaption"/>
        <w:spacing w:before="0" w:after="3" w:line="472" w:lineRule="auto"/>
        <w:ind w:right="14"/>
        <w:jc w:val="both"/>
        <w:rPr>
          <w:lang w:val="en-US" w:eastAsia="ja-JP"/>
        </w:rPr>
      </w:pPr>
      <w:r>
        <w:rPr>
          <w:lang w:val="en-US" w:eastAsia="ja-JP"/>
        </w:rPr>
        <w:t>Figure S3g.</w:t>
      </w:r>
      <w:r>
        <w:rPr>
          <w:lang w:val="en-US"/>
        </w:rPr>
        <w:t xml:space="preserve"> </w:t>
      </w:r>
      <w:r w:rsidRPr="0064546E">
        <w:rPr>
          <w:lang w:val="en-US"/>
        </w:rPr>
        <w:t>Mixing diagrams (1/total C</w:t>
      </w:r>
      <w:r>
        <w:rPr>
          <w:lang w:val="en-US"/>
        </w:rPr>
        <w:t>H</w:t>
      </w:r>
      <w:r w:rsidRPr="00654221">
        <w:rPr>
          <w:vertAlign w:val="subscript"/>
          <w:lang w:val="en-US"/>
        </w:rPr>
        <w:t>4</w:t>
      </w:r>
      <w:r w:rsidRPr="0064546E">
        <w:rPr>
          <w:lang w:val="en-US"/>
        </w:rPr>
        <w:t xml:space="preserve"> concentration vs. </w:t>
      </w:r>
      <w:r w:rsidRPr="0064546E">
        <w:rPr>
          <w:color w:val="000000" w:themeColor="text1"/>
          <w:lang w:val="en-US"/>
        </w:rPr>
        <w:t>δ</w:t>
      </w:r>
      <w:r w:rsidRPr="0064546E">
        <w:rPr>
          <w:vertAlign w:val="superscript"/>
          <w:lang w:val="en-US"/>
        </w:rPr>
        <w:t>13</w:t>
      </w:r>
      <w:r w:rsidRPr="0064546E">
        <w:rPr>
          <w:lang w:val="en-US"/>
        </w:rPr>
        <w:t xml:space="preserve">C) </w:t>
      </w:r>
      <w:r w:rsidRPr="0064546E">
        <w:rPr>
          <w:lang w:val="en-US" w:eastAsia="ja-JP"/>
        </w:rPr>
        <w:t>for the</w:t>
      </w:r>
      <w:r>
        <w:rPr>
          <w:lang w:val="en-US" w:eastAsia="ja-JP"/>
        </w:rPr>
        <w:t xml:space="preserve"> </w:t>
      </w:r>
      <w:r>
        <w:rPr>
          <w:lang w:val="en-US"/>
        </w:rPr>
        <w:t xml:space="preserve">Stimpson formation </w:t>
      </w:r>
      <w:r>
        <w:rPr>
          <w:lang w:val="en-US" w:eastAsia="ja-JP"/>
        </w:rPr>
        <w:t>collected and analyzed with the Curiosity rover at Gale crater, Mars</w:t>
      </w:r>
      <w:r>
        <w:rPr>
          <w:lang w:val="en-US"/>
        </w:rPr>
        <w:t xml:space="preserve">. </w:t>
      </w:r>
      <w:r>
        <w:rPr>
          <w:lang w:val="en-US" w:eastAsia="ja-JP"/>
        </w:rPr>
        <w:t>The Stimpson formation overlies the Carolyn Shoemaker formation and represents an ancient aeolian (wind-blown) lithified dune field. This formation was encountered twice as the Curiosity rover traversed Gale crater. The combined four points from both encounters are plotted above. Data after House et al. (2022).</w:t>
      </w:r>
    </w:p>
    <w:p w14:paraId="32970B10" w14:textId="67902A7E" w:rsidR="0037779C" w:rsidRPr="0037779C" w:rsidRDefault="0037779C" w:rsidP="0037779C">
      <w:pPr>
        <w:rPr>
          <w:lang w:eastAsia="ja-JP"/>
        </w:rPr>
      </w:pPr>
      <w:r>
        <w:rPr>
          <w:lang w:eastAsia="ja-JP"/>
        </w:rPr>
        <w:t>-</w:t>
      </w:r>
    </w:p>
    <w:p w14:paraId="18704109" w14:textId="521AAECE" w:rsidR="00831A9C" w:rsidRPr="0064546E" w:rsidRDefault="00831A9C" w:rsidP="00831A9C">
      <w:pPr>
        <w:pStyle w:val="Newparagraph"/>
        <w:spacing w:after="3" w:line="473" w:lineRule="auto"/>
        <w:ind w:right="14"/>
        <w:jc w:val="both"/>
        <w:rPr>
          <w:lang w:val="en-US" w:eastAsia="ja-JP"/>
        </w:rPr>
      </w:pPr>
      <w:r w:rsidRPr="00DD2C1A">
        <w:rPr>
          <w:lang w:val="en-US" w:eastAsia="ja-JP"/>
        </w:rPr>
        <w:t xml:space="preserve">Martian sediments also have different sources and backgrounds for </w:t>
      </w:r>
      <w:r w:rsidRPr="00DD2C1A">
        <w:rPr>
          <w:vertAlign w:val="superscript"/>
          <w:lang w:val="en-US" w:eastAsia="ja-JP"/>
        </w:rPr>
        <w:t>34</w:t>
      </w:r>
      <w:r w:rsidRPr="00DD2C1A">
        <w:rPr>
          <w:lang w:val="en-US" w:eastAsia="ja-JP"/>
        </w:rPr>
        <w:t>S</w:t>
      </w:r>
      <w:r w:rsidR="003255EB">
        <w:rPr>
          <w:lang w:val="en-US" w:eastAsia="ja-JP"/>
        </w:rPr>
        <w:t>:</w:t>
      </w:r>
      <w:r w:rsidR="003255EB" w:rsidRPr="003255EB">
        <w:rPr>
          <w:vertAlign w:val="superscript"/>
          <w:lang w:val="en-US" w:eastAsia="ja-JP"/>
        </w:rPr>
        <w:t>32</w:t>
      </w:r>
      <w:r w:rsidR="003255EB">
        <w:rPr>
          <w:lang w:val="en-US" w:eastAsia="ja-JP"/>
        </w:rPr>
        <w:t>S</w:t>
      </w:r>
      <w:r w:rsidRPr="00DD2C1A">
        <w:rPr>
          <w:lang w:val="en-US" w:eastAsia="ja-JP"/>
        </w:rPr>
        <w:t xml:space="preserve"> isotop</w:t>
      </w:r>
      <w:r w:rsidR="003255EB">
        <w:rPr>
          <w:lang w:val="en-US" w:eastAsia="ja-JP"/>
        </w:rPr>
        <w:t>ic ratios</w:t>
      </w:r>
      <w:r w:rsidRPr="00DD2C1A">
        <w:rPr>
          <w:lang w:val="en-US" w:eastAsia="ja-JP"/>
        </w:rPr>
        <w:t xml:space="preserve">. In Figure </w:t>
      </w:r>
      <w:r>
        <w:rPr>
          <w:lang w:val="en-US" w:eastAsia="ja-JP"/>
        </w:rPr>
        <w:t>S3</w:t>
      </w:r>
      <w:r w:rsidR="002D036E">
        <w:rPr>
          <w:lang w:val="en-US" w:eastAsia="ja-JP"/>
        </w:rPr>
        <w:t>h</w:t>
      </w:r>
      <w:r w:rsidRPr="00DD2C1A">
        <w:rPr>
          <w:lang w:val="en-US" w:eastAsia="ja-JP"/>
        </w:rPr>
        <w:t xml:space="preserve">, mixing diagrams (1/total S vs. </w:t>
      </w:r>
      <w:r w:rsidRPr="00DD2C1A">
        <w:rPr>
          <w:lang w:val="en-US"/>
        </w:rPr>
        <w:t>δ</w:t>
      </w:r>
      <w:r w:rsidRPr="00DD2C1A">
        <w:rPr>
          <w:vertAlign w:val="superscript"/>
          <w:lang w:val="en-US" w:eastAsia="ja-JP"/>
        </w:rPr>
        <w:t>34</w:t>
      </w:r>
      <w:r w:rsidRPr="00DD2C1A">
        <w:rPr>
          <w:lang w:val="en-US" w:eastAsia="ja-JP"/>
        </w:rPr>
        <w:t xml:space="preserve">S) for the Stimpson and Murray formations suggest depleted </w:t>
      </w:r>
      <w:r w:rsidRPr="00DD2C1A">
        <w:rPr>
          <w:vertAlign w:val="superscript"/>
          <w:lang w:val="en-US" w:eastAsia="ja-JP"/>
        </w:rPr>
        <w:t>34</w:t>
      </w:r>
      <w:r w:rsidRPr="00DD2C1A">
        <w:rPr>
          <w:lang w:val="en-US" w:eastAsia="ja-JP"/>
        </w:rPr>
        <w:t>S sources (</w:t>
      </w:r>
      <w:r w:rsidRPr="00DD2C1A">
        <w:rPr>
          <w:i/>
          <w:iCs/>
          <w:lang w:val="en-US" w:eastAsia="ja-JP"/>
        </w:rPr>
        <w:t>y</w:t>
      </w:r>
      <w:r w:rsidRPr="00DD2C1A">
        <w:rPr>
          <w:lang w:val="en-US" w:eastAsia="ja-JP"/>
        </w:rPr>
        <w:t xml:space="preserve">-intercepts) and relatively enriched backgrounds (positive slopes). The Carolyn Shoemaker formation mixing diagram suggests enriched </w:t>
      </w:r>
      <w:r w:rsidRPr="00DD2C1A">
        <w:rPr>
          <w:vertAlign w:val="superscript"/>
          <w:lang w:val="en-US" w:eastAsia="ja-JP"/>
        </w:rPr>
        <w:t>34</w:t>
      </w:r>
      <w:r w:rsidRPr="00DD2C1A">
        <w:rPr>
          <w:lang w:val="en-US" w:eastAsia="ja-JP"/>
        </w:rPr>
        <w:t xml:space="preserve">S sources and relatively depleted backgrounds (Figure </w:t>
      </w:r>
      <w:r>
        <w:rPr>
          <w:lang w:val="en-US" w:eastAsia="ja-JP"/>
        </w:rPr>
        <w:t>S3</w:t>
      </w:r>
      <w:r w:rsidR="002D036E">
        <w:rPr>
          <w:lang w:val="en-US" w:eastAsia="ja-JP"/>
        </w:rPr>
        <w:t>h</w:t>
      </w:r>
      <w:r w:rsidRPr="00DD2C1A">
        <w:rPr>
          <w:lang w:val="en-US" w:eastAsia="ja-JP"/>
        </w:rPr>
        <w:t xml:space="preserve">). The Sheepbed samples exhibit a weak mixing line relationship that is inconclusive. The predicted relationship between S concentration and </w:t>
      </w:r>
      <w:r w:rsidRPr="00DD2C1A">
        <w:rPr>
          <w:lang w:val="en-US"/>
        </w:rPr>
        <w:t>δ</w:t>
      </w:r>
      <w:r w:rsidRPr="00DD2C1A">
        <w:rPr>
          <w:vertAlign w:val="superscript"/>
          <w:lang w:val="en-US" w:eastAsia="ja-JP"/>
        </w:rPr>
        <w:t>34</w:t>
      </w:r>
      <w:r w:rsidRPr="00DD2C1A">
        <w:rPr>
          <w:lang w:val="en-US" w:eastAsia="ja-JP"/>
        </w:rPr>
        <w:t xml:space="preserve">S values derived from the Stimpson, Murray and Carolyn Shoemaker mixing diagram equations closely approximate the actual data (Figure </w:t>
      </w:r>
      <w:r>
        <w:rPr>
          <w:lang w:val="en-US" w:eastAsia="ja-JP"/>
        </w:rPr>
        <w:t>S3</w:t>
      </w:r>
      <w:r w:rsidR="002D036E">
        <w:rPr>
          <w:lang w:val="en-US" w:eastAsia="ja-JP"/>
        </w:rPr>
        <w:t>i</w:t>
      </w:r>
      <w:r w:rsidRPr="00DD2C1A">
        <w:rPr>
          <w:lang w:val="en-US" w:eastAsia="ja-JP"/>
        </w:rPr>
        <w:t xml:space="preserve">). Data clearly suggests that </w:t>
      </w:r>
      <w:r w:rsidRPr="00DD2C1A">
        <w:rPr>
          <w:lang w:val="en-US"/>
        </w:rPr>
        <w:t>δ</w:t>
      </w:r>
      <w:r w:rsidRPr="00DD2C1A">
        <w:rPr>
          <w:vertAlign w:val="superscript"/>
          <w:lang w:val="en-US" w:eastAsia="ja-JP"/>
        </w:rPr>
        <w:t>34</w:t>
      </w:r>
      <w:r w:rsidRPr="00DD2C1A">
        <w:rPr>
          <w:lang w:val="en-US" w:eastAsia="ja-JP"/>
        </w:rPr>
        <w:t>S variability is driven by differences in total S.</w:t>
      </w:r>
    </w:p>
    <w:p w14:paraId="6CA6DDF1" w14:textId="30382C7C" w:rsidR="00904C2A" w:rsidRPr="0064546E" w:rsidRDefault="002E4B01" w:rsidP="00904C2A">
      <w:pPr>
        <w:rPr>
          <w:rFonts w:asciiTheme="majorBidi" w:hAnsiTheme="majorBidi" w:cstheme="majorBidi"/>
        </w:rPr>
      </w:pPr>
      <w:r w:rsidRPr="002E4B01">
        <w:rPr>
          <w:noProof/>
        </w:rPr>
        <w:lastRenderedPageBreak/>
        <w:drawing>
          <wp:inline distT="0" distB="0" distL="0" distR="0" wp14:anchorId="760F5514" wp14:editId="453FDDC5">
            <wp:extent cx="4580952" cy="2752381"/>
            <wp:effectExtent l="0" t="0" r="0" b="0"/>
            <wp:docPr id="1594648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648339" name=""/>
                    <pic:cNvPicPr/>
                  </pic:nvPicPr>
                  <pic:blipFill>
                    <a:blip r:embed="rId28"/>
                    <a:stretch>
                      <a:fillRect/>
                    </a:stretch>
                  </pic:blipFill>
                  <pic:spPr>
                    <a:xfrm>
                      <a:off x="0" y="0"/>
                      <a:ext cx="4580952" cy="2752381"/>
                    </a:xfrm>
                    <a:prstGeom prst="rect">
                      <a:avLst/>
                    </a:prstGeom>
                  </pic:spPr>
                </pic:pic>
              </a:graphicData>
            </a:graphic>
          </wp:inline>
        </w:drawing>
      </w:r>
    </w:p>
    <w:p w14:paraId="589D6A33" w14:textId="3BE9CFBA" w:rsidR="00904C2A" w:rsidRPr="0064546E" w:rsidRDefault="00904C2A" w:rsidP="00B44B01">
      <w:pPr>
        <w:pStyle w:val="Figurecaption"/>
        <w:spacing w:before="0" w:line="480" w:lineRule="auto"/>
        <w:jc w:val="both"/>
        <w:rPr>
          <w:lang w:val="en-US" w:eastAsia="ja-JP"/>
        </w:rPr>
      </w:pPr>
      <w:r w:rsidRPr="0064546E">
        <w:rPr>
          <w:lang w:val="en-US"/>
        </w:rPr>
        <w:t xml:space="preserve">Figure </w:t>
      </w:r>
      <w:r w:rsidR="00C3532A">
        <w:rPr>
          <w:lang w:val="en-US"/>
        </w:rPr>
        <w:t>S3</w:t>
      </w:r>
      <w:r w:rsidR="002D036E">
        <w:rPr>
          <w:lang w:val="en-US"/>
        </w:rPr>
        <w:t>h</w:t>
      </w:r>
      <w:r w:rsidRPr="0064546E">
        <w:rPr>
          <w:lang w:val="en-US"/>
        </w:rPr>
        <w:t xml:space="preserve">. Mixing diagrams (1/total S concentration vs. </w:t>
      </w:r>
      <w:r w:rsidRPr="0064546E">
        <w:rPr>
          <w:color w:val="000000" w:themeColor="text1"/>
          <w:lang w:val="en-US"/>
        </w:rPr>
        <w:t>δ</w:t>
      </w:r>
      <w:r w:rsidRPr="0064546E">
        <w:rPr>
          <w:vertAlign w:val="superscript"/>
          <w:lang w:val="en-US"/>
        </w:rPr>
        <w:t xml:space="preserve"> 34</w:t>
      </w:r>
      <w:r w:rsidRPr="0064546E">
        <w:rPr>
          <w:lang w:val="en-US"/>
        </w:rPr>
        <w:t xml:space="preserve">S) </w:t>
      </w:r>
      <w:r w:rsidRPr="0064546E">
        <w:rPr>
          <w:lang w:val="en-US" w:eastAsia="ja-JP"/>
        </w:rPr>
        <w:t>for the Sheepbed sediments (</w:t>
      </w:r>
      <w:r w:rsidR="00681FE2">
        <w:rPr>
          <w:lang w:val="en-US" w:eastAsia="ja-JP"/>
        </w:rPr>
        <w:t xml:space="preserve">an ancient </w:t>
      </w:r>
      <w:r w:rsidRPr="0064546E">
        <w:rPr>
          <w:lang w:val="en-US" w:eastAsia="ja-JP"/>
        </w:rPr>
        <w:t xml:space="preserve">mudstone), the </w:t>
      </w:r>
      <w:r w:rsidR="00681FE2">
        <w:rPr>
          <w:lang w:val="en-US" w:eastAsia="ja-JP"/>
        </w:rPr>
        <w:t xml:space="preserve">lacustrine </w:t>
      </w:r>
      <w:r w:rsidRPr="0064546E">
        <w:rPr>
          <w:lang w:val="en-US" w:eastAsia="ja-JP"/>
        </w:rPr>
        <w:t>Carolyn Shoemake</w:t>
      </w:r>
      <w:r w:rsidR="00681FE2">
        <w:rPr>
          <w:lang w:val="en-US" w:eastAsia="ja-JP"/>
        </w:rPr>
        <w:t xml:space="preserve"> </w:t>
      </w:r>
      <w:r w:rsidRPr="0064546E">
        <w:rPr>
          <w:lang w:val="en-US" w:eastAsia="ja-JP"/>
        </w:rPr>
        <w:t>and Murray</w:t>
      </w:r>
      <w:r w:rsidR="00681FE2">
        <w:rPr>
          <w:lang w:val="en-US" w:eastAsia="ja-JP"/>
        </w:rPr>
        <w:t xml:space="preserve"> formations</w:t>
      </w:r>
      <w:r w:rsidRPr="0064546E">
        <w:rPr>
          <w:lang w:val="en-US" w:eastAsia="ja-JP"/>
        </w:rPr>
        <w:t xml:space="preserve"> </w:t>
      </w:r>
      <w:r w:rsidR="00681FE2">
        <w:rPr>
          <w:lang w:val="en-US" w:eastAsia="ja-JP"/>
        </w:rPr>
        <w:t>and the Stimson sediments (lithified wind</w:t>
      </w:r>
      <w:r w:rsidR="007E24E7">
        <w:rPr>
          <w:lang w:val="en-US" w:eastAsia="ja-JP"/>
        </w:rPr>
        <w:t>-</w:t>
      </w:r>
      <w:r w:rsidR="00681FE2">
        <w:rPr>
          <w:lang w:val="en-US" w:eastAsia="ja-JP"/>
        </w:rPr>
        <w:t>blown dunes)</w:t>
      </w:r>
      <w:r w:rsidRPr="0064546E">
        <w:rPr>
          <w:lang w:val="en-US" w:eastAsia="ja-JP"/>
        </w:rPr>
        <w:t xml:space="preserve"> collected and </w:t>
      </w:r>
      <w:r w:rsidR="00D03B1D" w:rsidRPr="0064546E">
        <w:rPr>
          <w:lang w:val="en-US" w:eastAsia="ja-JP"/>
        </w:rPr>
        <w:t>analyzed</w:t>
      </w:r>
      <w:r w:rsidRPr="0064546E">
        <w:rPr>
          <w:lang w:val="en-US" w:eastAsia="ja-JP"/>
        </w:rPr>
        <w:t xml:space="preserve"> with the Curiosity rover at Gale crater, Mars. Data after House et al. (2022).</w:t>
      </w:r>
    </w:p>
    <w:p w14:paraId="2A0005EA" w14:textId="34020687" w:rsidR="00904C2A" w:rsidRPr="0064546E" w:rsidRDefault="00705E48" w:rsidP="00904C2A">
      <w:pPr>
        <w:rPr>
          <w:rFonts w:asciiTheme="majorBidi" w:hAnsiTheme="majorBidi" w:cstheme="majorBidi"/>
        </w:rPr>
      </w:pPr>
      <w:r w:rsidRPr="00705E48">
        <w:rPr>
          <w:noProof/>
        </w:rPr>
        <w:drawing>
          <wp:inline distT="0" distB="0" distL="0" distR="0" wp14:anchorId="4CC12C41" wp14:editId="29CB90D5">
            <wp:extent cx="4580952" cy="2742857"/>
            <wp:effectExtent l="0" t="0" r="0" b="635"/>
            <wp:docPr id="111008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08495" name=""/>
                    <pic:cNvPicPr/>
                  </pic:nvPicPr>
                  <pic:blipFill>
                    <a:blip r:embed="rId29"/>
                    <a:stretch>
                      <a:fillRect/>
                    </a:stretch>
                  </pic:blipFill>
                  <pic:spPr>
                    <a:xfrm>
                      <a:off x="0" y="0"/>
                      <a:ext cx="4580952" cy="2742857"/>
                    </a:xfrm>
                    <a:prstGeom prst="rect">
                      <a:avLst/>
                    </a:prstGeom>
                  </pic:spPr>
                </pic:pic>
              </a:graphicData>
            </a:graphic>
          </wp:inline>
        </w:drawing>
      </w:r>
    </w:p>
    <w:p w14:paraId="5DEF9E40" w14:textId="4DBB0A2E" w:rsidR="00904C2A" w:rsidRPr="0064546E" w:rsidRDefault="00904C2A" w:rsidP="00B44B01">
      <w:pPr>
        <w:pStyle w:val="Figurecaption"/>
        <w:spacing w:before="0" w:line="480" w:lineRule="auto"/>
        <w:jc w:val="both"/>
        <w:rPr>
          <w:lang w:val="en-US" w:eastAsia="ja-JP"/>
        </w:rPr>
      </w:pPr>
      <w:r w:rsidRPr="0064546E">
        <w:rPr>
          <w:lang w:val="en-US"/>
        </w:rPr>
        <w:t xml:space="preserve">Figure </w:t>
      </w:r>
      <w:r w:rsidR="00C3532A">
        <w:rPr>
          <w:lang w:val="en-US"/>
        </w:rPr>
        <w:t>S3i</w:t>
      </w:r>
      <w:r w:rsidRPr="0064546E">
        <w:rPr>
          <w:lang w:val="en-US"/>
        </w:rPr>
        <w:t xml:space="preserve">. The relationship between S concentration and </w:t>
      </w:r>
      <w:r w:rsidRPr="0064546E">
        <w:rPr>
          <w:color w:val="000000" w:themeColor="text1"/>
          <w:lang w:val="en-US"/>
        </w:rPr>
        <w:t>δ</w:t>
      </w:r>
      <w:r w:rsidRPr="0064546E">
        <w:rPr>
          <w:vertAlign w:val="superscript"/>
          <w:lang w:val="en-US"/>
        </w:rPr>
        <w:t xml:space="preserve"> 34</w:t>
      </w:r>
      <w:r w:rsidRPr="0064546E">
        <w:rPr>
          <w:lang w:val="en-US"/>
        </w:rPr>
        <w:t>S for</w:t>
      </w:r>
      <w:r w:rsidR="00681FE2" w:rsidRPr="0064546E">
        <w:rPr>
          <w:lang w:val="en-US" w:eastAsia="ja-JP"/>
        </w:rPr>
        <w:t xml:space="preserve"> the Sheepbed sediments (</w:t>
      </w:r>
      <w:r w:rsidR="00681FE2">
        <w:rPr>
          <w:lang w:val="en-US" w:eastAsia="ja-JP"/>
        </w:rPr>
        <w:t xml:space="preserve">an ancient </w:t>
      </w:r>
      <w:r w:rsidR="00681FE2" w:rsidRPr="0064546E">
        <w:rPr>
          <w:lang w:val="en-US" w:eastAsia="ja-JP"/>
        </w:rPr>
        <w:t xml:space="preserve">mudstone), the </w:t>
      </w:r>
      <w:r w:rsidR="00681FE2">
        <w:rPr>
          <w:lang w:val="en-US" w:eastAsia="ja-JP"/>
        </w:rPr>
        <w:t xml:space="preserve">lacustrine </w:t>
      </w:r>
      <w:r w:rsidR="00681FE2" w:rsidRPr="0064546E">
        <w:rPr>
          <w:lang w:val="en-US" w:eastAsia="ja-JP"/>
        </w:rPr>
        <w:t>Carolyn Shoemake</w:t>
      </w:r>
      <w:r w:rsidR="00681FE2">
        <w:rPr>
          <w:lang w:val="en-US" w:eastAsia="ja-JP"/>
        </w:rPr>
        <w:t xml:space="preserve"> </w:t>
      </w:r>
      <w:r w:rsidR="00681FE2" w:rsidRPr="0064546E">
        <w:rPr>
          <w:lang w:val="en-US" w:eastAsia="ja-JP"/>
        </w:rPr>
        <w:t>and Murray</w:t>
      </w:r>
      <w:r w:rsidR="00681FE2">
        <w:rPr>
          <w:lang w:val="en-US" w:eastAsia="ja-JP"/>
        </w:rPr>
        <w:t xml:space="preserve"> formations and the Stimson sediments (lithified wind-blown dunes)</w:t>
      </w:r>
      <w:r w:rsidR="00681FE2" w:rsidRPr="0064546E">
        <w:rPr>
          <w:lang w:val="en-US" w:eastAsia="ja-JP"/>
        </w:rPr>
        <w:t xml:space="preserve"> collected and analyzed with the Curiosity rover at Gale </w:t>
      </w:r>
      <w:r w:rsidR="00681FE2" w:rsidRPr="0064546E">
        <w:rPr>
          <w:lang w:val="en-US" w:eastAsia="ja-JP"/>
        </w:rPr>
        <w:lastRenderedPageBreak/>
        <w:t xml:space="preserve">crater, Mars. </w:t>
      </w:r>
      <w:r w:rsidRPr="0064546E">
        <w:rPr>
          <w:lang w:val="en-US"/>
        </w:rPr>
        <w:t xml:space="preserve">The points are the same as those shown in Figure </w:t>
      </w:r>
      <w:r w:rsidR="00647B2A">
        <w:rPr>
          <w:lang w:val="en-US"/>
        </w:rPr>
        <w:t>S3</w:t>
      </w:r>
      <w:r w:rsidRPr="0064546E">
        <w:rPr>
          <w:lang w:val="en-US"/>
        </w:rPr>
        <w:t xml:space="preserve">h. The predicted relationships are derived from the mixing line equations </w:t>
      </w:r>
      <w:r w:rsidRPr="0064546E">
        <w:rPr>
          <w:lang w:val="en-US" w:eastAsia="ja-JP"/>
        </w:rPr>
        <w:t>shown in Figure</w:t>
      </w:r>
      <w:r w:rsidR="00647B2A">
        <w:rPr>
          <w:lang w:val="en-US" w:eastAsia="ja-JP"/>
        </w:rPr>
        <w:t>s</w:t>
      </w:r>
      <w:r w:rsidRPr="0064546E">
        <w:rPr>
          <w:lang w:val="en-US" w:eastAsia="ja-JP"/>
        </w:rPr>
        <w:t xml:space="preserve"> </w:t>
      </w:r>
      <w:r w:rsidR="00647B2A">
        <w:rPr>
          <w:lang w:val="en-US" w:eastAsia="ja-JP"/>
        </w:rPr>
        <w:t>S3</w:t>
      </w:r>
      <w:r w:rsidRPr="0064546E">
        <w:rPr>
          <w:lang w:val="en-US" w:eastAsia="ja-JP"/>
        </w:rPr>
        <w:t>h. Data after House et al. (2022).</w:t>
      </w:r>
    </w:p>
    <w:p w14:paraId="0C22FB58" w14:textId="2566B992" w:rsidR="00904C2A" w:rsidRDefault="00B44B01" w:rsidP="000B02B9">
      <w:pPr>
        <w:pStyle w:val="Newparagraph"/>
        <w:spacing w:after="3" w:line="473" w:lineRule="auto"/>
        <w:ind w:right="14" w:firstLine="0"/>
        <w:jc w:val="both"/>
        <w:rPr>
          <w:lang w:val="en-US" w:eastAsia="ja-JP"/>
        </w:rPr>
      </w:pPr>
      <w:r>
        <w:rPr>
          <w:lang w:val="en-US" w:eastAsia="ja-JP"/>
        </w:rPr>
        <w:t>-</w:t>
      </w:r>
    </w:p>
    <w:p w14:paraId="0D65A652" w14:textId="77777777" w:rsidR="0037779C" w:rsidRDefault="00831A9C" w:rsidP="007E4695">
      <w:pPr>
        <w:pStyle w:val="Newparagraph"/>
        <w:spacing w:after="3" w:line="473" w:lineRule="auto"/>
        <w:ind w:right="14"/>
        <w:jc w:val="both"/>
        <w:rPr>
          <w:lang w:val="en-US" w:eastAsia="ja-JP"/>
        </w:rPr>
      </w:pPr>
      <w:r>
        <w:rPr>
          <w:lang w:val="en-US" w:eastAsia="ja-JP"/>
        </w:rPr>
        <w:t>D</w:t>
      </w:r>
      <w:r w:rsidR="00BA7637" w:rsidRPr="00DD2C1A">
        <w:rPr>
          <w:lang w:val="en-US" w:eastAsia="ja-JP"/>
        </w:rPr>
        <w:t xml:space="preserve">ata suggests that the variability encountered in Martian </w:t>
      </w:r>
      <w:r w:rsidR="00BA7637" w:rsidRPr="00DD2C1A">
        <w:rPr>
          <w:vertAlign w:val="superscript"/>
          <w:lang w:val="en-US" w:eastAsia="ja-JP"/>
        </w:rPr>
        <w:t>13</w:t>
      </w:r>
      <w:r w:rsidR="00BA7637" w:rsidRPr="00DD2C1A">
        <w:rPr>
          <w:lang w:val="en-US" w:eastAsia="ja-JP"/>
        </w:rPr>
        <w:t xml:space="preserve">C and </w:t>
      </w:r>
      <w:r w:rsidR="00BA7637" w:rsidRPr="00DD2C1A">
        <w:rPr>
          <w:vertAlign w:val="superscript"/>
          <w:lang w:val="en-US" w:eastAsia="ja-JP"/>
        </w:rPr>
        <w:t>34</w:t>
      </w:r>
      <w:r w:rsidR="00BA7637" w:rsidRPr="00DD2C1A">
        <w:rPr>
          <w:lang w:val="en-US" w:eastAsia="ja-JP"/>
        </w:rPr>
        <w:t xml:space="preserve">S isotopes is </w:t>
      </w:r>
      <w:r>
        <w:rPr>
          <w:lang w:val="en-US" w:eastAsia="ja-JP"/>
        </w:rPr>
        <w:t>mostly r</w:t>
      </w:r>
      <w:r w:rsidR="00BA7637" w:rsidRPr="00DD2C1A">
        <w:rPr>
          <w:lang w:val="en-US" w:eastAsia="ja-JP"/>
        </w:rPr>
        <w:t xml:space="preserve">elated to C and S concentrations. Furthermore, Martian sediments have different sources and backgrounds for </w:t>
      </w:r>
      <w:r w:rsidR="00BA7637" w:rsidRPr="00DD2C1A">
        <w:rPr>
          <w:vertAlign w:val="superscript"/>
          <w:lang w:val="en-US" w:eastAsia="ja-JP"/>
        </w:rPr>
        <w:t>13</w:t>
      </w:r>
      <w:r w:rsidR="00BA7637" w:rsidRPr="00DD2C1A">
        <w:rPr>
          <w:lang w:val="en-US" w:eastAsia="ja-JP"/>
        </w:rPr>
        <w:t xml:space="preserve">C and </w:t>
      </w:r>
      <w:r w:rsidR="00BA7637" w:rsidRPr="00DD2C1A">
        <w:rPr>
          <w:vertAlign w:val="superscript"/>
          <w:lang w:val="en-US" w:eastAsia="ja-JP"/>
        </w:rPr>
        <w:t>34</w:t>
      </w:r>
      <w:r w:rsidR="00BA7637" w:rsidRPr="00DD2C1A">
        <w:rPr>
          <w:lang w:val="en-US" w:eastAsia="ja-JP"/>
        </w:rPr>
        <w:t xml:space="preserve">S. More data is required to confirm these hypotheses, but no hint of these possibilities is available when only analyzing traditional ratio-based isotopic data. House et al. (2022) proposed three explanations for depleted </w:t>
      </w:r>
      <w:r w:rsidR="00BA7637" w:rsidRPr="00DD2C1A">
        <w:rPr>
          <w:vertAlign w:val="superscript"/>
          <w:lang w:val="en-US" w:eastAsia="ja-JP"/>
        </w:rPr>
        <w:t>13</w:t>
      </w:r>
      <w:r w:rsidR="00BA7637" w:rsidRPr="00DD2C1A">
        <w:rPr>
          <w:lang w:val="en-US" w:eastAsia="ja-JP"/>
        </w:rPr>
        <w:t>C values: biological methane production; photoreduction of atmospheric CO</w:t>
      </w:r>
      <w:r w:rsidR="00BA7637" w:rsidRPr="00DD2C1A">
        <w:rPr>
          <w:vertAlign w:val="subscript"/>
          <w:lang w:val="en-US" w:eastAsia="ja-JP"/>
        </w:rPr>
        <w:t>2</w:t>
      </w:r>
      <w:r w:rsidR="00BA7637" w:rsidRPr="00DD2C1A">
        <w:rPr>
          <w:lang w:val="en-US" w:eastAsia="ja-JP"/>
        </w:rPr>
        <w:t xml:space="preserve">; and cosmic dust. </w:t>
      </w:r>
    </w:p>
    <w:p w14:paraId="5D60A9D9" w14:textId="43CB4C2A" w:rsidR="00BA7637" w:rsidRPr="007E4695" w:rsidRDefault="00BA7637" w:rsidP="007E4695">
      <w:pPr>
        <w:pStyle w:val="Newparagraph"/>
        <w:spacing w:after="3" w:line="473" w:lineRule="auto"/>
        <w:ind w:right="14"/>
        <w:jc w:val="both"/>
        <w:rPr>
          <w:lang w:val="en-US" w:eastAsia="ja-JP"/>
        </w:rPr>
      </w:pPr>
      <w:r w:rsidRPr="00DD2C1A">
        <w:rPr>
          <w:lang w:val="en-US" w:eastAsia="ja-JP"/>
        </w:rPr>
        <w:t>All these explanations are unconventional and differ from processes common on Earth. Additional insight reported here, where</w:t>
      </w:r>
      <w:r w:rsidR="0037779C">
        <w:rPr>
          <w:lang w:val="en-US" w:eastAsia="ja-JP"/>
        </w:rPr>
        <w:t xml:space="preserve"> the</w:t>
      </w:r>
      <w:r w:rsidRPr="00DD2C1A">
        <w:rPr>
          <w:lang w:val="en-US" w:eastAsia="ja-JP"/>
        </w:rPr>
        <w:t xml:space="preserve"> olde</w:t>
      </w:r>
      <w:r w:rsidR="0037779C">
        <w:rPr>
          <w:lang w:val="en-US" w:eastAsia="ja-JP"/>
        </w:rPr>
        <w:t>st</w:t>
      </w:r>
      <w:r w:rsidRPr="00DD2C1A">
        <w:rPr>
          <w:lang w:val="en-US" w:eastAsia="ja-JP"/>
        </w:rPr>
        <w:t xml:space="preserve"> sediment appear</w:t>
      </w:r>
      <w:r w:rsidR="0037779C">
        <w:rPr>
          <w:lang w:val="en-US" w:eastAsia="ja-JP"/>
        </w:rPr>
        <w:t>s</w:t>
      </w:r>
      <w:r w:rsidRPr="00DD2C1A">
        <w:rPr>
          <w:lang w:val="en-US" w:eastAsia="ja-JP"/>
        </w:rPr>
        <w:t xml:space="preserve"> to have depleted </w:t>
      </w:r>
      <w:r w:rsidRPr="00DD2C1A">
        <w:rPr>
          <w:vertAlign w:val="superscript"/>
          <w:lang w:val="en-US" w:eastAsia="ja-JP"/>
        </w:rPr>
        <w:t>13</w:t>
      </w:r>
      <w:r w:rsidRPr="00DD2C1A">
        <w:rPr>
          <w:lang w:val="en-US" w:eastAsia="ja-JP"/>
        </w:rPr>
        <w:t xml:space="preserve">C sources may help determine whether possible Martian life or other phenomenon explain </w:t>
      </w:r>
      <w:r w:rsidRPr="00DD2C1A">
        <w:rPr>
          <w:vertAlign w:val="superscript"/>
          <w:lang w:val="en-US" w:eastAsia="ja-JP"/>
        </w:rPr>
        <w:t>13</w:t>
      </w:r>
      <w:r w:rsidRPr="00DD2C1A">
        <w:rPr>
          <w:lang w:val="en-US" w:eastAsia="ja-JP"/>
        </w:rPr>
        <w:t xml:space="preserve">C isotopic observations. </w:t>
      </w:r>
      <w:r w:rsidR="00F36086">
        <w:rPr>
          <w:lang w:val="en-US" w:eastAsia="ja-JP"/>
        </w:rPr>
        <w:t xml:space="preserve">Our major point is that C sources rather than possibly confounded observed </w:t>
      </w:r>
      <w:r w:rsidR="00F36086" w:rsidRPr="00F36086">
        <w:rPr>
          <w:vertAlign w:val="superscript"/>
          <w:lang w:val="en-US" w:eastAsia="ja-JP"/>
        </w:rPr>
        <w:t>13</w:t>
      </w:r>
      <w:r w:rsidR="00F36086">
        <w:rPr>
          <w:lang w:val="en-US" w:eastAsia="ja-JP"/>
        </w:rPr>
        <w:t>C:</w:t>
      </w:r>
      <w:r w:rsidR="00F36086" w:rsidRPr="00F36086">
        <w:rPr>
          <w:vertAlign w:val="superscript"/>
          <w:lang w:val="en-US" w:eastAsia="ja-JP"/>
        </w:rPr>
        <w:t>12</w:t>
      </w:r>
      <w:r w:rsidR="00F36086">
        <w:rPr>
          <w:lang w:val="en-US" w:eastAsia="ja-JP"/>
        </w:rPr>
        <w:t xml:space="preserve">C ratios should be the variable of interest if one is searching for evidence of present or past life on Mars. </w:t>
      </w:r>
      <w:r w:rsidRPr="00DD2C1A">
        <w:rPr>
          <w:lang w:val="en-US" w:eastAsia="ja-JP"/>
        </w:rPr>
        <w:t>However, any firm conclusions are beyond the scope of this report. The expanded analyses make one quite curious about the Curiosity data</w:t>
      </w:r>
      <w:r>
        <w:rPr>
          <w:lang w:val="en-US" w:eastAsia="ja-JP"/>
        </w:rPr>
        <w:t>.</w:t>
      </w:r>
    </w:p>
    <w:p w14:paraId="260C2868" w14:textId="6D9F7A62" w:rsidR="00271714" w:rsidRPr="00E82205" w:rsidRDefault="00A84C57" w:rsidP="00A62633">
      <w:pPr>
        <w:pStyle w:val="Heading1"/>
        <w:tabs>
          <w:tab w:val="center" w:pos="1505"/>
        </w:tabs>
        <w:spacing w:line="264" w:lineRule="auto"/>
        <w:ind w:left="-14" w:firstLine="0"/>
        <w:jc w:val="both"/>
        <w:rPr>
          <w:rFonts w:ascii="Times New Roman" w:hAnsi="Times New Roman" w:cs="Times New Roman"/>
          <w:sz w:val="24"/>
          <w:szCs w:val="24"/>
        </w:rPr>
      </w:pPr>
      <w:r w:rsidRPr="00E82205">
        <w:rPr>
          <w:rFonts w:ascii="Times New Roman" w:hAnsi="Times New Roman" w:cs="Times New Roman"/>
          <w:sz w:val="24"/>
          <w:szCs w:val="24"/>
        </w:rPr>
        <w:t>5</w:t>
      </w:r>
      <w:r w:rsidR="004B29AB">
        <w:rPr>
          <w:rFonts w:ascii="Times New Roman" w:hAnsi="Times New Roman" w:cs="Times New Roman"/>
          <w:sz w:val="24"/>
          <w:szCs w:val="24"/>
        </w:rPr>
        <w:t xml:space="preserve">      </w:t>
      </w:r>
      <w:r w:rsidR="00207CAB" w:rsidRPr="00E82205">
        <w:rPr>
          <w:rFonts w:ascii="Times New Roman" w:hAnsi="Times New Roman" w:cs="Times New Roman"/>
          <w:sz w:val="24"/>
          <w:szCs w:val="24"/>
        </w:rPr>
        <w:t>Discussion</w:t>
      </w:r>
    </w:p>
    <w:p w14:paraId="0D230F77" w14:textId="4BBFFF40" w:rsidR="00C66095" w:rsidRPr="00DD2C1A" w:rsidRDefault="00C66095" w:rsidP="001763D8">
      <w:pPr>
        <w:pStyle w:val="Paragraph"/>
        <w:spacing w:before="0" w:after="1" w:line="473" w:lineRule="auto"/>
        <w:ind w:right="14"/>
        <w:jc w:val="both"/>
        <w:rPr>
          <w:rFonts w:asciiTheme="majorBidi" w:hAnsiTheme="majorBidi" w:cstheme="majorBidi"/>
          <w:lang w:val="en-US"/>
        </w:rPr>
      </w:pPr>
      <w:r>
        <w:rPr>
          <w:lang w:val="en-US"/>
        </w:rPr>
        <w:t>D</w:t>
      </w:r>
      <w:r w:rsidRPr="00DD2C1A">
        <w:rPr>
          <w:lang w:val="en-US"/>
        </w:rPr>
        <w:t>ata re</w:t>
      </w:r>
      <w:r>
        <w:rPr>
          <w:lang w:val="en-US"/>
        </w:rPr>
        <w:t>-</w:t>
      </w:r>
      <w:r w:rsidRPr="00DD2C1A">
        <w:rPr>
          <w:lang w:val="en-US"/>
        </w:rPr>
        <w:t xml:space="preserve">evaluations suggest that theoretical mathematical </w:t>
      </w:r>
      <w:r>
        <w:rPr>
          <w:lang w:val="en-US"/>
        </w:rPr>
        <w:t xml:space="preserve">concepts </w:t>
      </w:r>
      <w:r w:rsidRPr="00DD2C1A">
        <w:rPr>
          <w:lang w:val="en-US"/>
        </w:rPr>
        <w:t>predict</w:t>
      </w:r>
      <w:r>
        <w:rPr>
          <w:lang w:val="en-US"/>
        </w:rPr>
        <w:t xml:space="preserve"> </w:t>
      </w:r>
      <w:r w:rsidRPr="00DD2C1A">
        <w:rPr>
          <w:lang w:val="en-US"/>
        </w:rPr>
        <w:t xml:space="preserve">how </w:t>
      </w:r>
      <w:r w:rsidRPr="00F55291">
        <w:rPr>
          <w:vertAlign w:val="superscript"/>
          <w:lang w:val="en-US"/>
        </w:rPr>
        <w:t>87</w:t>
      </w:r>
      <w:r w:rsidRPr="00DD2C1A">
        <w:rPr>
          <w:lang w:val="en-US"/>
        </w:rPr>
        <w:t>Sr:</w:t>
      </w:r>
      <w:r w:rsidRPr="00F55291">
        <w:rPr>
          <w:vertAlign w:val="superscript"/>
          <w:lang w:val="en-US"/>
        </w:rPr>
        <w:t>86</w:t>
      </w:r>
      <w:r w:rsidRPr="00DD2C1A">
        <w:rPr>
          <w:lang w:val="en-US"/>
        </w:rPr>
        <w:t>Sr ratios might change over time or among treatments (</w:t>
      </w:r>
      <w:r w:rsidR="00C43188">
        <w:rPr>
          <w:lang w:val="en-US"/>
        </w:rPr>
        <w:t>M</w:t>
      </w:r>
      <w:r w:rsidR="0074018C">
        <w:rPr>
          <w:lang w:val="en-US"/>
        </w:rPr>
        <w:t>oots</w:t>
      </w:r>
      <w:r w:rsidR="00C43188">
        <w:rPr>
          <w:lang w:val="en-US"/>
        </w:rPr>
        <w:t xml:space="preserve"> et al.</w:t>
      </w:r>
      <w:r w:rsidRPr="00DD2C1A">
        <w:rPr>
          <w:lang w:val="en-US"/>
        </w:rPr>
        <w:t xml:space="preserve"> 202</w:t>
      </w:r>
      <w:r w:rsidR="0074018C">
        <w:rPr>
          <w:lang w:val="en-US"/>
        </w:rPr>
        <w:t>4</w:t>
      </w:r>
      <w:r w:rsidR="00E73E69">
        <w:rPr>
          <w:lang w:val="en-US"/>
        </w:rPr>
        <w:t>a</w:t>
      </w:r>
      <w:r w:rsidR="00944DAB">
        <w:rPr>
          <w:lang w:val="en-US"/>
        </w:rPr>
        <w:t>, Supplemental Material 1</w:t>
      </w:r>
      <w:r w:rsidRPr="00DD2C1A">
        <w:rPr>
          <w:lang w:val="en-US"/>
        </w:rPr>
        <w:t>). Here, we identify “ratio problems” in non-strontium datasets that include N, C</w:t>
      </w:r>
      <w:r w:rsidR="00DB67D2">
        <w:rPr>
          <w:lang w:val="en-US"/>
        </w:rPr>
        <w:t xml:space="preserve"> and</w:t>
      </w:r>
      <w:r w:rsidRPr="00DD2C1A">
        <w:rPr>
          <w:lang w:val="en-US"/>
        </w:rPr>
        <w:t xml:space="preserve"> S</w:t>
      </w:r>
      <w:r w:rsidR="000E64D0">
        <w:rPr>
          <w:lang w:val="en-US"/>
        </w:rPr>
        <w:t>.</w:t>
      </w:r>
      <w:r w:rsidRPr="00DD2C1A">
        <w:rPr>
          <w:lang w:val="en-US"/>
        </w:rPr>
        <w:t xml:space="preserve"> Specifically, total N differences confound the interpretation of </w:t>
      </w:r>
      <w:r w:rsidRPr="00950B64">
        <w:rPr>
          <w:vertAlign w:val="superscript"/>
          <w:lang w:val="en-US"/>
        </w:rPr>
        <w:t>15</w:t>
      </w:r>
      <w:r w:rsidRPr="00DD2C1A">
        <w:rPr>
          <w:lang w:val="en-US"/>
        </w:rPr>
        <w:t xml:space="preserve">N defined trophic levels and labeled </w:t>
      </w:r>
      <w:r w:rsidRPr="00950B64">
        <w:rPr>
          <w:vertAlign w:val="superscript"/>
          <w:lang w:val="en-US"/>
        </w:rPr>
        <w:t>15</w:t>
      </w:r>
      <w:r w:rsidRPr="00DD2C1A">
        <w:rPr>
          <w:lang w:val="en-US"/>
        </w:rPr>
        <w:t xml:space="preserve">N tracer studies in a greenhouse experiment. Total C and S confound the interpretation of Martian </w:t>
      </w:r>
      <w:r w:rsidRPr="00950B64">
        <w:rPr>
          <w:vertAlign w:val="superscript"/>
          <w:lang w:val="en-US"/>
        </w:rPr>
        <w:t>13</w:t>
      </w:r>
      <w:r w:rsidRPr="00DD2C1A">
        <w:rPr>
          <w:lang w:val="en-US"/>
        </w:rPr>
        <w:t xml:space="preserve">C and </w:t>
      </w:r>
      <w:r w:rsidRPr="00950B64">
        <w:rPr>
          <w:vertAlign w:val="superscript"/>
          <w:lang w:val="en-US"/>
        </w:rPr>
        <w:t>34</w:t>
      </w:r>
      <w:r w:rsidRPr="00DD2C1A">
        <w:rPr>
          <w:lang w:val="en-US"/>
        </w:rPr>
        <w:t xml:space="preserve">S data collected by the Curiosity rover. </w:t>
      </w:r>
      <w:r w:rsidR="000E64D0">
        <w:rPr>
          <w:lang w:val="en-US"/>
        </w:rPr>
        <w:t>I</w:t>
      </w:r>
      <w:r w:rsidRPr="00DD2C1A">
        <w:rPr>
          <w:lang w:val="en-US"/>
        </w:rPr>
        <w:t xml:space="preserve">sotopic ratio changes over time or for different conditions do not necessarily reflect source changes. </w:t>
      </w:r>
    </w:p>
    <w:p w14:paraId="1515048D" w14:textId="791D9253" w:rsidR="00C66095" w:rsidRPr="00DD2C1A" w:rsidRDefault="00C66095" w:rsidP="001763D8">
      <w:pPr>
        <w:pStyle w:val="Newparagraph"/>
        <w:spacing w:after="1" w:line="473" w:lineRule="auto"/>
        <w:ind w:right="14"/>
        <w:jc w:val="both"/>
        <w:rPr>
          <w:lang w:val="en-US"/>
        </w:rPr>
      </w:pPr>
      <w:r w:rsidRPr="00DD2C1A">
        <w:rPr>
          <w:lang w:val="en-US"/>
        </w:rPr>
        <w:lastRenderedPageBreak/>
        <w:t xml:space="preserve">The portion of an element derived from an exogenous source is traditionally calculated from isotopic ratios. Therefore, these isotopic estimates are subject to the same confounding scaling effects as the original ratios. This is clearly demonstrated in the </w:t>
      </w:r>
      <w:r w:rsidRPr="00DD2C1A">
        <w:rPr>
          <w:vertAlign w:val="superscript"/>
          <w:lang w:val="en-US"/>
        </w:rPr>
        <w:t>15</w:t>
      </w:r>
      <w:r w:rsidRPr="00DD2C1A">
        <w:rPr>
          <w:lang w:val="en-US"/>
        </w:rPr>
        <w:t>N tracer study we evaluated. Isotopic preferences (fractionation or discrimination factors) are also derived from isotopic ratios. Although fractionation phenomen</w:t>
      </w:r>
      <w:r>
        <w:rPr>
          <w:lang w:val="en-US"/>
        </w:rPr>
        <w:t>a</w:t>
      </w:r>
      <w:r w:rsidRPr="00DD2C1A">
        <w:rPr>
          <w:lang w:val="en-US"/>
        </w:rPr>
        <w:t xml:space="preserve"> may occur, total element</w:t>
      </w:r>
      <w:r>
        <w:rPr>
          <w:lang w:val="en-US"/>
        </w:rPr>
        <w:t>-</w:t>
      </w:r>
      <w:r w:rsidRPr="00DD2C1A">
        <w:rPr>
          <w:lang w:val="en-US"/>
        </w:rPr>
        <w:t xml:space="preserve">driven changes in isotopic ratios make traditional fractionation evaluations suspect. </w:t>
      </w:r>
      <w:r>
        <w:rPr>
          <w:lang w:val="en-US"/>
        </w:rPr>
        <w:t xml:space="preserve">A detailed discussion of scaling issues in fractionation studies is included in </w:t>
      </w:r>
      <w:r w:rsidR="000E64D0">
        <w:rPr>
          <w:lang w:val="en-US"/>
        </w:rPr>
        <w:t xml:space="preserve">Moots et al. 2024b </w:t>
      </w:r>
      <w:r w:rsidR="00DB67D2">
        <w:rPr>
          <w:lang w:val="en-US"/>
        </w:rPr>
        <w:t>S</w:t>
      </w:r>
      <w:r>
        <w:rPr>
          <w:lang w:val="en-US"/>
        </w:rPr>
        <w:t xml:space="preserve">upplementary </w:t>
      </w:r>
      <w:r w:rsidR="00DB67D2">
        <w:rPr>
          <w:lang w:val="en-US"/>
        </w:rPr>
        <w:t>M</w:t>
      </w:r>
      <w:r>
        <w:rPr>
          <w:lang w:val="en-US"/>
        </w:rPr>
        <w:t>aterial</w:t>
      </w:r>
      <w:r w:rsidR="00DB67D2">
        <w:rPr>
          <w:lang w:val="en-US"/>
        </w:rPr>
        <w:t xml:space="preserve"> </w:t>
      </w:r>
      <w:r w:rsidR="00FE45E7">
        <w:rPr>
          <w:lang w:val="en-US"/>
        </w:rPr>
        <w:t>3</w:t>
      </w:r>
      <w:r w:rsidR="00AB0F8E">
        <w:rPr>
          <w:lang w:val="en-US"/>
        </w:rPr>
        <w:t>.</w:t>
      </w:r>
      <w:r w:rsidR="00B5557C">
        <w:rPr>
          <w:lang w:val="en-US"/>
        </w:rPr>
        <w:t xml:space="preserve"> </w:t>
      </w:r>
      <w:r>
        <w:rPr>
          <w:lang w:val="en-US"/>
        </w:rPr>
        <w:t xml:space="preserve">Including </w:t>
      </w:r>
      <w:r w:rsidRPr="00DD2C1A">
        <w:rPr>
          <w:lang w:val="en-US"/>
        </w:rPr>
        <w:t xml:space="preserve">source </w:t>
      </w:r>
      <w:r>
        <w:rPr>
          <w:lang w:val="en-US"/>
        </w:rPr>
        <w:t xml:space="preserve">analyses </w:t>
      </w:r>
      <w:r w:rsidRPr="00DD2C1A">
        <w:rPr>
          <w:lang w:val="en-US"/>
        </w:rPr>
        <w:t>provide</w:t>
      </w:r>
      <w:r>
        <w:rPr>
          <w:lang w:val="en-US"/>
        </w:rPr>
        <w:t>s</w:t>
      </w:r>
      <w:r w:rsidRPr="00DD2C1A">
        <w:rPr>
          <w:lang w:val="en-US"/>
        </w:rPr>
        <w:t xml:space="preserve"> </w:t>
      </w:r>
      <w:r>
        <w:rPr>
          <w:lang w:val="en-US"/>
        </w:rPr>
        <w:t>better</w:t>
      </w:r>
      <w:r w:rsidRPr="00DD2C1A">
        <w:rPr>
          <w:lang w:val="en-US"/>
        </w:rPr>
        <w:t xml:space="preserve"> information tha</w:t>
      </w:r>
      <w:r>
        <w:rPr>
          <w:lang w:val="en-US"/>
        </w:rPr>
        <w:t>n</w:t>
      </w:r>
      <w:r w:rsidRPr="00DD2C1A">
        <w:rPr>
          <w:lang w:val="en-US"/>
        </w:rPr>
        <w:t xml:space="preserve"> traditional ratio-based isotopic assessments. There is certainly no harm in conducting both ratio-based inferences and source evaluations.</w:t>
      </w:r>
    </w:p>
    <w:p w14:paraId="625C512A" w14:textId="1F606DA2" w:rsidR="00C66095" w:rsidRPr="00DD2C1A" w:rsidRDefault="00C66095" w:rsidP="001763D8">
      <w:pPr>
        <w:pStyle w:val="Newparagraph"/>
        <w:spacing w:after="1" w:line="473" w:lineRule="auto"/>
        <w:ind w:right="14"/>
        <w:jc w:val="both"/>
        <w:rPr>
          <w:lang w:val="en-US"/>
        </w:rPr>
      </w:pPr>
      <w:r w:rsidRPr="00DD2C1A">
        <w:rPr>
          <w:lang w:val="en-US"/>
        </w:rPr>
        <w:t>The consequences of relying solely on ratio-based expressions have wide application. Mathematical principles suggest there is no reason to expect that isotopic ratios would somehow be immune to ratio issues that have been discussed in the literature for over 100 years. Real isotopic datasets with a range of isotopes confirm what one would expect.</w:t>
      </w:r>
    </w:p>
    <w:p w14:paraId="2B1E5EB2" w14:textId="40B683AE" w:rsidR="00207CAB" w:rsidRPr="00E82205" w:rsidRDefault="00A84C57" w:rsidP="00A62633">
      <w:pPr>
        <w:pStyle w:val="Heading1"/>
        <w:tabs>
          <w:tab w:val="center" w:pos="1627"/>
        </w:tabs>
        <w:ind w:left="-15" w:firstLine="0"/>
        <w:jc w:val="both"/>
        <w:rPr>
          <w:rFonts w:ascii="Times New Roman" w:hAnsi="Times New Roman" w:cs="Times New Roman"/>
          <w:sz w:val="24"/>
          <w:szCs w:val="24"/>
        </w:rPr>
      </w:pPr>
      <w:r w:rsidRPr="00E82205">
        <w:rPr>
          <w:rFonts w:ascii="Times New Roman" w:hAnsi="Times New Roman" w:cs="Times New Roman"/>
          <w:sz w:val="24"/>
          <w:szCs w:val="24"/>
        </w:rPr>
        <w:t>6</w:t>
      </w:r>
      <w:r w:rsidR="00207CAB" w:rsidRPr="00E82205">
        <w:rPr>
          <w:rFonts w:ascii="Times New Roman" w:hAnsi="Times New Roman" w:cs="Times New Roman"/>
          <w:sz w:val="24"/>
          <w:szCs w:val="24"/>
        </w:rPr>
        <w:t xml:space="preserve">      Conclusion</w:t>
      </w:r>
    </w:p>
    <w:p w14:paraId="490CA232" w14:textId="77777777" w:rsidR="00FE2987" w:rsidRPr="00DD2C1A" w:rsidRDefault="00FE2987" w:rsidP="00FE2987">
      <w:pPr>
        <w:pStyle w:val="Newparagraph"/>
        <w:spacing w:after="3" w:line="473" w:lineRule="auto"/>
        <w:ind w:right="14"/>
        <w:jc w:val="both"/>
        <w:rPr>
          <w:lang w:val="en-US"/>
        </w:rPr>
      </w:pPr>
      <w:r w:rsidRPr="00DD2C1A">
        <w:rPr>
          <w:lang w:val="en-US"/>
        </w:rPr>
        <w:t xml:space="preserve">Isotopic researchers are collecting excellent data while developing and testing sophisticated hypotheses. Not all isotopic datasets will have ratio-based interpretive issues. However, in a subset of the ratio literature, very small denominator vs. numerator </w:t>
      </w:r>
      <w:r w:rsidRPr="00DD2C1A">
        <w:rPr>
          <w:i/>
          <w:iCs/>
          <w:lang w:val="en-US"/>
        </w:rPr>
        <w:t>y</w:t>
      </w:r>
      <w:r w:rsidRPr="00DD2C1A">
        <w:rPr>
          <w:lang w:val="en-US"/>
        </w:rPr>
        <w:t xml:space="preserve">-intercepts and other statistical quirks confound conclusions. These errors can be corrected with simple alterations to current analytical methods. </w:t>
      </w:r>
    </w:p>
    <w:p w14:paraId="04B724E5" w14:textId="77777777" w:rsidR="00FE2987" w:rsidRDefault="00FE2987" w:rsidP="00FE2987">
      <w:pPr>
        <w:pStyle w:val="Newparagraph"/>
        <w:spacing w:after="3" w:line="473" w:lineRule="auto"/>
        <w:ind w:right="14"/>
        <w:jc w:val="both"/>
        <w:rPr>
          <w:lang w:val="en-US"/>
        </w:rPr>
      </w:pPr>
      <w:r w:rsidRPr="00DD2C1A">
        <w:rPr>
          <w:lang w:val="en-US"/>
        </w:rPr>
        <w:t xml:space="preserve">Traditional Keeling plots, other forms of mixing diagrams, or an analysis of the relationship between ratio denominator and numerator concentrations or content should be evaluated for isotopic datasets. Source evaluations (relatively rare in the isotopic literature, even when total element concentrations are </w:t>
      </w:r>
      <w:r>
        <w:rPr>
          <w:lang w:val="en-US"/>
        </w:rPr>
        <w:t>measured</w:t>
      </w:r>
      <w:r w:rsidRPr="00DD2C1A">
        <w:rPr>
          <w:lang w:val="en-US"/>
        </w:rPr>
        <w:t xml:space="preserve">) allow researchers to better understand and interpret isotopic studies and should always accompany isotopic ratio data. </w:t>
      </w:r>
    </w:p>
    <w:p w14:paraId="010F18AC" w14:textId="77777777" w:rsidR="00FE2987" w:rsidRDefault="00FE2987" w:rsidP="00FE2987">
      <w:pPr>
        <w:pStyle w:val="Newparagraph"/>
        <w:spacing w:after="3" w:line="473" w:lineRule="auto"/>
        <w:ind w:right="14"/>
        <w:jc w:val="both"/>
      </w:pPr>
      <w:r w:rsidRPr="00BD7897">
        <w:lastRenderedPageBreak/>
        <w:t xml:space="preserve">One will never know whether a dataset has errors related to ratio-based expressions unless it is evaluated. </w:t>
      </w:r>
      <w:r>
        <w:t>Unfortunately, we estimate that over half of C and N isotopic publications do not include measurements of total C and N. Readers have a choice. They should conclude that that a given study is inconclusive unless researchers have determined that confounded ratios are not a problem. This is easily achieved with a source analysis.</w:t>
      </w:r>
    </w:p>
    <w:p w14:paraId="3B3229CB" w14:textId="77777777" w:rsidR="00FE2987" w:rsidRPr="00FE2987" w:rsidRDefault="00FE2987" w:rsidP="00FE2987">
      <w:pPr>
        <w:pStyle w:val="Heading1"/>
        <w:spacing w:after="3" w:line="473" w:lineRule="auto"/>
        <w:ind w:left="0" w:right="14"/>
        <w:jc w:val="both"/>
        <w:rPr>
          <w:rFonts w:ascii="Times New Roman" w:hAnsi="Times New Roman" w:cs="Times New Roman"/>
          <w:sz w:val="24"/>
          <w:szCs w:val="24"/>
        </w:rPr>
      </w:pPr>
      <w:r w:rsidRPr="00FE2987">
        <w:rPr>
          <w:rFonts w:ascii="Times New Roman" w:hAnsi="Times New Roman" w:cs="Times New Roman"/>
          <w:sz w:val="24"/>
          <w:szCs w:val="24"/>
        </w:rPr>
        <w:t>FUNDING DETAILS</w:t>
      </w:r>
    </w:p>
    <w:p w14:paraId="0E7A2A24" w14:textId="77777777" w:rsidR="00FE2987" w:rsidRDefault="00FE2987" w:rsidP="00FE2987">
      <w:pPr>
        <w:pStyle w:val="Newparagraph"/>
        <w:spacing w:after="3" w:line="473" w:lineRule="auto"/>
        <w:ind w:right="14" w:firstLine="0"/>
        <w:jc w:val="both"/>
      </w:pPr>
      <w:r>
        <w:rPr>
          <w:lang w:val="en-US"/>
        </w:rPr>
        <w:t>No external grant funds directly supported this effort. Rather, years of tangential thinking</w:t>
      </w:r>
    </w:p>
    <w:p w14:paraId="7FAF5A67" w14:textId="77777777" w:rsidR="00FE2987" w:rsidRPr="00FE2987" w:rsidRDefault="00FE2987" w:rsidP="00FE2987">
      <w:pPr>
        <w:pStyle w:val="Heading1"/>
        <w:spacing w:after="3" w:line="473" w:lineRule="auto"/>
        <w:ind w:left="0" w:right="14"/>
        <w:jc w:val="both"/>
        <w:rPr>
          <w:rFonts w:ascii="Times New Roman" w:hAnsi="Times New Roman" w:cs="Times New Roman"/>
          <w:b w:val="0"/>
          <w:bCs/>
          <w:sz w:val="24"/>
          <w:szCs w:val="24"/>
        </w:rPr>
      </w:pPr>
      <w:r w:rsidRPr="00FE2987">
        <w:rPr>
          <w:rFonts w:ascii="Times New Roman" w:hAnsi="Times New Roman" w:cs="Times New Roman"/>
          <w:b w:val="0"/>
          <w:sz w:val="24"/>
          <w:szCs w:val="24"/>
        </w:rPr>
        <w:t>associated with many projects lead to this</w:t>
      </w:r>
      <w:r w:rsidRPr="00FE2987">
        <w:rPr>
          <w:rFonts w:ascii="Times New Roman" w:hAnsi="Times New Roman" w:cs="Times New Roman"/>
          <w:sz w:val="24"/>
          <w:szCs w:val="24"/>
        </w:rPr>
        <w:t xml:space="preserve"> </w:t>
      </w:r>
      <w:r w:rsidRPr="00FE2987">
        <w:rPr>
          <w:rFonts w:ascii="Times New Roman" w:hAnsi="Times New Roman" w:cs="Times New Roman"/>
          <w:b w:val="0"/>
          <w:sz w:val="24"/>
          <w:szCs w:val="24"/>
        </w:rPr>
        <w:t>research.</w:t>
      </w:r>
    </w:p>
    <w:p w14:paraId="052C0B85" w14:textId="77777777" w:rsidR="00FE2987" w:rsidRPr="00FE2987" w:rsidRDefault="00FE2987" w:rsidP="00FE2987">
      <w:pPr>
        <w:pStyle w:val="Heading1"/>
        <w:spacing w:after="3" w:line="473" w:lineRule="auto"/>
        <w:ind w:left="0" w:right="14"/>
        <w:jc w:val="both"/>
        <w:rPr>
          <w:rFonts w:ascii="Times New Roman" w:hAnsi="Times New Roman" w:cs="Times New Roman"/>
          <w:sz w:val="24"/>
          <w:szCs w:val="24"/>
        </w:rPr>
      </w:pPr>
      <w:r w:rsidRPr="00FE2987">
        <w:rPr>
          <w:rFonts w:ascii="Times New Roman" w:hAnsi="Times New Roman" w:cs="Times New Roman"/>
          <w:sz w:val="24"/>
          <w:szCs w:val="24"/>
        </w:rPr>
        <w:t>DISCLOSURE STATEMENT</w:t>
      </w:r>
    </w:p>
    <w:p w14:paraId="05C2A897" w14:textId="77777777" w:rsidR="00FE2987" w:rsidRDefault="00FE2987" w:rsidP="00FE2987">
      <w:pPr>
        <w:pStyle w:val="Paragraph"/>
        <w:spacing w:before="0" w:after="3" w:line="473" w:lineRule="auto"/>
        <w:ind w:right="14"/>
        <w:jc w:val="both"/>
        <w:rPr>
          <w:lang w:val="en-US"/>
        </w:rPr>
      </w:pPr>
      <w:r>
        <w:rPr>
          <w:lang w:val="en-US"/>
        </w:rPr>
        <w:t>None of the co-authors have associations or affiliations that would lead to financial benefit from the publication of this document.</w:t>
      </w:r>
    </w:p>
    <w:p w14:paraId="3B76E424" w14:textId="77777777" w:rsidR="00271714" w:rsidRPr="00E82205" w:rsidRDefault="001E34B3" w:rsidP="00A62633">
      <w:pPr>
        <w:pStyle w:val="Heading1"/>
        <w:ind w:left="-5"/>
        <w:jc w:val="both"/>
        <w:rPr>
          <w:rFonts w:ascii="Times New Roman" w:hAnsi="Times New Roman" w:cs="Times New Roman"/>
          <w:sz w:val="24"/>
          <w:szCs w:val="24"/>
        </w:rPr>
      </w:pPr>
      <w:r w:rsidRPr="00E82205">
        <w:rPr>
          <w:rFonts w:ascii="Times New Roman" w:hAnsi="Times New Roman" w:cs="Times New Roman"/>
          <w:sz w:val="24"/>
          <w:szCs w:val="24"/>
        </w:rPr>
        <w:t>References</w:t>
      </w:r>
    </w:p>
    <w:p w14:paraId="65712AC9" w14:textId="77777777" w:rsidR="00650163" w:rsidRPr="00DD2C1A" w:rsidRDefault="00650163" w:rsidP="00650163">
      <w:pPr>
        <w:pStyle w:val="References"/>
        <w:spacing w:before="0" w:line="480" w:lineRule="auto"/>
        <w:jc w:val="both"/>
        <w:rPr>
          <w:lang w:val="en-US"/>
        </w:rPr>
      </w:pPr>
      <w:r w:rsidRPr="00DD2C1A">
        <w:rPr>
          <w:lang w:val="en-US"/>
        </w:rPr>
        <w:t xml:space="preserve">Bedford, C. C., Schwenzer, S. P., Bridges, J. C., Banham, S., Wiens, R. C., Gasnault, O., et al. (2020), “Geochemical Variation in the Stimson Formation of Gale Crater: Provenance, Mineral Sorting, and a Comparison with Modern Martian Dunes,” </w:t>
      </w:r>
      <w:r w:rsidRPr="00DD2C1A">
        <w:rPr>
          <w:i/>
          <w:iCs/>
          <w:lang w:val="en-US"/>
        </w:rPr>
        <w:t>Icarus</w:t>
      </w:r>
      <w:r w:rsidRPr="00DD2C1A">
        <w:rPr>
          <w:lang w:val="en-US"/>
        </w:rPr>
        <w:t>, 341, 113622, DOI: 10.1016/j.icarus.2020.113622.</w:t>
      </w:r>
    </w:p>
    <w:p w14:paraId="41834ABE" w14:textId="77777777" w:rsidR="00650163" w:rsidRPr="00DD2C1A" w:rsidRDefault="00650163" w:rsidP="00650163">
      <w:pPr>
        <w:pStyle w:val="References"/>
        <w:spacing w:before="0" w:line="480" w:lineRule="auto"/>
        <w:jc w:val="both"/>
        <w:rPr>
          <w:lang w:val="en-US"/>
        </w:rPr>
      </w:pPr>
      <w:r w:rsidRPr="00DD2C1A">
        <w:rPr>
          <w:lang w:val="en-US"/>
        </w:rPr>
        <w:t>Caut, S., Angulo, E., and Courchamp, F. (2009), “Variation in Discrimination Factors (Δ</w:t>
      </w:r>
      <w:r w:rsidRPr="00DD2C1A">
        <w:rPr>
          <w:vertAlign w:val="superscript"/>
          <w:lang w:val="en-US"/>
        </w:rPr>
        <w:t>15</w:t>
      </w:r>
      <w:r w:rsidRPr="00DD2C1A">
        <w:rPr>
          <w:lang w:val="en-US"/>
        </w:rPr>
        <w:t>N and Δ</w:t>
      </w:r>
      <w:r w:rsidRPr="00DD2C1A">
        <w:rPr>
          <w:vertAlign w:val="superscript"/>
          <w:lang w:val="en-US"/>
        </w:rPr>
        <w:t>13</w:t>
      </w:r>
      <w:r w:rsidRPr="00DD2C1A">
        <w:rPr>
          <w:lang w:val="en-US"/>
        </w:rPr>
        <w:t xml:space="preserve">C): The Effect of Diet Isotopic Values and Applications for Diet Reconstruction,” </w:t>
      </w:r>
      <w:r w:rsidRPr="00DD2C1A">
        <w:rPr>
          <w:i/>
          <w:iCs/>
          <w:lang w:val="en-US"/>
        </w:rPr>
        <w:t>Journal of Applied Ecology</w:t>
      </w:r>
      <w:r w:rsidRPr="00DD2C1A">
        <w:rPr>
          <w:lang w:val="en-US"/>
        </w:rPr>
        <w:t>, 46, 443-453, DOI: 10.1111/j.1365-2664.2009.01620.x.</w:t>
      </w:r>
    </w:p>
    <w:p w14:paraId="64D7402D" w14:textId="77777777" w:rsidR="00650163" w:rsidRPr="00DD2C1A" w:rsidRDefault="00650163" w:rsidP="00650163">
      <w:pPr>
        <w:pStyle w:val="References"/>
        <w:spacing w:before="0" w:line="480" w:lineRule="auto"/>
        <w:jc w:val="both"/>
        <w:rPr>
          <w:shd w:val="clear" w:color="auto" w:fill="FFFFFF"/>
          <w:lang w:val="en-US"/>
        </w:rPr>
      </w:pPr>
      <w:r w:rsidRPr="00DD2C1A">
        <w:rPr>
          <w:shd w:val="clear" w:color="auto" w:fill="FFFFFF"/>
          <w:lang w:val="en-US"/>
        </w:rPr>
        <w:t xml:space="preserve">Gherardi, F., Acquistapace, P., and Santini, G. (2004), “Food Selection in Freshwater Omnivores: A Case Study of Crayfish Austropotamobius pallipes,” </w:t>
      </w:r>
      <w:r w:rsidRPr="00DD2C1A">
        <w:rPr>
          <w:i/>
          <w:iCs/>
          <w:shd w:val="clear" w:color="auto" w:fill="FFFFFF"/>
          <w:lang w:val="en-US"/>
        </w:rPr>
        <w:t>Archiv für Hydrobiologie</w:t>
      </w:r>
      <w:r w:rsidRPr="00DD2C1A">
        <w:rPr>
          <w:shd w:val="clear" w:color="auto" w:fill="FFFFFF"/>
          <w:lang w:val="en-US"/>
        </w:rPr>
        <w:t>, 15, 357-376, DOI: 10.1127/0003-9136/2004/0159-0357.</w:t>
      </w:r>
    </w:p>
    <w:p w14:paraId="30C5E06E" w14:textId="77777777" w:rsidR="00650163" w:rsidRPr="00DD2C1A" w:rsidRDefault="00650163" w:rsidP="00650163">
      <w:pPr>
        <w:pStyle w:val="References"/>
        <w:spacing w:before="0" w:line="480" w:lineRule="auto"/>
        <w:jc w:val="both"/>
        <w:rPr>
          <w:shd w:val="clear" w:color="auto" w:fill="FFFFFF"/>
          <w:lang w:val="en-US"/>
        </w:rPr>
      </w:pPr>
      <w:r w:rsidRPr="00DD2C1A">
        <w:rPr>
          <w:shd w:val="clear" w:color="auto" w:fill="FFFFFF"/>
          <w:lang w:val="en-US"/>
        </w:rPr>
        <w:t>Glazier, D. S. (2021), “Biological Scaling Analyses are More than Statistical Line Fitting</w:t>
      </w:r>
      <w:r w:rsidRPr="00DD2C1A">
        <w:rPr>
          <w:i/>
          <w:iCs/>
          <w:shd w:val="clear" w:color="auto" w:fill="FFFFFF"/>
          <w:lang w:val="en-US"/>
        </w:rPr>
        <w:t>,” Journal of Experimental Biology</w:t>
      </w:r>
      <w:r w:rsidRPr="00DD2C1A">
        <w:rPr>
          <w:shd w:val="clear" w:color="auto" w:fill="FFFFFF"/>
          <w:lang w:val="en-US"/>
        </w:rPr>
        <w:t>, 224, jeb241059, DOI: 10.1242/jeb.241059.</w:t>
      </w:r>
    </w:p>
    <w:p w14:paraId="323FACE2" w14:textId="77777777" w:rsidR="00650163" w:rsidRDefault="00650163" w:rsidP="00650163">
      <w:pPr>
        <w:pStyle w:val="References"/>
        <w:spacing w:before="0" w:line="480" w:lineRule="auto"/>
        <w:jc w:val="both"/>
        <w:rPr>
          <w:lang w:val="en-US"/>
        </w:rPr>
      </w:pPr>
      <w:r w:rsidRPr="00DD2C1A">
        <w:rPr>
          <w:lang w:val="en-US"/>
        </w:rPr>
        <w:lastRenderedPageBreak/>
        <w:t xml:space="preserve">Grotzinger, J. P., Sumner, D. Y., Kah, L. C., Stack, K., Gupta, S., Edgar, L., et al. (2014), “A habitable Fluvio-Lacustrine Environment at Yellowknife Bay, Gale Crater, Mars,” </w:t>
      </w:r>
      <w:r w:rsidRPr="00DD2C1A">
        <w:rPr>
          <w:i/>
          <w:iCs/>
          <w:lang w:val="en-US"/>
        </w:rPr>
        <w:t>Science,</w:t>
      </w:r>
      <w:r w:rsidRPr="00DD2C1A">
        <w:rPr>
          <w:lang w:val="en-US"/>
        </w:rPr>
        <w:t xml:space="preserve"> 343, 1242777, DOI: 10.1126/science.1242777.</w:t>
      </w:r>
    </w:p>
    <w:p w14:paraId="4FD83A89" w14:textId="77777777" w:rsidR="00650163" w:rsidRPr="00DD2C1A" w:rsidRDefault="00650163" w:rsidP="00650163">
      <w:pPr>
        <w:pStyle w:val="References"/>
        <w:spacing w:before="0" w:line="480" w:lineRule="auto"/>
        <w:jc w:val="both"/>
        <w:rPr>
          <w:lang w:val="en-US" w:eastAsia="ja-JP"/>
        </w:rPr>
      </w:pPr>
      <w:r w:rsidRPr="00DD2C1A">
        <w:rPr>
          <w:lang w:val="en-US"/>
        </w:rPr>
        <w:t xml:space="preserve">Hinrichs, K. U., Hayes, J. M., Sylva, S. P., Brewer, P. G. and DeLong, E. F. (1999), “Methane-Consuming Archaebacteria in Marine Sediments,” </w:t>
      </w:r>
      <w:r w:rsidRPr="00DD2C1A">
        <w:rPr>
          <w:i/>
          <w:iCs/>
          <w:lang w:val="en-US"/>
        </w:rPr>
        <w:t>Nature</w:t>
      </w:r>
      <w:r w:rsidRPr="00DD2C1A">
        <w:rPr>
          <w:lang w:val="en-US"/>
        </w:rPr>
        <w:t>, 398, 802-805.</w:t>
      </w:r>
    </w:p>
    <w:p w14:paraId="354A6AD8" w14:textId="77777777" w:rsidR="00650163" w:rsidRPr="00DD2C1A" w:rsidRDefault="00650163" w:rsidP="00650163">
      <w:pPr>
        <w:pStyle w:val="References"/>
        <w:spacing w:before="0" w:line="480" w:lineRule="auto"/>
        <w:jc w:val="both"/>
        <w:rPr>
          <w:lang w:val="en-US"/>
        </w:rPr>
      </w:pPr>
      <w:r w:rsidRPr="00DD2C1A">
        <w:rPr>
          <w:lang w:val="en-US"/>
        </w:rPr>
        <w:t xml:space="preserve">House, C. H., Wong, G. M., Webster, C. R., Flesch, G. J., Franz, H. B., Stern, J. C., et al. (2022), “Depleted carbon isotope compositions observed at Gale crater, Mars,” </w:t>
      </w:r>
      <w:r w:rsidRPr="00DD2C1A">
        <w:rPr>
          <w:i/>
          <w:iCs/>
          <w:lang w:val="en-US"/>
        </w:rPr>
        <w:t>Proceedings of the National Academy of Sciences</w:t>
      </w:r>
      <w:r w:rsidRPr="00DD2C1A">
        <w:rPr>
          <w:lang w:val="en-US"/>
        </w:rPr>
        <w:t>, 119(4), e2115651119, DOI: 10.1073/pnas.2115651119.</w:t>
      </w:r>
    </w:p>
    <w:p w14:paraId="02F1A87B" w14:textId="77777777" w:rsidR="00650163" w:rsidRPr="00DD2C1A" w:rsidRDefault="00650163" w:rsidP="00650163">
      <w:pPr>
        <w:pStyle w:val="References"/>
        <w:spacing w:before="0" w:line="480" w:lineRule="auto"/>
        <w:jc w:val="both"/>
        <w:rPr>
          <w:noProof/>
          <w:lang w:val="en-US"/>
        </w:rPr>
      </w:pPr>
      <w:r w:rsidRPr="00DD2C1A">
        <w:rPr>
          <w:noProof/>
          <w:lang w:val="en-US"/>
        </w:rPr>
        <w:t>Jacobi, C. M., Villamarin, F., Jardine, T. D., and Magnusson, W.E. (2020), “Uncertainities Associated with Trophic Discrimination Factor and Body Size Complicate Calculation of d</w:t>
      </w:r>
      <w:r w:rsidRPr="00DD2C1A">
        <w:rPr>
          <w:noProof/>
          <w:vertAlign w:val="superscript"/>
          <w:lang w:val="en-US"/>
        </w:rPr>
        <w:t>15</w:t>
      </w:r>
      <w:r w:rsidRPr="00DD2C1A">
        <w:rPr>
          <w:noProof/>
          <w:lang w:val="en-US"/>
        </w:rPr>
        <w:t xml:space="preserve">N-Derived Trophic Positions in Arapaima sp.,” </w:t>
      </w:r>
      <w:r w:rsidRPr="00DD2C1A">
        <w:rPr>
          <w:i/>
          <w:iCs/>
          <w:noProof/>
          <w:lang w:val="en-US"/>
        </w:rPr>
        <w:t>Ecology of Freshwater Fish,</w:t>
      </w:r>
      <w:r w:rsidRPr="00DD2C1A">
        <w:rPr>
          <w:noProof/>
          <w:lang w:val="en-US"/>
        </w:rPr>
        <w:t xml:space="preserve"> 29, 779-789, DOI: 10.1111/eff.12553.</w:t>
      </w:r>
    </w:p>
    <w:p w14:paraId="0BD91927" w14:textId="77777777" w:rsidR="00650163" w:rsidRPr="00DD2C1A" w:rsidRDefault="00650163" w:rsidP="00650163">
      <w:pPr>
        <w:pStyle w:val="References"/>
        <w:spacing w:before="0" w:line="480" w:lineRule="auto"/>
        <w:jc w:val="both"/>
        <w:rPr>
          <w:lang w:val="en-US"/>
        </w:rPr>
      </w:pPr>
      <w:r w:rsidRPr="00DD2C1A">
        <w:rPr>
          <w:lang w:val="en-US"/>
        </w:rPr>
        <w:t xml:space="preserve">Keeling, C. D. (1958), “The Concentration and Isotopic Abundances of Atmospheric Carbon Dioxide in Rural Areas,” </w:t>
      </w:r>
      <w:r w:rsidRPr="00DD2C1A">
        <w:rPr>
          <w:i/>
          <w:iCs/>
          <w:lang w:val="en-US"/>
        </w:rPr>
        <w:t>Geochimica et Cosmochimica</w:t>
      </w:r>
      <w:r w:rsidRPr="00DD2C1A">
        <w:rPr>
          <w:lang w:val="en-US"/>
        </w:rPr>
        <w:t>, 13, 322-334, DOI: 10.1016/0016-7037(58)90033-4.</w:t>
      </w:r>
    </w:p>
    <w:p w14:paraId="22A6B5EE" w14:textId="77777777" w:rsidR="00650163" w:rsidRDefault="00650163" w:rsidP="00650163">
      <w:pPr>
        <w:pStyle w:val="References"/>
        <w:spacing w:before="0" w:line="480" w:lineRule="auto"/>
        <w:jc w:val="both"/>
        <w:rPr>
          <w:lang w:val="en-US"/>
        </w:rPr>
      </w:pPr>
      <w:r w:rsidRPr="00DD2C1A">
        <w:rPr>
          <w:lang w:val="en-US"/>
        </w:rPr>
        <w:t xml:space="preserve">Layman, C. A., Winemiller, K. O., Arington, D. A., and Jepsen, D. B. (2005), “Body Size and Trophic Position in a Diverse Tropical Food Web,” </w:t>
      </w:r>
      <w:r w:rsidRPr="00DD2C1A">
        <w:rPr>
          <w:i/>
          <w:iCs/>
          <w:lang w:val="en-US"/>
        </w:rPr>
        <w:t>Ecology</w:t>
      </w:r>
      <w:r w:rsidRPr="00DD2C1A">
        <w:rPr>
          <w:lang w:val="en-US"/>
        </w:rPr>
        <w:t>, 86, 2530-2535, DOI: 10.1890/04-1098.</w:t>
      </w:r>
    </w:p>
    <w:p w14:paraId="709E1DE0" w14:textId="77777777" w:rsidR="00650163" w:rsidRDefault="00650163" w:rsidP="00650163">
      <w:pPr>
        <w:pStyle w:val="References"/>
        <w:spacing w:before="0" w:line="480" w:lineRule="auto"/>
        <w:jc w:val="both"/>
        <w:rPr>
          <w:lang w:val="en-US"/>
        </w:rPr>
      </w:pPr>
      <w:r w:rsidRPr="00DD2C1A">
        <w:rPr>
          <w:lang w:val="en-US"/>
        </w:rPr>
        <w:t xml:space="preserve">McGarvey, D. J. (2020), “Individual Level Data Reveal High Prevalence of Positive Size Trophic Position Relationship for Vertebrates,” </w:t>
      </w:r>
      <w:r w:rsidRPr="00DD2C1A">
        <w:rPr>
          <w:i/>
          <w:iCs/>
          <w:lang w:val="en-US"/>
        </w:rPr>
        <w:t>Freshwater Biology,</w:t>
      </w:r>
      <w:r w:rsidRPr="00DD2C1A">
        <w:rPr>
          <w:lang w:val="en-US"/>
        </w:rPr>
        <w:t xml:space="preserve"> 66, 628-639, DOI: 10.1111/fwb.13666.</w:t>
      </w:r>
    </w:p>
    <w:p w14:paraId="60B67A25" w14:textId="2E3855B1" w:rsidR="007932A0" w:rsidRPr="006C2AE8" w:rsidRDefault="007932A0" w:rsidP="007932A0">
      <w:pPr>
        <w:pStyle w:val="EndNoteBibliography"/>
        <w:spacing w:after="0" w:line="480" w:lineRule="auto"/>
        <w:ind w:left="720" w:hanging="720"/>
        <w:contextualSpacing/>
        <w:rPr>
          <w:rFonts w:ascii="Times New Roman" w:hAnsi="Times New Roman"/>
        </w:rPr>
      </w:pPr>
      <w:r>
        <w:rPr>
          <w:rFonts w:ascii="Times New Roman" w:hAnsi="Times New Roman"/>
        </w:rPr>
        <w:t xml:space="preserve">Moots, K. Nguyen, C. P Nguyen C. Camacho, F., Lindstrom, D., and Righetti, T, L. (2024a). A mathematical explanation for why ratio-based isotopic analyses are commonly misleading: Theory. Scientific Reports </w:t>
      </w:r>
      <w:r>
        <w:rPr>
          <w:rFonts w:ascii="Times New Roman" w:hAnsi="Times New Roman"/>
          <w:i/>
        </w:rPr>
        <w:t xml:space="preserve">this issue </w:t>
      </w:r>
      <w:r>
        <w:rPr>
          <w:rFonts w:ascii="Times New Roman" w:hAnsi="Times New Roman"/>
        </w:rPr>
        <w:t>.</w:t>
      </w:r>
    </w:p>
    <w:p w14:paraId="17BDA02C" w14:textId="310F8FD8" w:rsidR="007932A0" w:rsidRPr="007932A0" w:rsidRDefault="007932A0" w:rsidP="007932A0">
      <w:pPr>
        <w:pStyle w:val="EndNoteBibliography"/>
        <w:spacing w:after="0" w:line="480" w:lineRule="auto"/>
        <w:ind w:left="720" w:hanging="720"/>
        <w:contextualSpacing/>
        <w:rPr>
          <w:rFonts w:ascii="Times New Roman" w:hAnsi="Times New Roman"/>
        </w:rPr>
      </w:pPr>
      <w:r>
        <w:rPr>
          <w:rFonts w:ascii="Times New Roman" w:hAnsi="Times New Roman"/>
        </w:rPr>
        <w:lastRenderedPageBreak/>
        <w:t xml:space="preserve">Moots, K. Nguyen, C. P Nguyen C. Camacho, F., Lindstrom, D., and Righetti, T, L. (2024b). A mathematical explanation for why ratio-based isotopic analyses are commonly misleading: Dealing with Confounded Isotopic Ratios. Scientific Reports </w:t>
      </w:r>
      <w:r>
        <w:rPr>
          <w:rFonts w:ascii="Times New Roman" w:hAnsi="Times New Roman"/>
          <w:i/>
        </w:rPr>
        <w:t xml:space="preserve">this issue </w:t>
      </w:r>
      <w:r>
        <w:rPr>
          <w:rFonts w:ascii="Times New Roman" w:hAnsi="Times New Roman"/>
        </w:rPr>
        <w:t>.</w:t>
      </w:r>
    </w:p>
    <w:p w14:paraId="6076868A" w14:textId="77777777" w:rsidR="00650163" w:rsidRDefault="00650163" w:rsidP="00650163">
      <w:pPr>
        <w:pStyle w:val="References"/>
        <w:spacing w:before="0" w:line="480" w:lineRule="auto"/>
        <w:jc w:val="both"/>
        <w:rPr>
          <w:lang w:val="en-US"/>
        </w:rPr>
      </w:pPr>
      <w:r w:rsidRPr="00DD2C1A">
        <w:rPr>
          <w:lang w:val="en-US"/>
        </w:rPr>
        <w:t xml:space="preserve">Moyo, S., Bennadji, H., Laguaite, D., Pérez-Umphrey, A. A., Snider, A. M., Bonisoli-Alquati, A., et al. (2021), “Stable Isotope Analyses Identify Trophic Niche Partitioning between Sympatric Terrestrial Vertebrates in Coastal Saltmarshes with Differing Oiling Histories,” </w:t>
      </w:r>
      <w:r w:rsidRPr="00DD2C1A">
        <w:rPr>
          <w:i/>
          <w:iCs/>
          <w:lang w:val="en-US"/>
        </w:rPr>
        <w:t>PeerJ</w:t>
      </w:r>
      <w:r w:rsidRPr="00DD2C1A">
        <w:rPr>
          <w:lang w:val="en-US"/>
        </w:rPr>
        <w:t>, 9, e11392, DOI: 10.7717/peerj.11392.</w:t>
      </w:r>
    </w:p>
    <w:p w14:paraId="3E144748" w14:textId="77777777" w:rsidR="00650163" w:rsidRDefault="00650163" w:rsidP="00650163">
      <w:pPr>
        <w:pStyle w:val="References"/>
        <w:spacing w:before="0" w:line="480" w:lineRule="auto"/>
        <w:jc w:val="both"/>
        <w:rPr>
          <w:lang w:val="en-US"/>
        </w:rPr>
      </w:pPr>
      <w:r w:rsidRPr="00BC76FD">
        <w:rPr>
          <w:lang w:val="en-US"/>
        </w:rPr>
        <w:t xml:space="preserve">Pearson, S. F., Levey, D. J., and Greenberg, C. H. (2003), “Effects of Elemental Composition on the Incorporation of Dietary Nitrogen and Carbon Isotopic Signatures in an Omnivorous Songbird,” </w:t>
      </w:r>
      <w:r w:rsidRPr="00BC76FD">
        <w:rPr>
          <w:i/>
          <w:iCs/>
          <w:lang w:val="en-US"/>
        </w:rPr>
        <w:t>Oecologia</w:t>
      </w:r>
      <w:r w:rsidRPr="00BC76FD">
        <w:rPr>
          <w:lang w:val="en-US"/>
        </w:rPr>
        <w:t>, 135, 516-523, DOI: 10.1007/s00442-003-1221-8.</w:t>
      </w:r>
    </w:p>
    <w:p w14:paraId="2AFF6542" w14:textId="77777777" w:rsidR="00650163" w:rsidRDefault="00650163" w:rsidP="00650163">
      <w:pPr>
        <w:pStyle w:val="References"/>
        <w:spacing w:before="0" w:line="480" w:lineRule="auto"/>
        <w:jc w:val="both"/>
        <w:rPr>
          <w:lang w:val="en-US"/>
        </w:rPr>
      </w:pPr>
      <w:r w:rsidRPr="00DD2C1A">
        <w:rPr>
          <w:lang w:val="en-US"/>
        </w:rPr>
        <w:t xml:space="preserve">Sandrock, D. R., Righetti, T. L., and Azarenko, A. N. (2005), “Isotopic and Nonisotopic Estimation of Nitrogen Uptake Efficiency in Container-Grown Woody Ornamentals,” </w:t>
      </w:r>
      <w:r w:rsidRPr="00DD2C1A">
        <w:rPr>
          <w:i/>
          <w:iCs/>
          <w:lang w:val="en-US"/>
        </w:rPr>
        <w:t>HortScience</w:t>
      </w:r>
      <w:r w:rsidRPr="00DD2C1A">
        <w:rPr>
          <w:lang w:val="en-US"/>
        </w:rPr>
        <w:t>, 40, 665-669, DOI: 10.21273/HORTSCI.40.3.665.</w:t>
      </w:r>
    </w:p>
    <w:p w14:paraId="22DC4F1F" w14:textId="77777777" w:rsidR="00650163" w:rsidRPr="00DD2C1A" w:rsidRDefault="00650163" w:rsidP="00650163">
      <w:pPr>
        <w:pStyle w:val="References"/>
        <w:spacing w:before="0" w:line="480" w:lineRule="auto"/>
        <w:jc w:val="both"/>
        <w:rPr>
          <w:lang w:val="en-US"/>
        </w:rPr>
      </w:pPr>
      <w:r w:rsidRPr="00DD2C1A">
        <w:rPr>
          <w:lang w:val="en-US"/>
        </w:rPr>
        <w:t>Seminoff, J. A., Jones, T. T., Eguchi, T., Jones, D. R., and Dutton, P. H. (2006), “Stable Isotope Discrimination (δ</w:t>
      </w:r>
      <w:r w:rsidRPr="00DD2C1A">
        <w:rPr>
          <w:vertAlign w:val="superscript"/>
          <w:lang w:val="en-US"/>
        </w:rPr>
        <w:t>13</w:t>
      </w:r>
      <w:r w:rsidRPr="00DD2C1A">
        <w:rPr>
          <w:lang w:val="en-US"/>
        </w:rPr>
        <w:t>C and δ</w:t>
      </w:r>
      <w:r w:rsidRPr="00DD2C1A">
        <w:rPr>
          <w:vertAlign w:val="superscript"/>
          <w:lang w:val="en-US"/>
        </w:rPr>
        <w:t>15</w:t>
      </w:r>
      <w:r w:rsidRPr="00DD2C1A">
        <w:rPr>
          <w:lang w:val="en-US"/>
        </w:rPr>
        <w:t xml:space="preserve">N) Between Soft Tissues of the Green Sea Turtle </w:t>
      </w:r>
      <w:r w:rsidRPr="00DD2C1A">
        <w:rPr>
          <w:i/>
          <w:iCs/>
          <w:lang w:val="en-US"/>
        </w:rPr>
        <w:t xml:space="preserve">Chelonia mydas </w:t>
      </w:r>
      <w:r w:rsidRPr="00DD2C1A">
        <w:rPr>
          <w:lang w:val="en-US"/>
        </w:rPr>
        <w:t xml:space="preserve">and Its Diet,” </w:t>
      </w:r>
      <w:r w:rsidRPr="00DD2C1A">
        <w:rPr>
          <w:i/>
          <w:iCs/>
          <w:lang w:val="en-US"/>
        </w:rPr>
        <w:t>Marine Ecology Progress Series</w:t>
      </w:r>
      <w:r w:rsidRPr="00DD2C1A">
        <w:rPr>
          <w:lang w:val="en-US"/>
        </w:rPr>
        <w:t>, 308, 271-278, DOI: 10.3354/meps308271.</w:t>
      </w:r>
    </w:p>
    <w:p w14:paraId="78D4304D" w14:textId="77777777" w:rsidR="00650163" w:rsidRDefault="00650163" w:rsidP="00650163">
      <w:pPr>
        <w:pStyle w:val="References"/>
        <w:spacing w:before="0" w:line="480" w:lineRule="auto"/>
        <w:jc w:val="both"/>
        <w:rPr>
          <w:lang w:val="en-US"/>
        </w:rPr>
      </w:pPr>
      <w:r w:rsidRPr="00DD2C1A">
        <w:rPr>
          <w:lang w:val="en-US"/>
        </w:rPr>
        <w:t xml:space="preserve">Villamarín, F., Jardine, T. D., Bunn, S. E., Marioni, B., and Magnusson, W. E. (2018), “Body Size is More Important Than Diet in Determining Stable-Isotope Estimates of Trophic Position in Crocodilians,” </w:t>
      </w:r>
      <w:r w:rsidRPr="00DD2C1A">
        <w:rPr>
          <w:i/>
          <w:iCs/>
          <w:lang w:val="en-US"/>
        </w:rPr>
        <w:t>Scientific Reports</w:t>
      </w:r>
      <w:r w:rsidRPr="00DD2C1A">
        <w:rPr>
          <w:lang w:val="en-US"/>
        </w:rPr>
        <w:t>, 8, 1-11, DOI: 10.1038/s41598-018-19918-6.</w:t>
      </w:r>
    </w:p>
    <w:p w14:paraId="7F4DE438" w14:textId="77777777" w:rsidR="00650163" w:rsidRDefault="00650163" w:rsidP="00650163">
      <w:pPr>
        <w:pStyle w:val="References"/>
        <w:spacing w:before="0" w:line="480" w:lineRule="auto"/>
        <w:jc w:val="both"/>
        <w:rPr>
          <w:lang w:val="en-US" w:eastAsia="ja-JP"/>
        </w:rPr>
      </w:pPr>
      <w:r w:rsidRPr="00DD2C1A">
        <w:rPr>
          <w:lang w:val="en-US" w:eastAsia="ja-JP"/>
        </w:rPr>
        <w:t xml:space="preserve">Whitledge, G. W., and Rabeni, C. F. (1997), “Energy Sources and Ecological Role of Crayfishes in an Ozark Stream: Insights from Stable Isotopes and Gut Analysis,” </w:t>
      </w:r>
      <w:r w:rsidRPr="00DD2C1A">
        <w:rPr>
          <w:i/>
          <w:iCs/>
          <w:lang w:val="en-US" w:eastAsia="ja-JP"/>
        </w:rPr>
        <w:t>Canadian Journal of Fisheries and Aquatic Sciences</w:t>
      </w:r>
      <w:r w:rsidRPr="00DD2C1A">
        <w:rPr>
          <w:lang w:val="en-US" w:eastAsia="ja-JP"/>
        </w:rPr>
        <w:t>, 54, 2555-2563, DOI: 10.1139/f97-173.</w:t>
      </w:r>
    </w:p>
    <w:sectPr w:rsidR="00650163">
      <w:footerReference w:type="even" r:id="rId30"/>
      <w:footerReference w:type="default" r:id="rId31"/>
      <w:footerReference w:type="first" r:id="rId32"/>
      <w:pgSz w:w="12240" w:h="15840"/>
      <w:pgMar w:top="1057" w:right="1537" w:bottom="9" w:left="14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D52F3" w14:textId="77777777" w:rsidR="000D576F" w:rsidRDefault="000D576F">
      <w:pPr>
        <w:spacing w:after="0" w:line="240" w:lineRule="auto"/>
      </w:pPr>
      <w:r>
        <w:separator/>
      </w:r>
    </w:p>
  </w:endnote>
  <w:endnote w:type="continuationSeparator" w:id="0">
    <w:p w14:paraId="02C4DCEF" w14:textId="77777777" w:rsidR="000D576F" w:rsidRDefault="000D5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382B7" w14:textId="77777777" w:rsidR="00271714" w:rsidRDefault="001E34B3">
    <w:pPr>
      <w:spacing w:after="0" w:line="259" w:lineRule="auto"/>
      <w:ind w:left="5" w:firstLine="0"/>
      <w:jc w:val="center"/>
    </w:pPr>
    <w:r>
      <w:fldChar w:fldCharType="begin"/>
    </w:r>
    <w:r>
      <w:instrText xml:space="preserve"> PAGE   \* MERGEFORMAT </w:instrText>
    </w:r>
    <w:r>
      <w:fldChar w:fldCharType="separate"/>
    </w:r>
    <w: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5F2AB" w14:textId="77777777" w:rsidR="00271714" w:rsidRDefault="001E34B3">
    <w:pPr>
      <w:spacing w:after="0" w:line="259" w:lineRule="auto"/>
      <w:ind w:left="5" w:firstLine="0"/>
      <w:jc w:val="center"/>
    </w:pPr>
    <w:r>
      <w:fldChar w:fldCharType="begin"/>
    </w:r>
    <w:r>
      <w:instrText xml:space="preserve"> PAGE   \* MERGEFORMAT </w:instrText>
    </w:r>
    <w:r>
      <w:fldChar w:fldCharType="separate"/>
    </w:r>
    <w: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1372A" w14:textId="77777777" w:rsidR="00271714" w:rsidRDefault="00271714">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FF2D0" w14:textId="77777777" w:rsidR="000D576F" w:rsidRDefault="000D576F">
      <w:pPr>
        <w:spacing w:after="0" w:line="240" w:lineRule="auto"/>
      </w:pPr>
      <w:r>
        <w:separator/>
      </w:r>
    </w:p>
  </w:footnote>
  <w:footnote w:type="continuationSeparator" w:id="0">
    <w:p w14:paraId="0939355F" w14:textId="77777777" w:rsidR="000D576F" w:rsidRDefault="000D57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404E1A"/>
    <w:multiLevelType w:val="hybridMultilevel"/>
    <w:tmpl w:val="FE6E544E"/>
    <w:lvl w:ilvl="0" w:tplc="106AF94A">
      <w:start w:val="1"/>
      <w:numFmt w:val="decimal"/>
      <w:lvlText w:val="(%1)"/>
      <w:lvlJc w:val="left"/>
      <w:pPr>
        <w:ind w:left="720" w:hanging="360"/>
      </w:pPr>
      <w:rPr>
        <w:rFonts w:hint="default"/>
      </w:rPr>
    </w:lvl>
    <w:lvl w:ilvl="1" w:tplc="145A1454" w:tentative="1">
      <w:start w:val="1"/>
      <w:numFmt w:val="lowerLetter"/>
      <w:lvlText w:val="%2."/>
      <w:lvlJc w:val="left"/>
      <w:pPr>
        <w:ind w:left="1440" w:hanging="360"/>
      </w:pPr>
    </w:lvl>
    <w:lvl w:ilvl="2" w:tplc="394A3694" w:tentative="1">
      <w:start w:val="1"/>
      <w:numFmt w:val="lowerRoman"/>
      <w:lvlText w:val="%3."/>
      <w:lvlJc w:val="right"/>
      <w:pPr>
        <w:ind w:left="2160" w:hanging="180"/>
      </w:pPr>
    </w:lvl>
    <w:lvl w:ilvl="3" w:tplc="3D2C3A76" w:tentative="1">
      <w:start w:val="1"/>
      <w:numFmt w:val="decimal"/>
      <w:lvlText w:val="%4."/>
      <w:lvlJc w:val="left"/>
      <w:pPr>
        <w:ind w:left="2880" w:hanging="360"/>
      </w:pPr>
    </w:lvl>
    <w:lvl w:ilvl="4" w:tplc="2C0ABFF4" w:tentative="1">
      <w:start w:val="1"/>
      <w:numFmt w:val="lowerLetter"/>
      <w:lvlText w:val="%5."/>
      <w:lvlJc w:val="left"/>
      <w:pPr>
        <w:ind w:left="3600" w:hanging="360"/>
      </w:pPr>
    </w:lvl>
    <w:lvl w:ilvl="5" w:tplc="750E2520" w:tentative="1">
      <w:start w:val="1"/>
      <w:numFmt w:val="lowerRoman"/>
      <w:lvlText w:val="%6."/>
      <w:lvlJc w:val="right"/>
      <w:pPr>
        <w:ind w:left="4320" w:hanging="180"/>
      </w:pPr>
    </w:lvl>
    <w:lvl w:ilvl="6" w:tplc="848A46C8" w:tentative="1">
      <w:start w:val="1"/>
      <w:numFmt w:val="decimal"/>
      <w:lvlText w:val="%7."/>
      <w:lvlJc w:val="left"/>
      <w:pPr>
        <w:ind w:left="5040" w:hanging="360"/>
      </w:pPr>
    </w:lvl>
    <w:lvl w:ilvl="7" w:tplc="D4E28C8A" w:tentative="1">
      <w:start w:val="1"/>
      <w:numFmt w:val="lowerLetter"/>
      <w:lvlText w:val="%8."/>
      <w:lvlJc w:val="left"/>
      <w:pPr>
        <w:ind w:left="5760" w:hanging="360"/>
      </w:pPr>
    </w:lvl>
    <w:lvl w:ilvl="8" w:tplc="125A73FA" w:tentative="1">
      <w:start w:val="1"/>
      <w:numFmt w:val="lowerRoman"/>
      <w:lvlText w:val="%9."/>
      <w:lvlJc w:val="right"/>
      <w:pPr>
        <w:ind w:left="6480" w:hanging="180"/>
      </w:pPr>
    </w:lvl>
  </w:abstractNum>
  <w:abstractNum w:abstractNumId="12"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B6965EB"/>
    <w:multiLevelType w:val="hybridMultilevel"/>
    <w:tmpl w:val="656EB7BE"/>
    <w:lvl w:ilvl="0" w:tplc="E6A614C6">
      <w:start w:val="1"/>
      <w:numFmt w:val="decimal"/>
      <w:lvlText w:val="(%1)"/>
      <w:lvlJc w:val="left"/>
      <w:pPr>
        <w:ind w:left="1287" w:hanging="360"/>
      </w:pPr>
      <w:rPr>
        <w:rFonts w:hint="default"/>
      </w:rPr>
    </w:lvl>
    <w:lvl w:ilvl="1" w:tplc="42E6057C" w:tentative="1">
      <w:start w:val="1"/>
      <w:numFmt w:val="lowerLetter"/>
      <w:lvlText w:val="%2."/>
      <w:lvlJc w:val="left"/>
      <w:pPr>
        <w:ind w:left="2007" w:hanging="360"/>
      </w:pPr>
    </w:lvl>
    <w:lvl w:ilvl="2" w:tplc="D1CC2E34" w:tentative="1">
      <w:start w:val="1"/>
      <w:numFmt w:val="lowerRoman"/>
      <w:lvlText w:val="%3."/>
      <w:lvlJc w:val="right"/>
      <w:pPr>
        <w:ind w:left="2727" w:hanging="180"/>
      </w:pPr>
    </w:lvl>
    <w:lvl w:ilvl="3" w:tplc="02445248" w:tentative="1">
      <w:start w:val="1"/>
      <w:numFmt w:val="decimal"/>
      <w:lvlText w:val="%4."/>
      <w:lvlJc w:val="left"/>
      <w:pPr>
        <w:ind w:left="3447" w:hanging="360"/>
      </w:pPr>
    </w:lvl>
    <w:lvl w:ilvl="4" w:tplc="E9B42ECA" w:tentative="1">
      <w:start w:val="1"/>
      <w:numFmt w:val="lowerLetter"/>
      <w:lvlText w:val="%5."/>
      <w:lvlJc w:val="left"/>
      <w:pPr>
        <w:ind w:left="4167" w:hanging="360"/>
      </w:pPr>
    </w:lvl>
    <w:lvl w:ilvl="5" w:tplc="876EF1E0" w:tentative="1">
      <w:start w:val="1"/>
      <w:numFmt w:val="lowerRoman"/>
      <w:lvlText w:val="%6."/>
      <w:lvlJc w:val="right"/>
      <w:pPr>
        <w:ind w:left="4887" w:hanging="180"/>
      </w:pPr>
    </w:lvl>
    <w:lvl w:ilvl="6" w:tplc="C7909592" w:tentative="1">
      <w:start w:val="1"/>
      <w:numFmt w:val="decimal"/>
      <w:lvlText w:val="%7."/>
      <w:lvlJc w:val="left"/>
      <w:pPr>
        <w:ind w:left="5607" w:hanging="360"/>
      </w:pPr>
    </w:lvl>
    <w:lvl w:ilvl="7" w:tplc="65A4E32A" w:tentative="1">
      <w:start w:val="1"/>
      <w:numFmt w:val="lowerLetter"/>
      <w:lvlText w:val="%8."/>
      <w:lvlJc w:val="left"/>
      <w:pPr>
        <w:ind w:left="6327" w:hanging="360"/>
      </w:pPr>
    </w:lvl>
    <w:lvl w:ilvl="8" w:tplc="7A0EECAA" w:tentative="1">
      <w:start w:val="1"/>
      <w:numFmt w:val="lowerRoman"/>
      <w:lvlText w:val="%9."/>
      <w:lvlJc w:val="right"/>
      <w:pPr>
        <w:ind w:left="7047" w:hanging="180"/>
      </w:pPr>
    </w:lvl>
  </w:abstractNum>
  <w:abstractNum w:abstractNumId="14"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12E0E06"/>
    <w:multiLevelType w:val="multilevel"/>
    <w:tmpl w:val="78D8974C"/>
    <w:lvl w:ilvl="0">
      <w:start w:val="1"/>
      <w:numFmt w:val="decimal"/>
      <w:lvlText w:val="%1."/>
      <w:lvlJc w:val="left"/>
      <w:pPr>
        <w:ind w:left="360" w:hanging="360"/>
      </w:pPr>
    </w:lvl>
    <w:lvl w:ilvl="1">
      <w:start w:val="1"/>
      <w:numFmt w:val="decimal"/>
      <w:lvlText w:val="%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7E8289F"/>
    <w:multiLevelType w:val="hybridMultilevel"/>
    <w:tmpl w:val="E976D66C"/>
    <w:lvl w:ilvl="0" w:tplc="36FE2D70">
      <w:start w:val="1"/>
      <w:numFmt w:val="decimal"/>
      <w:lvlText w:val="(%1)"/>
      <w:lvlJc w:val="left"/>
      <w:pPr>
        <w:tabs>
          <w:tab w:val="num" w:pos="720"/>
        </w:tabs>
        <w:ind w:left="720" w:hanging="360"/>
      </w:pPr>
      <w:rPr>
        <w:rFonts w:hint="default"/>
      </w:rPr>
    </w:lvl>
    <w:lvl w:ilvl="1" w:tplc="7088AB14" w:tentative="1">
      <w:start w:val="1"/>
      <w:numFmt w:val="lowerLetter"/>
      <w:lvlText w:val="%2."/>
      <w:lvlJc w:val="left"/>
      <w:pPr>
        <w:tabs>
          <w:tab w:val="num" w:pos="1440"/>
        </w:tabs>
        <w:ind w:left="1440" w:hanging="360"/>
      </w:pPr>
    </w:lvl>
    <w:lvl w:ilvl="2" w:tplc="C906A206" w:tentative="1">
      <w:start w:val="1"/>
      <w:numFmt w:val="lowerRoman"/>
      <w:lvlText w:val="%3."/>
      <w:lvlJc w:val="right"/>
      <w:pPr>
        <w:tabs>
          <w:tab w:val="num" w:pos="2160"/>
        </w:tabs>
        <w:ind w:left="2160" w:hanging="180"/>
      </w:pPr>
    </w:lvl>
    <w:lvl w:ilvl="3" w:tplc="58728E86" w:tentative="1">
      <w:start w:val="1"/>
      <w:numFmt w:val="decimal"/>
      <w:lvlText w:val="%4."/>
      <w:lvlJc w:val="left"/>
      <w:pPr>
        <w:tabs>
          <w:tab w:val="num" w:pos="2880"/>
        </w:tabs>
        <w:ind w:left="2880" w:hanging="360"/>
      </w:pPr>
    </w:lvl>
    <w:lvl w:ilvl="4" w:tplc="1422A000" w:tentative="1">
      <w:start w:val="1"/>
      <w:numFmt w:val="lowerLetter"/>
      <w:lvlText w:val="%5."/>
      <w:lvlJc w:val="left"/>
      <w:pPr>
        <w:tabs>
          <w:tab w:val="num" w:pos="3600"/>
        </w:tabs>
        <w:ind w:left="3600" w:hanging="360"/>
      </w:pPr>
    </w:lvl>
    <w:lvl w:ilvl="5" w:tplc="A0321330" w:tentative="1">
      <w:start w:val="1"/>
      <w:numFmt w:val="lowerRoman"/>
      <w:lvlText w:val="%6."/>
      <w:lvlJc w:val="right"/>
      <w:pPr>
        <w:tabs>
          <w:tab w:val="num" w:pos="4320"/>
        </w:tabs>
        <w:ind w:left="4320" w:hanging="180"/>
      </w:pPr>
    </w:lvl>
    <w:lvl w:ilvl="6" w:tplc="606688F2" w:tentative="1">
      <w:start w:val="1"/>
      <w:numFmt w:val="decimal"/>
      <w:lvlText w:val="%7."/>
      <w:lvlJc w:val="left"/>
      <w:pPr>
        <w:tabs>
          <w:tab w:val="num" w:pos="5040"/>
        </w:tabs>
        <w:ind w:left="5040" w:hanging="360"/>
      </w:pPr>
    </w:lvl>
    <w:lvl w:ilvl="7" w:tplc="3BF6A818" w:tentative="1">
      <w:start w:val="1"/>
      <w:numFmt w:val="lowerLetter"/>
      <w:lvlText w:val="%8."/>
      <w:lvlJc w:val="left"/>
      <w:pPr>
        <w:tabs>
          <w:tab w:val="num" w:pos="5760"/>
        </w:tabs>
        <w:ind w:left="5760" w:hanging="360"/>
      </w:pPr>
    </w:lvl>
    <w:lvl w:ilvl="8" w:tplc="3746FF0C" w:tentative="1">
      <w:start w:val="1"/>
      <w:numFmt w:val="lowerRoman"/>
      <w:lvlText w:val="%9."/>
      <w:lvlJc w:val="right"/>
      <w:pPr>
        <w:tabs>
          <w:tab w:val="num" w:pos="6480"/>
        </w:tabs>
        <w:ind w:left="6480" w:hanging="180"/>
      </w:pPr>
    </w:lvl>
  </w:abstractNum>
  <w:abstractNum w:abstractNumId="19" w15:restartNumberingAfterBreak="0">
    <w:nsid w:val="2B040495"/>
    <w:multiLevelType w:val="hybridMultilevel"/>
    <w:tmpl w:val="E5F8DDA4"/>
    <w:lvl w:ilvl="0" w:tplc="1E2853EC">
      <w:start w:val="1"/>
      <w:numFmt w:val="decimal"/>
      <w:lvlText w:val="(%1)"/>
      <w:lvlJc w:val="left"/>
      <w:pPr>
        <w:ind w:left="1440" w:hanging="360"/>
      </w:pPr>
      <w:rPr>
        <w:rFonts w:hint="default"/>
      </w:rPr>
    </w:lvl>
    <w:lvl w:ilvl="1" w:tplc="0FEE6E68" w:tentative="1">
      <w:start w:val="1"/>
      <w:numFmt w:val="lowerLetter"/>
      <w:lvlText w:val="%2."/>
      <w:lvlJc w:val="left"/>
      <w:pPr>
        <w:ind w:left="2160" w:hanging="360"/>
      </w:pPr>
    </w:lvl>
    <w:lvl w:ilvl="2" w:tplc="0C24212E" w:tentative="1">
      <w:start w:val="1"/>
      <w:numFmt w:val="lowerRoman"/>
      <w:lvlText w:val="%3."/>
      <w:lvlJc w:val="right"/>
      <w:pPr>
        <w:ind w:left="2880" w:hanging="180"/>
      </w:pPr>
    </w:lvl>
    <w:lvl w:ilvl="3" w:tplc="315296C6" w:tentative="1">
      <w:start w:val="1"/>
      <w:numFmt w:val="decimal"/>
      <w:lvlText w:val="%4."/>
      <w:lvlJc w:val="left"/>
      <w:pPr>
        <w:ind w:left="3600" w:hanging="360"/>
      </w:pPr>
    </w:lvl>
    <w:lvl w:ilvl="4" w:tplc="D8EEE124" w:tentative="1">
      <w:start w:val="1"/>
      <w:numFmt w:val="lowerLetter"/>
      <w:lvlText w:val="%5."/>
      <w:lvlJc w:val="left"/>
      <w:pPr>
        <w:ind w:left="4320" w:hanging="360"/>
      </w:pPr>
    </w:lvl>
    <w:lvl w:ilvl="5" w:tplc="CC3CC50A" w:tentative="1">
      <w:start w:val="1"/>
      <w:numFmt w:val="lowerRoman"/>
      <w:lvlText w:val="%6."/>
      <w:lvlJc w:val="right"/>
      <w:pPr>
        <w:ind w:left="5040" w:hanging="180"/>
      </w:pPr>
    </w:lvl>
    <w:lvl w:ilvl="6" w:tplc="8574196E" w:tentative="1">
      <w:start w:val="1"/>
      <w:numFmt w:val="decimal"/>
      <w:lvlText w:val="%7."/>
      <w:lvlJc w:val="left"/>
      <w:pPr>
        <w:ind w:left="5760" w:hanging="360"/>
      </w:pPr>
    </w:lvl>
    <w:lvl w:ilvl="7" w:tplc="094C2658" w:tentative="1">
      <w:start w:val="1"/>
      <w:numFmt w:val="lowerLetter"/>
      <w:lvlText w:val="%8."/>
      <w:lvlJc w:val="left"/>
      <w:pPr>
        <w:ind w:left="6480" w:hanging="360"/>
      </w:pPr>
    </w:lvl>
    <w:lvl w:ilvl="8" w:tplc="51D83E54" w:tentative="1">
      <w:start w:val="1"/>
      <w:numFmt w:val="lowerRoman"/>
      <w:lvlText w:val="%9."/>
      <w:lvlJc w:val="right"/>
      <w:pPr>
        <w:ind w:left="7200" w:hanging="180"/>
      </w:pPr>
    </w:lvl>
  </w:abstractNum>
  <w:abstractNum w:abstractNumId="20"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CB5131"/>
    <w:multiLevelType w:val="hybridMultilevel"/>
    <w:tmpl w:val="F83A4C80"/>
    <w:lvl w:ilvl="0" w:tplc="9E362CF8">
      <w:start w:val="1"/>
      <w:numFmt w:val="decimal"/>
      <w:lvlText w:val="%1)"/>
      <w:lvlJc w:val="left"/>
      <w:pPr>
        <w:ind w:left="720" w:hanging="360"/>
      </w:pPr>
      <w:rPr>
        <w:rFonts w:hint="default"/>
      </w:rPr>
    </w:lvl>
    <w:lvl w:ilvl="1" w:tplc="B520FF52" w:tentative="1">
      <w:start w:val="1"/>
      <w:numFmt w:val="lowerLetter"/>
      <w:lvlText w:val="%2."/>
      <w:lvlJc w:val="left"/>
      <w:pPr>
        <w:ind w:left="1440" w:hanging="360"/>
      </w:pPr>
    </w:lvl>
    <w:lvl w:ilvl="2" w:tplc="BBEE53EE" w:tentative="1">
      <w:start w:val="1"/>
      <w:numFmt w:val="lowerRoman"/>
      <w:lvlText w:val="%3."/>
      <w:lvlJc w:val="right"/>
      <w:pPr>
        <w:ind w:left="2160" w:hanging="180"/>
      </w:pPr>
    </w:lvl>
    <w:lvl w:ilvl="3" w:tplc="369A35FE" w:tentative="1">
      <w:start w:val="1"/>
      <w:numFmt w:val="decimal"/>
      <w:lvlText w:val="%4."/>
      <w:lvlJc w:val="left"/>
      <w:pPr>
        <w:ind w:left="2880" w:hanging="360"/>
      </w:pPr>
    </w:lvl>
    <w:lvl w:ilvl="4" w:tplc="9BD47BC8" w:tentative="1">
      <w:start w:val="1"/>
      <w:numFmt w:val="lowerLetter"/>
      <w:lvlText w:val="%5."/>
      <w:lvlJc w:val="left"/>
      <w:pPr>
        <w:ind w:left="3600" w:hanging="360"/>
      </w:pPr>
    </w:lvl>
    <w:lvl w:ilvl="5" w:tplc="3AF41B08" w:tentative="1">
      <w:start w:val="1"/>
      <w:numFmt w:val="lowerRoman"/>
      <w:lvlText w:val="%6."/>
      <w:lvlJc w:val="right"/>
      <w:pPr>
        <w:ind w:left="4320" w:hanging="180"/>
      </w:pPr>
    </w:lvl>
    <w:lvl w:ilvl="6" w:tplc="791829BA" w:tentative="1">
      <w:start w:val="1"/>
      <w:numFmt w:val="decimal"/>
      <w:lvlText w:val="%7."/>
      <w:lvlJc w:val="left"/>
      <w:pPr>
        <w:ind w:left="5040" w:hanging="360"/>
      </w:pPr>
    </w:lvl>
    <w:lvl w:ilvl="7" w:tplc="41E45472" w:tentative="1">
      <w:start w:val="1"/>
      <w:numFmt w:val="lowerLetter"/>
      <w:lvlText w:val="%8."/>
      <w:lvlJc w:val="left"/>
      <w:pPr>
        <w:ind w:left="5760" w:hanging="360"/>
      </w:pPr>
    </w:lvl>
    <w:lvl w:ilvl="8" w:tplc="254E91CC" w:tentative="1">
      <w:start w:val="1"/>
      <w:numFmt w:val="lowerRoman"/>
      <w:lvlText w:val="%9."/>
      <w:lvlJc w:val="right"/>
      <w:pPr>
        <w:ind w:left="6480" w:hanging="180"/>
      </w:pPr>
    </w:lvl>
  </w:abstractNum>
  <w:abstractNum w:abstractNumId="22" w15:restartNumberingAfterBreak="0">
    <w:nsid w:val="3C5D0C07"/>
    <w:multiLevelType w:val="hybridMultilevel"/>
    <w:tmpl w:val="4CA02766"/>
    <w:lvl w:ilvl="0" w:tplc="B34034A8">
      <w:start w:val="1"/>
      <w:numFmt w:val="decimal"/>
      <w:pStyle w:val="Numberedlist"/>
      <w:lvlText w:val="(%1)"/>
      <w:lvlJc w:val="right"/>
      <w:pPr>
        <w:ind w:left="720" w:hanging="153"/>
      </w:pPr>
      <w:rPr>
        <w:rFonts w:hint="default"/>
      </w:rPr>
    </w:lvl>
    <w:lvl w:ilvl="1" w:tplc="65B8A67A">
      <w:start w:val="1"/>
      <w:numFmt w:val="lowerLetter"/>
      <w:lvlText w:val="(%2)"/>
      <w:lvlJc w:val="left"/>
      <w:pPr>
        <w:ind w:left="1440" w:hanging="360"/>
      </w:pPr>
      <w:rPr>
        <w:rFonts w:hint="default"/>
      </w:rPr>
    </w:lvl>
    <w:lvl w:ilvl="2" w:tplc="1668F22A">
      <w:start w:val="1"/>
      <w:numFmt w:val="lowerRoman"/>
      <w:lvlText w:val="(%3)"/>
      <w:lvlJc w:val="right"/>
      <w:pPr>
        <w:ind w:left="2160" w:hanging="180"/>
      </w:pPr>
      <w:rPr>
        <w:rFonts w:hint="default"/>
      </w:rPr>
    </w:lvl>
    <w:lvl w:ilvl="3" w:tplc="FD927A42" w:tentative="1">
      <w:start w:val="1"/>
      <w:numFmt w:val="decimal"/>
      <w:lvlText w:val="%4."/>
      <w:lvlJc w:val="left"/>
      <w:pPr>
        <w:ind w:left="2880" w:hanging="360"/>
      </w:pPr>
    </w:lvl>
    <w:lvl w:ilvl="4" w:tplc="B7F2380A" w:tentative="1">
      <w:start w:val="1"/>
      <w:numFmt w:val="lowerLetter"/>
      <w:lvlText w:val="%5."/>
      <w:lvlJc w:val="left"/>
      <w:pPr>
        <w:ind w:left="3600" w:hanging="360"/>
      </w:pPr>
    </w:lvl>
    <w:lvl w:ilvl="5" w:tplc="316095B6" w:tentative="1">
      <w:start w:val="1"/>
      <w:numFmt w:val="lowerRoman"/>
      <w:lvlText w:val="%6."/>
      <w:lvlJc w:val="right"/>
      <w:pPr>
        <w:ind w:left="4320" w:hanging="180"/>
      </w:pPr>
    </w:lvl>
    <w:lvl w:ilvl="6" w:tplc="DA767910" w:tentative="1">
      <w:start w:val="1"/>
      <w:numFmt w:val="decimal"/>
      <w:lvlText w:val="%7."/>
      <w:lvlJc w:val="left"/>
      <w:pPr>
        <w:ind w:left="5040" w:hanging="360"/>
      </w:pPr>
    </w:lvl>
    <w:lvl w:ilvl="7" w:tplc="F6DAA6B6" w:tentative="1">
      <w:start w:val="1"/>
      <w:numFmt w:val="lowerLetter"/>
      <w:lvlText w:val="%8."/>
      <w:lvlJc w:val="left"/>
      <w:pPr>
        <w:ind w:left="5760" w:hanging="360"/>
      </w:pPr>
    </w:lvl>
    <w:lvl w:ilvl="8" w:tplc="16E6F966" w:tentative="1">
      <w:start w:val="1"/>
      <w:numFmt w:val="lowerRoman"/>
      <w:lvlText w:val="%9."/>
      <w:lvlJc w:val="right"/>
      <w:pPr>
        <w:ind w:left="6480" w:hanging="180"/>
      </w:pPr>
    </w:lvl>
  </w:abstractNum>
  <w:abstractNum w:abstractNumId="23" w15:restartNumberingAfterBreak="0">
    <w:nsid w:val="3D4A71FF"/>
    <w:multiLevelType w:val="hybridMultilevel"/>
    <w:tmpl w:val="CADCD1BE"/>
    <w:lvl w:ilvl="0" w:tplc="27D0A654">
      <w:start w:val="1"/>
      <w:numFmt w:val="decimal"/>
      <w:lvlText w:val="%1."/>
      <w:lvlJc w:val="left"/>
      <w:pPr>
        <w:ind w:left="360" w:hanging="360"/>
      </w:pPr>
      <w:rPr>
        <w:rFonts w:hint="default"/>
      </w:rPr>
    </w:lvl>
    <w:lvl w:ilvl="1" w:tplc="55200B28" w:tentative="1">
      <w:start w:val="1"/>
      <w:numFmt w:val="lowerLetter"/>
      <w:lvlText w:val="%2."/>
      <w:lvlJc w:val="left"/>
      <w:pPr>
        <w:ind w:left="1080" w:hanging="360"/>
      </w:pPr>
    </w:lvl>
    <w:lvl w:ilvl="2" w:tplc="7E62E794" w:tentative="1">
      <w:start w:val="1"/>
      <w:numFmt w:val="lowerRoman"/>
      <w:lvlText w:val="%3."/>
      <w:lvlJc w:val="right"/>
      <w:pPr>
        <w:ind w:left="1800" w:hanging="180"/>
      </w:pPr>
    </w:lvl>
    <w:lvl w:ilvl="3" w:tplc="972E6F40" w:tentative="1">
      <w:start w:val="1"/>
      <w:numFmt w:val="decimal"/>
      <w:lvlText w:val="%4."/>
      <w:lvlJc w:val="left"/>
      <w:pPr>
        <w:ind w:left="2520" w:hanging="360"/>
      </w:pPr>
    </w:lvl>
    <w:lvl w:ilvl="4" w:tplc="5F28E408" w:tentative="1">
      <w:start w:val="1"/>
      <w:numFmt w:val="lowerLetter"/>
      <w:lvlText w:val="%5."/>
      <w:lvlJc w:val="left"/>
      <w:pPr>
        <w:ind w:left="3240" w:hanging="360"/>
      </w:pPr>
    </w:lvl>
    <w:lvl w:ilvl="5" w:tplc="9A0ADC90" w:tentative="1">
      <w:start w:val="1"/>
      <w:numFmt w:val="lowerRoman"/>
      <w:lvlText w:val="%6."/>
      <w:lvlJc w:val="right"/>
      <w:pPr>
        <w:ind w:left="3960" w:hanging="180"/>
      </w:pPr>
    </w:lvl>
    <w:lvl w:ilvl="6" w:tplc="FB489960" w:tentative="1">
      <w:start w:val="1"/>
      <w:numFmt w:val="decimal"/>
      <w:lvlText w:val="%7."/>
      <w:lvlJc w:val="left"/>
      <w:pPr>
        <w:ind w:left="4680" w:hanging="360"/>
      </w:pPr>
    </w:lvl>
    <w:lvl w:ilvl="7" w:tplc="63DECE4C" w:tentative="1">
      <w:start w:val="1"/>
      <w:numFmt w:val="lowerLetter"/>
      <w:lvlText w:val="%8."/>
      <w:lvlJc w:val="left"/>
      <w:pPr>
        <w:ind w:left="5400" w:hanging="360"/>
      </w:pPr>
    </w:lvl>
    <w:lvl w:ilvl="8" w:tplc="C5422B6A" w:tentative="1">
      <w:start w:val="1"/>
      <w:numFmt w:val="lowerRoman"/>
      <w:lvlText w:val="%9."/>
      <w:lvlJc w:val="right"/>
      <w:pPr>
        <w:ind w:left="6120" w:hanging="180"/>
      </w:pPr>
    </w:lvl>
  </w:abstractNum>
  <w:abstractNum w:abstractNumId="24" w15:restartNumberingAfterBreak="0">
    <w:nsid w:val="424355E5"/>
    <w:multiLevelType w:val="multilevel"/>
    <w:tmpl w:val="EDA2F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D92973"/>
    <w:multiLevelType w:val="hybridMultilevel"/>
    <w:tmpl w:val="0DB89800"/>
    <w:lvl w:ilvl="0" w:tplc="9BF22B3C">
      <w:start w:val="1"/>
      <w:numFmt w:val="decimal"/>
      <w:lvlText w:val="%1."/>
      <w:lvlJc w:val="left"/>
      <w:pPr>
        <w:ind w:left="6315" w:hanging="360"/>
      </w:pPr>
      <w:rPr>
        <w:i w:val="0"/>
        <w:iCs w:val="0"/>
        <w:lang w:val="en-GB"/>
      </w:rPr>
    </w:lvl>
    <w:lvl w:ilvl="1" w:tplc="1EF02B64" w:tentative="1">
      <w:start w:val="1"/>
      <w:numFmt w:val="lowerLetter"/>
      <w:lvlText w:val="%2."/>
      <w:lvlJc w:val="left"/>
      <w:pPr>
        <w:ind w:left="1440" w:hanging="360"/>
      </w:pPr>
    </w:lvl>
    <w:lvl w:ilvl="2" w:tplc="07C425AC" w:tentative="1">
      <w:start w:val="1"/>
      <w:numFmt w:val="lowerRoman"/>
      <w:lvlText w:val="%3."/>
      <w:lvlJc w:val="right"/>
      <w:pPr>
        <w:ind w:left="2160" w:hanging="180"/>
      </w:pPr>
    </w:lvl>
    <w:lvl w:ilvl="3" w:tplc="A2E0DD54" w:tentative="1">
      <w:start w:val="1"/>
      <w:numFmt w:val="decimal"/>
      <w:lvlText w:val="%4."/>
      <w:lvlJc w:val="left"/>
      <w:pPr>
        <w:ind w:left="2880" w:hanging="360"/>
      </w:pPr>
    </w:lvl>
    <w:lvl w:ilvl="4" w:tplc="88DE32EC" w:tentative="1">
      <w:start w:val="1"/>
      <w:numFmt w:val="lowerLetter"/>
      <w:lvlText w:val="%5."/>
      <w:lvlJc w:val="left"/>
      <w:pPr>
        <w:ind w:left="3600" w:hanging="360"/>
      </w:pPr>
    </w:lvl>
    <w:lvl w:ilvl="5" w:tplc="04EE6F62" w:tentative="1">
      <w:start w:val="1"/>
      <w:numFmt w:val="lowerRoman"/>
      <w:lvlText w:val="%6."/>
      <w:lvlJc w:val="right"/>
      <w:pPr>
        <w:ind w:left="4320" w:hanging="180"/>
      </w:pPr>
    </w:lvl>
    <w:lvl w:ilvl="6" w:tplc="64FA2932" w:tentative="1">
      <w:start w:val="1"/>
      <w:numFmt w:val="decimal"/>
      <w:lvlText w:val="%7."/>
      <w:lvlJc w:val="left"/>
      <w:pPr>
        <w:ind w:left="5040" w:hanging="360"/>
      </w:pPr>
    </w:lvl>
    <w:lvl w:ilvl="7" w:tplc="BC44FB44" w:tentative="1">
      <w:start w:val="1"/>
      <w:numFmt w:val="lowerLetter"/>
      <w:lvlText w:val="%8."/>
      <w:lvlJc w:val="left"/>
      <w:pPr>
        <w:ind w:left="5760" w:hanging="360"/>
      </w:pPr>
    </w:lvl>
    <w:lvl w:ilvl="8" w:tplc="F78413D2" w:tentative="1">
      <w:start w:val="1"/>
      <w:numFmt w:val="lowerRoman"/>
      <w:lvlText w:val="%9."/>
      <w:lvlJc w:val="right"/>
      <w:pPr>
        <w:ind w:left="6480" w:hanging="180"/>
      </w:pPr>
    </w:lvl>
  </w:abstractNum>
  <w:abstractNum w:abstractNumId="26" w15:restartNumberingAfterBreak="0">
    <w:nsid w:val="4D1725E7"/>
    <w:multiLevelType w:val="hybridMultilevel"/>
    <w:tmpl w:val="A7A27262"/>
    <w:lvl w:ilvl="0" w:tplc="0409000F">
      <w:start w:val="1"/>
      <w:numFmt w:val="decimal"/>
      <w:lvlText w:val="%1."/>
      <w:lvlJc w:val="left"/>
      <w:pPr>
        <w:ind w:left="171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27" w15:restartNumberingAfterBreak="0">
    <w:nsid w:val="55073044"/>
    <w:multiLevelType w:val="multilevel"/>
    <w:tmpl w:val="B220F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38135E"/>
    <w:multiLevelType w:val="hybridMultilevel"/>
    <w:tmpl w:val="68EEE13A"/>
    <w:lvl w:ilvl="0" w:tplc="726E4918">
      <w:start w:val="1"/>
      <w:numFmt w:val="bullet"/>
      <w:lvlText w:val=""/>
      <w:lvlJc w:val="left"/>
      <w:pPr>
        <w:tabs>
          <w:tab w:val="num" w:pos="720"/>
        </w:tabs>
        <w:ind w:left="720" w:hanging="360"/>
      </w:pPr>
      <w:rPr>
        <w:rFonts w:ascii="Symbol" w:hAnsi="Symbol" w:hint="default"/>
      </w:rPr>
    </w:lvl>
    <w:lvl w:ilvl="1" w:tplc="882A435E" w:tentative="1">
      <w:start w:val="1"/>
      <w:numFmt w:val="bullet"/>
      <w:lvlText w:val="o"/>
      <w:lvlJc w:val="left"/>
      <w:pPr>
        <w:tabs>
          <w:tab w:val="num" w:pos="1440"/>
        </w:tabs>
        <w:ind w:left="1440" w:hanging="360"/>
      </w:pPr>
      <w:rPr>
        <w:rFonts w:ascii="Courier New" w:hAnsi="Courier New" w:cs="Arial" w:hint="default"/>
      </w:rPr>
    </w:lvl>
    <w:lvl w:ilvl="2" w:tplc="E9C81D56" w:tentative="1">
      <w:start w:val="1"/>
      <w:numFmt w:val="bullet"/>
      <w:lvlText w:val=""/>
      <w:lvlJc w:val="left"/>
      <w:pPr>
        <w:tabs>
          <w:tab w:val="num" w:pos="2160"/>
        </w:tabs>
        <w:ind w:left="2160" w:hanging="360"/>
      </w:pPr>
      <w:rPr>
        <w:rFonts w:ascii="Wingdings" w:hAnsi="Wingdings" w:hint="default"/>
      </w:rPr>
    </w:lvl>
    <w:lvl w:ilvl="3" w:tplc="E910B1EA" w:tentative="1">
      <w:start w:val="1"/>
      <w:numFmt w:val="bullet"/>
      <w:lvlText w:val=""/>
      <w:lvlJc w:val="left"/>
      <w:pPr>
        <w:tabs>
          <w:tab w:val="num" w:pos="2880"/>
        </w:tabs>
        <w:ind w:left="2880" w:hanging="360"/>
      </w:pPr>
      <w:rPr>
        <w:rFonts w:ascii="Symbol" w:hAnsi="Symbol" w:hint="default"/>
      </w:rPr>
    </w:lvl>
    <w:lvl w:ilvl="4" w:tplc="FC88775E" w:tentative="1">
      <w:start w:val="1"/>
      <w:numFmt w:val="bullet"/>
      <w:lvlText w:val="o"/>
      <w:lvlJc w:val="left"/>
      <w:pPr>
        <w:tabs>
          <w:tab w:val="num" w:pos="3600"/>
        </w:tabs>
        <w:ind w:left="3600" w:hanging="360"/>
      </w:pPr>
      <w:rPr>
        <w:rFonts w:ascii="Courier New" w:hAnsi="Courier New" w:cs="Arial" w:hint="default"/>
      </w:rPr>
    </w:lvl>
    <w:lvl w:ilvl="5" w:tplc="B3344E42" w:tentative="1">
      <w:start w:val="1"/>
      <w:numFmt w:val="bullet"/>
      <w:lvlText w:val=""/>
      <w:lvlJc w:val="left"/>
      <w:pPr>
        <w:tabs>
          <w:tab w:val="num" w:pos="4320"/>
        </w:tabs>
        <w:ind w:left="4320" w:hanging="360"/>
      </w:pPr>
      <w:rPr>
        <w:rFonts w:ascii="Wingdings" w:hAnsi="Wingdings" w:hint="default"/>
      </w:rPr>
    </w:lvl>
    <w:lvl w:ilvl="6" w:tplc="9CC471B0" w:tentative="1">
      <w:start w:val="1"/>
      <w:numFmt w:val="bullet"/>
      <w:lvlText w:val=""/>
      <w:lvlJc w:val="left"/>
      <w:pPr>
        <w:tabs>
          <w:tab w:val="num" w:pos="5040"/>
        </w:tabs>
        <w:ind w:left="5040" w:hanging="360"/>
      </w:pPr>
      <w:rPr>
        <w:rFonts w:ascii="Symbol" w:hAnsi="Symbol" w:hint="default"/>
      </w:rPr>
    </w:lvl>
    <w:lvl w:ilvl="7" w:tplc="CFA0A7F2" w:tentative="1">
      <w:start w:val="1"/>
      <w:numFmt w:val="bullet"/>
      <w:lvlText w:val="o"/>
      <w:lvlJc w:val="left"/>
      <w:pPr>
        <w:tabs>
          <w:tab w:val="num" w:pos="5760"/>
        </w:tabs>
        <w:ind w:left="5760" w:hanging="360"/>
      </w:pPr>
      <w:rPr>
        <w:rFonts w:ascii="Courier New" w:hAnsi="Courier New" w:cs="Arial" w:hint="default"/>
      </w:rPr>
    </w:lvl>
    <w:lvl w:ilvl="8" w:tplc="89A4BE3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C31D5F"/>
    <w:multiLevelType w:val="hybridMultilevel"/>
    <w:tmpl w:val="FA6C9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D96BF8"/>
    <w:multiLevelType w:val="hybridMultilevel"/>
    <w:tmpl w:val="76D2C65A"/>
    <w:lvl w:ilvl="0" w:tplc="171CDF6E">
      <w:start w:val="1"/>
      <w:numFmt w:val="bullet"/>
      <w:pStyle w:val="Bulletedlist"/>
      <w:lvlText w:val=""/>
      <w:lvlJc w:val="left"/>
      <w:pPr>
        <w:ind w:left="720" w:hanging="360"/>
      </w:pPr>
      <w:rPr>
        <w:rFonts w:ascii="Symbol" w:hAnsi="Symbol" w:hint="default"/>
      </w:rPr>
    </w:lvl>
    <w:lvl w:ilvl="1" w:tplc="1C7E8AC2" w:tentative="1">
      <w:start w:val="1"/>
      <w:numFmt w:val="bullet"/>
      <w:lvlText w:val="o"/>
      <w:lvlJc w:val="left"/>
      <w:pPr>
        <w:ind w:left="1440" w:hanging="360"/>
      </w:pPr>
      <w:rPr>
        <w:rFonts w:ascii="Courier New" w:hAnsi="Courier New" w:cs="Arial" w:hint="default"/>
      </w:rPr>
    </w:lvl>
    <w:lvl w:ilvl="2" w:tplc="A9384C04" w:tentative="1">
      <w:start w:val="1"/>
      <w:numFmt w:val="bullet"/>
      <w:lvlText w:val=""/>
      <w:lvlJc w:val="left"/>
      <w:pPr>
        <w:ind w:left="2160" w:hanging="360"/>
      </w:pPr>
      <w:rPr>
        <w:rFonts w:ascii="Wingdings" w:hAnsi="Wingdings" w:hint="default"/>
      </w:rPr>
    </w:lvl>
    <w:lvl w:ilvl="3" w:tplc="CA48D576" w:tentative="1">
      <w:start w:val="1"/>
      <w:numFmt w:val="bullet"/>
      <w:lvlText w:val=""/>
      <w:lvlJc w:val="left"/>
      <w:pPr>
        <w:ind w:left="2880" w:hanging="360"/>
      </w:pPr>
      <w:rPr>
        <w:rFonts w:ascii="Symbol" w:hAnsi="Symbol" w:hint="default"/>
      </w:rPr>
    </w:lvl>
    <w:lvl w:ilvl="4" w:tplc="B570FF54" w:tentative="1">
      <w:start w:val="1"/>
      <w:numFmt w:val="bullet"/>
      <w:lvlText w:val="o"/>
      <w:lvlJc w:val="left"/>
      <w:pPr>
        <w:ind w:left="3600" w:hanging="360"/>
      </w:pPr>
      <w:rPr>
        <w:rFonts w:ascii="Courier New" w:hAnsi="Courier New" w:cs="Arial" w:hint="default"/>
      </w:rPr>
    </w:lvl>
    <w:lvl w:ilvl="5" w:tplc="E7148C32" w:tentative="1">
      <w:start w:val="1"/>
      <w:numFmt w:val="bullet"/>
      <w:lvlText w:val=""/>
      <w:lvlJc w:val="left"/>
      <w:pPr>
        <w:ind w:left="4320" w:hanging="360"/>
      </w:pPr>
      <w:rPr>
        <w:rFonts w:ascii="Wingdings" w:hAnsi="Wingdings" w:hint="default"/>
      </w:rPr>
    </w:lvl>
    <w:lvl w:ilvl="6" w:tplc="BFB4D45C" w:tentative="1">
      <w:start w:val="1"/>
      <w:numFmt w:val="bullet"/>
      <w:lvlText w:val=""/>
      <w:lvlJc w:val="left"/>
      <w:pPr>
        <w:ind w:left="5040" w:hanging="360"/>
      </w:pPr>
      <w:rPr>
        <w:rFonts w:ascii="Symbol" w:hAnsi="Symbol" w:hint="default"/>
      </w:rPr>
    </w:lvl>
    <w:lvl w:ilvl="7" w:tplc="479CA230" w:tentative="1">
      <w:start w:val="1"/>
      <w:numFmt w:val="bullet"/>
      <w:lvlText w:val="o"/>
      <w:lvlJc w:val="left"/>
      <w:pPr>
        <w:ind w:left="5760" w:hanging="360"/>
      </w:pPr>
      <w:rPr>
        <w:rFonts w:ascii="Courier New" w:hAnsi="Courier New" w:cs="Arial" w:hint="default"/>
      </w:rPr>
    </w:lvl>
    <w:lvl w:ilvl="8" w:tplc="83DE44B6" w:tentative="1">
      <w:start w:val="1"/>
      <w:numFmt w:val="bullet"/>
      <w:lvlText w:val=""/>
      <w:lvlJc w:val="left"/>
      <w:pPr>
        <w:ind w:left="6480" w:hanging="360"/>
      </w:pPr>
      <w:rPr>
        <w:rFonts w:ascii="Wingdings" w:hAnsi="Wingdings" w:hint="default"/>
      </w:rPr>
    </w:lvl>
  </w:abstractNum>
  <w:abstractNum w:abstractNumId="31" w15:restartNumberingAfterBreak="0">
    <w:nsid w:val="5C89346A"/>
    <w:multiLevelType w:val="hybridMultilevel"/>
    <w:tmpl w:val="F694165A"/>
    <w:lvl w:ilvl="0" w:tplc="CA328992">
      <w:start w:val="1"/>
      <w:numFmt w:val="bullet"/>
      <w:lvlText w:val="•"/>
      <w:lvlJc w:val="left"/>
      <w:pPr>
        <w:ind w:left="58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080CC22">
      <w:start w:val="1"/>
      <w:numFmt w:val="bullet"/>
      <w:lvlText w:val="o"/>
      <w:lvlJc w:val="left"/>
      <w:pPr>
        <w:ind w:left="142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AAB6B1C0">
      <w:start w:val="1"/>
      <w:numFmt w:val="bullet"/>
      <w:lvlText w:val="▪"/>
      <w:lvlJc w:val="left"/>
      <w:pPr>
        <w:ind w:left="214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7EBC75A4">
      <w:start w:val="1"/>
      <w:numFmt w:val="bullet"/>
      <w:lvlText w:val="•"/>
      <w:lvlJc w:val="left"/>
      <w:pPr>
        <w:ind w:left="286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B8CC1A92">
      <w:start w:val="1"/>
      <w:numFmt w:val="bullet"/>
      <w:lvlText w:val="o"/>
      <w:lvlJc w:val="left"/>
      <w:pPr>
        <w:ind w:left="358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AC24837C">
      <w:start w:val="1"/>
      <w:numFmt w:val="bullet"/>
      <w:lvlText w:val="▪"/>
      <w:lvlJc w:val="left"/>
      <w:pPr>
        <w:ind w:left="430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AC5CE2BA">
      <w:start w:val="1"/>
      <w:numFmt w:val="bullet"/>
      <w:lvlText w:val="•"/>
      <w:lvlJc w:val="left"/>
      <w:pPr>
        <w:ind w:left="502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811EDF4A">
      <w:start w:val="1"/>
      <w:numFmt w:val="bullet"/>
      <w:lvlText w:val="o"/>
      <w:lvlJc w:val="left"/>
      <w:pPr>
        <w:ind w:left="574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A628B4B2">
      <w:start w:val="1"/>
      <w:numFmt w:val="bullet"/>
      <w:lvlText w:val="▪"/>
      <w:lvlJc w:val="left"/>
      <w:pPr>
        <w:ind w:left="646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DD751B3"/>
    <w:multiLevelType w:val="hybridMultilevel"/>
    <w:tmpl w:val="57082860"/>
    <w:lvl w:ilvl="0" w:tplc="3D26599E">
      <w:start w:val="1"/>
      <w:numFmt w:val="decimal"/>
      <w:lvlText w:val="%1."/>
      <w:lvlJc w:val="left"/>
      <w:pPr>
        <w:ind w:left="720" w:hanging="360"/>
      </w:pPr>
      <w:rPr>
        <w:rFonts w:hint="default"/>
      </w:rPr>
    </w:lvl>
    <w:lvl w:ilvl="1" w:tplc="6F0C92A0" w:tentative="1">
      <w:start w:val="1"/>
      <w:numFmt w:val="lowerLetter"/>
      <w:lvlText w:val="%2."/>
      <w:lvlJc w:val="left"/>
      <w:pPr>
        <w:ind w:left="1440" w:hanging="360"/>
      </w:pPr>
    </w:lvl>
    <w:lvl w:ilvl="2" w:tplc="9740DE44" w:tentative="1">
      <w:start w:val="1"/>
      <w:numFmt w:val="lowerRoman"/>
      <w:lvlText w:val="%3."/>
      <w:lvlJc w:val="right"/>
      <w:pPr>
        <w:ind w:left="2160" w:hanging="180"/>
      </w:pPr>
    </w:lvl>
    <w:lvl w:ilvl="3" w:tplc="8772CA5E" w:tentative="1">
      <w:start w:val="1"/>
      <w:numFmt w:val="decimal"/>
      <w:lvlText w:val="%4."/>
      <w:lvlJc w:val="left"/>
      <w:pPr>
        <w:ind w:left="2880" w:hanging="360"/>
      </w:pPr>
    </w:lvl>
    <w:lvl w:ilvl="4" w:tplc="313884C0" w:tentative="1">
      <w:start w:val="1"/>
      <w:numFmt w:val="lowerLetter"/>
      <w:lvlText w:val="%5."/>
      <w:lvlJc w:val="left"/>
      <w:pPr>
        <w:ind w:left="3600" w:hanging="360"/>
      </w:pPr>
    </w:lvl>
    <w:lvl w:ilvl="5" w:tplc="62641F1C" w:tentative="1">
      <w:start w:val="1"/>
      <w:numFmt w:val="lowerRoman"/>
      <w:lvlText w:val="%6."/>
      <w:lvlJc w:val="right"/>
      <w:pPr>
        <w:ind w:left="4320" w:hanging="180"/>
      </w:pPr>
    </w:lvl>
    <w:lvl w:ilvl="6" w:tplc="E9748A62" w:tentative="1">
      <w:start w:val="1"/>
      <w:numFmt w:val="decimal"/>
      <w:lvlText w:val="%7."/>
      <w:lvlJc w:val="left"/>
      <w:pPr>
        <w:ind w:left="5040" w:hanging="360"/>
      </w:pPr>
    </w:lvl>
    <w:lvl w:ilvl="7" w:tplc="6BE0D6F4" w:tentative="1">
      <w:start w:val="1"/>
      <w:numFmt w:val="lowerLetter"/>
      <w:lvlText w:val="%8."/>
      <w:lvlJc w:val="left"/>
      <w:pPr>
        <w:ind w:left="5760" w:hanging="360"/>
      </w:pPr>
    </w:lvl>
    <w:lvl w:ilvl="8" w:tplc="D61681D6" w:tentative="1">
      <w:start w:val="1"/>
      <w:numFmt w:val="lowerRoman"/>
      <w:lvlText w:val="%9."/>
      <w:lvlJc w:val="right"/>
      <w:pPr>
        <w:ind w:left="6480" w:hanging="180"/>
      </w:pPr>
    </w:lvl>
  </w:abstractNum>
  <w:abstractNum w:abstractNumId="33" w15:restartNumberingAfterBreak="0">
    <w:nsid w:val="5F773261"/>
    <w:multiLevelType w:val="hybridMultilevel"/>
    <w:tmpl w:val="E76CBDCA"/>
    <w:lvl w:ilvl="0" w:tplc="D982F610">
      <w:start w:val="1"/>
      <w:numFmt w:val="decimal"/>
      <w:lvlText w:val="%1."/>
      <w:lvlJc w:val="left"/>
      <w:pPr>
        <w:ind w:left="1287" w:hanging="360"/>
      </w:pPr>
    </w:lvl>
    <w:lvl w:ilvl="1" w:tplc="6890E40E" w:tentative="1">
      <w:start w:val="1"/>
      <w:numFmt w:val="lowerLetter"/>
      <w:lvlText w:val="%2."/>
      <w:lvlJc w:val="left"/>
      <w:pPr>
        <w:ind w:left="2007" w:hanging="360"/>
      </w:pPr>
    </w:lvl>
    <w:lvl w:ilvl="2" w:tplc="96A23D4A" w:tentative="1">
      <w:start w:val="1"/>
      <w:numFmt w:val="lowerRoman"/>
      <w:lvlText w:val="%3."/>
      <w:lvlJc w:val="right"/>
      <w:pPr>
        <w:ind w:left="2727" w:hanging="180"/>
      </w:pPr>
    </w:lvl>
    <w:lvl w:ilvl="3" w:tplc="D31096BE" w:tentative="1">
      <w:start w:val="1"/>
      <w:numFmt w:val="decimal"/>
      <w:lvlText w:val="%4."/>
      <w:lvlJc w:val="left"/>
      <w:pPr>
        <w:ind w:left="3447" w:hanging="360"/>
      </w:pPr>
    </w:lvl>
    <w:lvl w:ilvl="4" w:tplc="6DDC11F6" w:tentative="1">
      <w:start w:val="1"/>
      <w:numFmt w:val="lowerLetter"/>
      <w:lvlText w:val="%5."/>
      <w:lvlJc w:val="left"/>
      <w:pPr>
        <w:ind w:left="4167" w:hanging="360"/>
      </w:pPr>
    </w:lvl>
    <w:lvl w:ilvl="5" w:tplc="768A1A6A" w:tentative="1">
      <w:start w:val="1"/>
      <w:numFmt w:val="lowerRoman"/>
      <w:lvlText w:val="%6."/>
      <w:lvlJc w:val="right"/>
      <w:pPr>
        <w:ind w:left="4887" w:hanging="180"/>
      </w:pPr>
    </w:lvl>
    <w:lvl w:ilvl="6" w:tplc="9564B802" w:tentative="1">
      <w:start w:val="1"/>
      <w:numFmt w:val="decimal"/>
      <w:lvlText w:val="%7."/>
      <w:lvlJc w:val="left"/>
      <w:pPr>
        <w:ind w:left="5607" w:hanging="360"/>
      </w:pPr>
    </w:lvl>
    <w:lvl w:ilvl="7" w:tplc="C286036A" w:tentative="1">
      <w:start w:val="1"/>
      <w:numFmt w:val="lowerLetter"/>
      <w:lvlText w:val="%8."/>
      <w:lvlJc w:val="left"/>
      <w:pPr>
        <w:ind w:left="6327" w:hanging="360"/>
      </w:pPr>
    </w:lvl>
    <w:lvl w:ilvl="8" w:tplc="64C67830" w:tentative="1">
      <w:start w:val="1"/>
      <w:numFmt w:val="lowerRoman"/>
      <w:lvlText w:val="%9."/>
      <w:lvlJc w:val="right"/>
      <w:pPr>
        <w:ind w:left="7047" w:hanging="180"/>
      </w:pPr>
    </w:lvl>
  </w:abstractNum>
  <w:abstractNum w:abstractNumId="34" w15:restartNumberingAfterBreak="0">
    <w:nsid w:val="601E2CDC"/>
    <w:multiLevelType w:val="hybridMultilevel"/>
    <w:tmpl w:val="C84231E2"/>
    <w:lvl w:ilvl="0" w:tplc="10284B74">
      <w:start w:val="1"/>
      <w:numFmt w:val="decimal"/>
      <w:lvlText w:val="%1)"/>
      <w:lvlJc w:val="left"/>
      <w:pPr>
        <w:ind w:left="2520" w:hanging="360"/>
      </w:pPr>
      <w:rPr>
        <w:rFonts w:hint="default"/>
      </w:rPr>
    </w:lvl>
    <w:lvl w:ilvl="1" w:tplc="0F822A0C">
      <w:start w:val="1"/>
      <w:numFmt w:val="lowerLetter"/>
      <w:lvlText w:val="%2."/>
      <w:lvlJc w:val="left"/>
      <w:pPr>
        <w:ind w:left="3240" w:hanging="360"/>
      </w:pPr>
    </w:lvl>
    <w:lvl w:ilvl="2" w:tplc="86E22716" w:tentative="1">
      <w:start w:val="1"/>
      <w:numFmt w:val="lowerRoman"/>
      <w:lvlText w:val="%3."/>
      <w:lvlJc w:val="right"/>
      <w:pPr>
        <w:ind w:left="3960" w:hanging="180"/>
      </w:pPr>
    </w:lvl>
    <w:lvl w:ilvl="3" w:tplc="E15ABF2C" w:tentative="1">
      <w:start w:val="1"/>
      <w:numFmt w:val="decimal"/>
      <w:lvlText w:val="%4."/>
      <w:lvlJc w:val="left"/>
      <w:pPr>
        <w:ind w:left="4680" w:hanging="360"/>
      </w:pPr>
    </w:lvl>
    <w:lvl w:ilvl="4" w:tplc="88E4FADA" w:tentative="1">
      <w:start w:val="1"/>
      <w:numFmt w:val="lowerLetter"/>
      <w:lvlText w:val="%5."/>
      <w:lvlJc w:val="left"/>
      <w:pPr>
        <w:ind w:left="5400" w:hanging="360"/>
      </w:pPr>
    </w:lvl>
    <w:lvl w:ilvl="5" w:tplc="02328956" w:tentative="1">
      <w:start w:val="1"/>
      <w:numFmt w:val="lowerRoman"/>
      <w:lvlText w:val="%6."/>
      <w:lvlJc w:val="right"/>
      <w:pPr>
        <w:ind w:left="6120" w:hanging="180"/>
      </w:pPr>
    </w:lvl>
    <w:lvl w:ilvl="6" w:tplc="257EBDB0" w:tentative="1">
      <w:start w:val="1"/>
      <w:numFmt w:val="decimal"/>
      <w:lvlText w:val="%7."/>
      <w:lvlJc w:val="left"/>
      <w:pPr>
        <w:ind w:left="6840" w:hanging="360"/>
      </w:pPr>
    </w:lvl>
    <w:lvl w:ilvl="7" w:tplc="C1DA3CF4" w:tentative="1">
      <w:start w:val="1"/>
      <w:numFmt w:val="lowerLetter"/>
      <w:lvlText w:val="%8."/>
      <w:lvlJc w:val="left"/>
      <w:pPr>
        <w:ind w:left="7560" w:hanging="360"/>
      </w:pPr>
    </w:lvl>
    <w:lvl w:ilvl="8" w:tplc="EA045B08" w:tentative="1">
      <w:start w:val="1"/>
      <w:numFmt w:val="lowerRoman"/>
      <w:lvlText w:val="%9."/>
      <w:lvlJc w:val="right"/>
      <w:pPr>
        <w:ind w:left="8280" w:hanging="180"/>
      </w:pPr>
    </w:lvl>
  </w:abstractNum>
  <w:abstractNum w:abstractNumId="35" w15:restartNumberingAfterBreak="0">
    <w:nsid w:val="63015A2E"/>
    <w:multiLevelType w:val="hybridMultilevel"/>
    <w:tmpl w:val="23221B56"/>
    <w:lvl w:ilvl="0" w:tplc="25881C42">
      <w:start w:val="1"/>
      <w:numFmt w:val="decimal"/>
      <w:lvlText w:val="(%1)"/>
      <w:lvlJc w:val="left"/>
      <w:pPr>
        <w:ind w:left="720" w:hanging="360"/>
      </w:pPr>
      <w:rPr>
        <w:rFonts w:hint="default"/>
      </w:rPr>
    </w:lvl>
    <w:lvl w:ilvl="1" w:tplc="5F3E6206" w:tentative="1">
      <w:start w:val="1"/>
      <w:numFmt w:val="lowerLetter"/>
      <w:lvlText w:val="%2."/>
      <w:lvlJc w:val="left"/>
      <w:pPr>
        <w:ind w:left="1440" w:hanging="360"/>
      </w:pPr>
    </w:lvl>
    <w:lvl w:ilvl="2" w:tplc="1110F86A" w:tentative="1">
      <w:start w:val="1"/>
      <w:numFmt w:val="lowerRoman"/>
      <w:lvlText w:val="%3."/>
      <w:lvlJc w:val="right"/>
      <w:pPr>
        <w:ind w:left="2160" w:hanging="180"/>
      </w:pPr>
    </w:lvl>
    <w:lvl w:ilvl="3" w:tplc="98742E3E" w:tentative="1">
      <w:start w:val="1"/>
      <w:numFmt w:val="decimal"/>
      <w:lvlText w:val="%4."/>
      <w:lvlJc w:val="left"/>
      <w:pPr>
        <w:ind w:left="2880" w:hanging="360"/>
      </w:pPr>
    </w:lvl>
    <w:lvl w:ilvl="4" w:tplc="45843D40" w:tentative="1">
      <w:start w:val="1"/>
      <w:numFmt w:val="lowerLetter"/>
      <w:lvlText w:val="%5."/>
      <w:lvlJc w:val="left"/>
      <w:pPr>
        <w:ind w:left="3600" w:hanging="360"/>
      </w:pPr>
    </w:lvl>
    <w:lvl w:ilvl="5" w:tplc="3F5AB546" w:tentative="1">
      <w:start w:val="1"/>
      <w:numFmt w:val="lowerRoman"/>
      <w:lvlText w:val="%6."/>
      <w:lvlJc w:val="right"/>
      <w:pPr>
        <w:ind w:left="4320" w:hanging="180"/>
      </w:pPr>
    </w:lvl>
    <w:lvl w:ilvl="6" w:tplc="C756E7E6" w:tentative="1">
      <w:start w:val="1"/>
      <w:numFmt w:val="decimal"/>
      <w:lvlText w:val="%7."/>
      <w:lvlJc w:val="left"/>
      <w:pPr>
        <w:ind w:left="5040" w:hanging="360"/>
      </w:pPr>
    </w:lvl>
    <w:lvl w:ilvl="7" w:tplc="083427C6" w:tentative="1">
      <w:start w:val="1"/>
      <w:numFmt w:val="lowerLetter"/>
      <w:lvlText w:val="%8."/>
      <w:lvlJc w:val="left"/>
      <w:pPr>
        <w:ind w:left="5760" w:hanging="360"/>
      </w:pPr>
    </w:lvl>
    <w:lvl w:ilvl="8" w:tplc="4B821F0C" w:tentative="1">
      <w:start w:val="1"/>
      <w:numFmt w:val="lowerRoman"/>
      <w:lvlText w:val="%9."/>
      <w:lvlJc w:val="right"/>
      <w:pPr>
        <w:ind w:left="6480" w:hanging="180"/>
      </w:pPr>
    </w:lvl>
  </w:abstractNum>
  <w:abstractNum w:abstractNumId="36" w15:restartNumberingAfterBreak="0">
    <w:nsid w:val="63FA38AF"/>
    <w:multiLevelType w:val="hybridMultilevel"/>
    <w:tmpl w:val="C96A95C2"/>
    <w:lvl w:ilvl="0" w:tplc="5970923C">
      <w:start w:val="1"/>
      <w:numFmt w:val="decimal"/>
      <w:lvlText w:val="%1."/>
      <w:lvlJc w:val="left"/>
      <w:pPr>
        <w:ind w:left="720" w:hanging="360"/>
      </w:pPr>
      <w:rPr>
        <w:rFonts w:hint="default"/>
      </w:rPr>
    </w:lvl>
    <w:lvl w:ilvl="1" w:tplc="7D50D9F8" w:tentative="1">
      <w:start w:val="1"/>
      <w:numFmt w:val="lowerLetter"/>
      <w:lvlText w:val="%2."/>
      <w:lvlJc w:val="left"/>
      <w:pPr>
        <w:ind w:left="1440" w:hanging="360"/>
      </w:pPr>
    </w:lvl>
    <w:lvl w:ilvl="2" w:tplc="A3EE6608" w:tentative="1">
      <w:start w:val="1"/>
      <w:numFmt w:val="lowerRoman"/>
      <w:lvlText w:val="%3."/>
      <w:lvlJc w:val="right"/>
      <w:pPr>
        <w:ind w:left="2160" w:hanging="180"/>
      </w:pPr>
    </w:lvl>
    <w:lvl w:ilvl="3" w:tplc="9AAE8162" w:tentative="1">
      <w:start w:val="1"/>
      <w:numFmt w:val="decimal"/>
      <w:lvlText w:val="%4."/>
      <w:lvlJc w:val="left"/>
      <w:pPr>
        <w:ind w:left="2880" w:hanging="360"/>
      </w:pPr>
    </w:lvl>
    <w:lvl w:ilvl="4" w:tplc="FD88FA48" w:tentative="1">
      <w:start w:val="1"/>
      <w:numFmt w:val="lowerLetter"/>
      <w:lvlText w:val="%5."/>
      <w:lvlJc w:val="left"/>
      <w:pPr>
        <w:ind w:left="3600" w:hanging="360"/>
      </w:pPr>
    </w:lvl>
    <w:lvl w:ilvl="5" w:tplc="459E156A" w:tentative="1">
      <w:start w:val="1"/>
      <w:numFmt w:val="lowerRoman"/>
      <w:lvlText w:val="%6."/>
      <w:lvlJc w:val="right"/>
      <w:pPr>
        <w:ind w:left="4320" w:hanging="180"/>
      </w:pPr>
    </w:lvl>
    <w:lvl w:ilvl="6" w:tplc="F8F67D82" w:tentative="1">
      <w:start w:val="1"/>
      <w:numFmt w:val="decimal"/>
      <w:lvlText w:val="%7."/>
      <w:lvlJc w:val="left"/>
      <w:pPr>
        <w:ind w:left="5040" w:hanging="360"/>
      </w:pPr>
    </w:lvl>
    <w:lvl w:ilvl="7" w:tplc="576AF1E8" w:tentative="1">
      <w:start w:val="1"/>
      <w:numFmt w:val="lowerLetter"/>
      <w:lvlText w:val="%8."/>
      <w:lvlJc w:val="left"/>
      <w:pPr>
        <w:ind w:left="5760" w:hanging="360"/>
      </w:pPr>
    </w:lvl>
    <w:lvl w:ilvl="8" w:tplc="F3163A80" w:tentative="1">
      <w:start w:val="1"/>
      <w:numFmt w:val="lowerRoman"/>
      <w:lvlText w:val="%9."/>
      <w:lvlJc w:val="right"/>
      <w:pPr>
        <w:ind w:left="6480" w:hanging="180"/>
      </w:pPr>
    </w:lvl>
  </w:abstractNum>
  <w:abstractNum w:abstractNumId="37" w15:restartNumberingAfterBreak="0">
    <w:nsid w:val="69E3073B"/>
    <w:multiLevelType w:val="hybridMultilevel"/>
    <w:tmpl w:val="55089048"/>
    <w:lvl w:ilvl="0" w:tplc="7F86B2A0">
      <w:start w:val="1"/>
      <w:numFmt w:val="decimal"/>
      <w:lvlText w:val="%1)"/>
      <w:lvlJc w:val="left"/>
      <w:pPr>
        <w:ind w:left="720" w:hanging="360"/>
      </w:pPr>
      <w:rPr>
        <w:rFonts w:hint="default"/>
      </w:rPr>
    </w:lvl>
    <w:lvl w:ilvl="1" w:tplc="1D22EB8C" w:tentative="1">
      <w:start w:val="1"/>
      <w:numFmt w:val="lowerLetter"/>
      <w:lvlText w:val="%2."/>
      <w:lvlJc w:val="left"/>
      <w:pPr>
        <w:ind w:left="1440" w:hanging="360"/>
      </w:pPr>
    </w:lvl>
    <w:lvl w:ilvl="2" w:tplc="02082F6C" w:tentative="1">
      <w:start w:val="1"/>
      <w:numFmt w:val="lowerRoman"/>
      <w:lvlText w:val="%3."/>
      <w:lvlJc w:val="right"/>
      <w:pPr>
        <w:ind w:left="2160" w:hanging="180"/>
      </w:pPr>
    </w:lvl>
    <w:lvl w:ilvl="3" w:tplc="A48AC5DC" w:tentative="1">
      <w:start w:val="1"/>
      <w:numFmt w:val="decimal"/>
      <w:lvlText w:val="%4."/>
      <w:lvlJc w:val="left"/>
      <w:pPr>
        <w:ind w:left="2880" w:hanging="360"/>
      </w:pPr>
    </w:lvl>
    <w:lvl w:ilvl="4" w:tplc="009E1A00" w:tentative="1">
      <w:start w:val="1"/>
      <w:numFmt w:val="lowerLetter"/>
      <w:lvlText w:val="%5."/>
      <w:lvlJc w:val="left"/>
      <w:pPr>
        <w:ind w:left="3600" w:hanging="360"/>
      </w:pPr>
    </w:lvl>
    <w:lvl w:ilvl="5" w:tplc="E5DCDFEA" w:tentative="1">
      <w:start w:val="1"/>
      <w:numFmt w:val="lowerRoman"/>
      <w:lvlText w:val="%6."/>
      <w:lvlJc w:val="right"/>
      <w:pPr>
        <w:ind w:left="4320" w:hanging="180"/>
      </w:pPr>
    </w:lvl>
    <w:lvl w:ilvl="6" w:tplc="B5A046B6" w:tentative="1">
      <w:start w:val="1"/>
      <w:numFmt w:val="decimal"/>
      <w:lvlText w:val="%7."/>
      <w:lvlJc w:val="left"/>
      <w:pPr>
        <w:ind w:left="5040" w:hanging="360"/>
      </w:pPr>
    </w:lvl>
    <w:lvl w:ilvl="7" w:tplc="00AAD786" w:tentative="1">
      <w:start w:val="1"/>
      <w:numFmt w:val="lowerLetter"/>
      <w:lvlText w:val="%8."/>
      <w:lvlJc w:val="left"/>
      <w:pPr>
        <w:ind w:left="5760" w:hanging="360"/>
      </w:pPr>
    </w:lvl>
    <w:lvl w:ilvl="8" w:tplc="F0B4DAF6" w:tentative="1">
      <w:start w:val="1"/>
      <w:numFmt w:val="lowerRoman"/>
      <w:lvlText w:val="%9."/>
      <w:lvlJc w:val="right"/>
      <w:pPr>
        <w:ind w:left="6480" w:hanging="180"/>
      </w:pPr>
    </w:lvl>
  </w:abstractNum>
  <w:abstractNum w:abstractNumId="38" w15:restartNumberingAfterBreak="0">
    <w:nsid w:val="6AB73CEC"/>
    <w:multiLevelType w:val="hybridMultilevel"/>
    <w:tmpl w:val="E49CE714"/>
    <w:lvl w:ilvl="0" w:tplc="ADFE6C18">
      <w:start w:val="1"/>
      <w:numFmt w:val="decimal"/>
      <w:lvlText w:val="%1."/>
      <w:lvlJc w:val="left"/>
      <w:pPr>
        <w:ind w:left="720" w:hanging="360"/>
      </w:pPr>
    </w:lvl>
    <w:lvl w:ilvl="1" w:tplc="5ACA6A14" w:tentative="1">
      <w:start w:val="1"/>
      <w:numFmt w:val="lowerLetter"/>
      <w:lvlText w:val="%2."/>
      <w:lvlJc w:val="left"/>
      <w:pPr>
        <w:ind w:left="1440" w:hanging="360"/>
      </w:pPr>
    </w:lvl>
    <w:lvl w:ilvl="2" w:tplc="F78C537A" w:tentative="1">
      <w:start w:val="1"/>
      <w:numFmt w:val="lowerRoman"/>
      <w:lvlText w:val="%3."/>
      <w:lvlJc w:val="right"/>
      <w:pPr>
        <w:ind w:left="2160" w:hanging="180"/>
      </w:pPr>
    </w:lvl>
    <w:lvl w:ilvl="3" w:tplc="E736A796" w:tentative="1">
      <w:start w:val="1"/>
      <w:numFmt w:val="decimal"/>
      <w:lvlText w:val="%4."/>
      <w:lvlJc w:val="left"/>
      <w:pPr>
        <w:ind w:left="2880" w:hanging="360"/>
      </w:pPr>
    </w:lvl>
    <w:lvl w:ilvl="4" w:tplc="96109294" w:tentative="1">
      <w:start w:val="1"/>
      <w:numFmt w:val="lowerLetter"/>
      <w:lvlText w:val="%5."/>
      <w:lvlJc w:val="left"/>
      <w:pPr>
        <w:ind w:left="3600" w:hanging="360"/>
      </w:pPr>
    </w:lvl>
    <w:lvl w:ilvl="5" w:tplc="E4BA61D4" w:tentative="1">
      <w:start w:val="1"/>
      <w:numFmt w:val="lowerRoman"/>
      <w:lvlText w:val="%6."/>
      <w:lvlJc w:val="right"/>
      <w:pPr>
        <w:ind w:left="4320" w:hanging="180"/>
      </w:pPr>
    </w:lvl>
    <w:lvl w:ilvl="6" w:tplc="A0FEA554" w:tentative="1">
      <w:start w:val="1"/>
      <w:numFmt w:val="decimal"/>
      <w:lvlText w:val="%7."/>
      <w:lvlJc w:val="left"/>
      <w:pPr>
        <w:ind w:left="5040" w:hanging="360"/>
      </w:pPr>
    </w:lvl>
    <w:lvl w:ilvl="7" w:tplc="05640780" w:tentative="1">
      <w:start w:val="1"/>
      <w:numFmt w:val="lowerLetter"/>
      <w:lvlText w:val="%8."/>
      <w:lvlJc w:val="left"/>
      <w:pPr>
        <w:ind w:left="5760" w:hanging="360"/>
      </w:pPr>
    </w:lvl>
    <w:lvl w:ilvl="8" w:tplc="F39C3650" w:tentative="1">
      <w:start w:val="1"/>
      <w:numFmt w:val="lowerRoman"/>
      <w:lvlText w:val="%9."/>
      <w:lvlJc w:val="right"/>
      <w:pPr>
        <w:ind w:left="6480" w:hanging="180"/>
      </w:pPr>
    </w:lvl>
  </w:abstractNum>
  <w:abstractNum w:abstractNumId="39"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27810151">
    <w:abstractNumId w:val="31"/>
  </w:num>
  <w:num w:numId="2" w16cid:durableId="882642819">
    <w:abstractNumId w:val="21"/>
  </w:num>
  <w:num w:numId="3" w16cid:durableId="297493195">
    <w:abstractNumId w:val="37"/>
  </w:num>
  <w:num w:numId="4" w16cid:durableId="1161968836">
    <w:abstractNumId w:val="34"/>
  </w:num>
  <w:num w:numId="5" w16cid:durableId="1680505006">
    <w:abstractNumId w:val="17"/>
  </w:num>
  <w:num w:numId="6" w16cid:durableId="3410417">
    <w:abstractNumId w:val="25"/>
  </w:num>
  <w:num w:numId="7" w16cid:durableId="724911285">
    <w:abstractNumId w:val="18"/>
  </w:num>
  <w:num w:numId="8" w16cid:durableId="1526597307">
    <w:abstractNumId w:val="28"/>
  </w:num>
  <w:num w:numId="9" w16cid:durableId="1578249962">
    <w:abstractNumId w:val="1"/>
  </w:num>
  <w:num w:numId="10" w16cid:durableId="553732776">
    <w:abstractNumId w:val="2"/>
  </w:num>
  <w:num w:numId="11" w16cid:durableId="876625726">
    <w:abstractNumId w:val="3"/>
  </w:num>
  <w:num w:numId="12" w16cid:durableId="1968661263">
    <w:abstractNumId w:val="4"/>
  </w:num>
  <w:num w:numId="13" w16cid:durableId="567617986">
    <w:abstractNumId w:val="9"/>
  </w:num>
  <w:num w:numId="14" w16cid:durableId="1315798080">
    <w:abstractNumId w:val="5"/>
  </w:num>
  <w:num w:numId="15" w16cid:durableId="1014192251">
    <w:abstractNumId w:val="7"/>
  </w:num>
  <w:num w:numId="16" w16cid:durableId="708605858">
    <w:abstractNumId w:val="6"/>
  </w:num>
  <w:num w:numId="17" w16cid:durableId="331644466">
    <w:abstractNumId w:val="10"/>
  </w:num>
  <w:num w:numId="18" w16cid:durableId="484592381">
    <w:abstractNumId w:val="8"/>
  </w:num>
  <w:num w:numId="19" w16cid:durableId="257912614">
    <w:abstractNumId w:val="22"/>
  </w:num>
  <w:num w:numId="20" w16cid:durableId="186602452">
    <w:abstractNumId w:val="30"/>
  </w:num>
  <w:num w:numId="21" w16cid:durableId="1910070761">
    <w:abstractNumId w:val="16"/>
  </w:num>
  <w:num w:numId="22" w16cid:durableId="658267198">
    <w:abstractNumId w:val="20"/>
  </w:num>
  <w:num w:numId="23" w16cid:durableId="857505322">
    <w:abstractNumId w:val="12"/>
  </w:num>
  <w:num w:numId="24" w16cid:durableId="1016463847">
    <w:abstractNumId w:val="0"/>
  </w:num>
  <w:num w:numId="25" w16cid:durableId="2002468324">
    <w:abstractNumId w:val="14"/>
  </w:num>
  <w:num w:numId="26" w16cid:durableId="1947927896">
    <w:abstractNumId w:val="23"/>
  </w:num>
  <w:num w:numId="27" w16cid:durableId="1340547688">
    <w:abstractNumId w:val="32"/>
  </w:num>
  <w:num w:numId="28" w16cid:durableId="74015923">
    <w:abstractNumId w:val="36"/>
  </w:num>
  <w:num w:numId="29" w16cid:durableId="43331647">
    <w:abstractNumId w:val="15"/>
  </w:num>
  <w:num w:numId="30" w16cid:durableId="8602042">
    <w:abstractNumId w:val="39"/>
  </w:num>
  <w:num w:numId="31" w16cid:durableId="1540773899">
    <w:abstractNumId w:val="33"/>
  </w:num>
  <w:num w:numId="32" w16cid:durableId="1650935738">
    <w:abstractNumId w:val="13"/>
  </w:num>
  <w:num w:numId="33" w16cid:durableId="1697347692">
    <w:abstractNumId w:val="11"/>
  </w:num>
  <w:num w:numId="34" w16cid:durableId="294604700">
    <w:abstractNumId w:val="19"/>
  </w:num>
  <w:num w:numId="35" w16cid:durableId="1389110509">
    <w:abstractNumId w:val="35"/>
  </w:num>
  <w:num w:numId="36" w16cid:durableId="1733770353">
    <w:abstractNumId w:val="24"/>
  </w:num>
  <w:num w:numId="37" w16cid:durableId="1063716826">
    <w:abstractNumId w:val="38"/>
  </w:num>
  <w:num w:numId="38" w16cid:durableId="1109809990">
    <w:abstractNumId w:val="27"/>
  </w:num>
  <w:num w:numId="39" w16cid:durableId="586379117">
    <w:abstractNumId w:val="29"/>
  </w:num>
  <w:num w:numId="40" w16cid:durableId="35928246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714"/>
    <w:rsid w:val="00000C69"/>
    <w:rsid w:val="000033FC"/>
    <w:rsid w:val="00012470"/>
    <w:rsid w:val="00014686"/>
    <w:rsid w:val="000163B9"/>
    <w:rsid w:val="00020B0D"/>
    <w:rsid w:val="00035065"/>
    <w:rsid w:val="00037578"/>
    <w:rsid w:val="00041466"/>
    <w:rsid w:val="000423EA"/>
    <w:rsid w:val="000462F0"/>
    <w:rsid w:val="00050CB2"/>
    <w:rsid w:val="00056903"/>
    <w:rsid w:val="00061C1C"/>
    <w:rsid w:val="00063786"/>
    <w:rsid w:val="00064E77"/>
    <w:rsid w:val="0006556A"/>
    <w:rsid w:val="00070F17"/>
    <w:rsid w:val="00077AE5"/>
    <w:rsid w:val="00081233"/>
    <w:rsid w:val="0008587D"/>
    <w:rsid w:val="00087B3D"/>
    <w:rsid w:val="000902E5"/>
    <w:rsid w:val="00090959"/>
    <w:rsid w:val="00091A24"/>
    <w:rsid w:val="000A1AE2"/>
    <w:rsid w:val="000B02B9"/>
    <w:rsid w:val="000B04F4"/>
    <w:rsid w:val="000B3414"/>
    <w:rsid w:val="000B3909"/>
    <w:rsid w:val="000D1E51"/>
    <w:rsid w:val="000D576F"/>
    <w:rsid w:val="000D76E9"/>
    <w:rsid w:val="000D7D79"/>
    <w:rsid w:val="000E3D56"/>
    <w:rsid w:val="000E4A64"/>
    <w:rsid w:val="000E64D0"/>
    <w:rsid w:val="000F1083"/>
    <w:rsid w:val="00106FF3"/>
    <w:rsid w:val="00120D95"/>
    <w:rsid w:val="00122F1F"/>
    <w:rsid w:val="001245EA"/>
    <w:rsid w:val="0013077B"/>
    <w:rsid w:val="00134307"/>
    <w:rsid w:val="00134824"/>
    <w:rsid w:val="0014086C"/>
    <w:rsid w:val="00157122"/>
    <w:rsid w:val="00163C99"/>
    <w:rsid w:val="001722EF"/>
    <w:rsid w:val="001763D8"/>
    <w:rsid w:val="00177A25"/>
    <w:rsid w:val="00180B7C"/>
    <w:rsid w:val="00186DB8"/>
    <w:rsid w:val="001A5649"/>
    <w:rsid w:val="001B0535"/>
    <w:rsid w:val="001B4559"/>
    <w:rsid w:val="001B4D2A"/>
    <w:rsid w:val="001B5436"/>
    <w:rsid w:val="001E34B3"/>
    <w:rsid w:val="001F00A6"/>
    <w:rsid w:val="001F13C0"/>
    <w:rsid w:val="001F7023"/>
    <w:rsid w:val="00205F23"/>
    <w:rsid w:val="00207CAB"/>
    <w:rsid w:val="00212567"/>
    <w:rsid w:val="00221EE5"/>
    <w:rsid w:val="00224835"/>
    <w:rsid w:val="00225A76"/>
    <w:rsid w:val="00225E35"/>
    <w:rsid w:val="002306F6"/>
    <w:rsid w:val="00230BAE"/>
    <w:rsid w:val="0023191D"/>
    <w:rsid w:val="00241015"/>
    <w:rsid w:val="00247099"/>
    <w:rsid w:val="00251960"/>
    <w:rsid w:val="00255BC1"/>
    <w:rsid w:val="00256798"/>
    <w:rsid w:val="00260B19"/>
    <w:rsid w:val="00261003"/>
    <w:rsid w:val="00271714"/>
    <w:rsid w:val="00272282"/>
    <w:rsid w:val="002733EF"/>
    <w:rsid w:val="002748F4"/>
    <w:rsid w:val="00277D3B"/>
    <w:rsid w:val="00295AA7"/>
    <w:rsid w:val="002A15BE"/>
    <w:rsid w:val="002B27BF"/>
    <w:rsid w:val="002B49A3"/>
    <w:rsid w:val="002C44EB"/>
    <w:rsid w:val="002D036E"/>
    <w:rsid w:val="002D5CE2"/>
    <w:rsid w:val="002E4B01"/>
    <w:rsid w:val="002E7C29"/>
    <w:rsid w:val="00306C91"/>
    <w:rsid w:val="0030793F"/>
    <w:rsid w:val="00312241"/>
    <w:rsid w:val="0031530D"/>
    <w:rsid w:val="003255EB"/>
    <w:rsid w:val="0033338F"/>
    <w:rsid w:val="00334458"/>
    <w:rsid w:val="0034019B"/>
    <w:rsid w:val="0034364D"/>
    <w:rsid w:val="00344F21"/>
    <w:rsid w:val="003723C6"/>
    <w:rsid w:val="003733EC"/>
    <w:rsid w:val="0037779C"/>
    <w:rsid w:val="003834DA"/>
    <w:rsid w:val="00392BB6"/>
    <w:rsid w:val="00394A47"/>
    <w:rsid w:val="003A3631"/>
    <w:rsid w:val="003D0EF5"/>
    <w:rsid w:val="003D53BC"/>
    <w:rsid w:val="003D7EFF"/>
    <w:rsid w:val="004007E0"/>
    <w:rsid w:val="00410144"/>
    <w:rsid w:val="0041049D"/>
    <w:rsid w:val="00421C3D"/>
    <w:rsid w:val="00426E25"/>
    <w:rsid w:val="00435DC9"/>
    <w:rsid w:val="004365B4"/>
    <w:rsid w:val="00437AF3"/>
    <w:rsid w:val="00455419"/>
    <w:rsid w:val="00461ED9"/>
    <w:rsid w:val="00476EB0"/>
    <w:rsid w:val="00482F7C"/>
    <w:rsid w:val="004834C0"/>
    <w:rsid w:val="0049092E"/>
    <w:rsid w:val="00495CBB"/>
    <w:rsid w:val="004A586E"/>
    <w:rsid w:val="004A7203"/>
    <w:rsid w:val="004B1479"/>
    <w:rsid w:val="004B29AB"/>
    <w:rsid w:val="004B4DC2"/>
    <w:rsid w:val="004B70C2"/>
    <w:rsid w:val="004C1DF8"/>
    <w:rsid w:val="004C7798"/>
    <w:rsid w:val="004D350C"/>
    <w:rsid w:val="004D7DDF"/>
    <w:rsid w:val="004E3245"/>
    <w:rsid w:val="004E68E9"/>
    <w:rsid w:val="004F006E"/>
    <w:rsid w:val="004F1076"/>
    <w:rsid w:val="00503346"/>
    <w:rsid w:val="00506BC6"/>
    <w:rsid w:val="00506BD3"/>
    <w:rsid w:val="005076C7"/>
    <w:rsid w:val="00517743"/>
    <w:rsid w:val="005214BB"/>
    <w:rsid w:val="00540715"/>
    <w:rsid w:val="005431F0"/>
    <w:rsid w:val="00543897"/>
    <w:rsid w:val="00562840"/>
    <w:rsid w:val="00572C3B"/>
    <w:rsid w:val="00573A8C"/>
    <w:rsid w:val="005850E9"/>
    <w:rsid w:val="0059009E"/>
    <w:rsid w:val="00591D88"/>
    <w:rsid w:val="005A7B14"/>
    <w:rsid w:val="005B3B4E"/>
    <w:rsid w:val="005F039A"/>
    <w:rsid w:val="005F28D2"/>
    <w:rsid w:val="00601616"/>
    <w:rsid w:val="00611BAC"/>
    <w:rsid w:val="006140C5"/>
    <w:rsid w:val="00620226"/>
    <w:rsid w:val="00623066"/>
    <w:rsid w:val="00624DF6"/>
    <w:rsid w:val="006268FC"/>
    <w:rsid w:val="006324A8"/>
    <w:rsid w:val="00647B2A"/>
    <w:rsid w:val="00650163"/>
    <w:rsid w:val="00654221"/>
    <w:rsid w:val="00656319"/>
    <w:rsid w:val="00656DDE"/>
    <w:rsid w:val="006600D4"/>
    <w:rsid w:val="006639BC"/>
    <w:rsid w:val="00670D32"/>
    <w:rsid w:val="00681FE2"/>
    <w:rsid w:val="00686697"/>
    <w:rsid w:val="00687DC6"/>
    <w:rsid w:val="0069370D"/>
    <w:rsid w:val="0069682C"/>
    <w:rsid w:val="006A052D"/>
    <w:rsid w:val="006A4721"/>
    <w:rsid w:val="006A4B66"/>
    <w:rsid w:val="006E2551"/>
    <w:rsid w:val="006E3087"/>
    <w:rsid w:val="006E4C51"/>
    <w:rsid w:val="006F0090"/>
    <w:rsid w:val="006F2A44"/>
    <w:rsid w:val="006F2BC0"/>
    <w:rsid w:val="00705E48"/>
    <w:rsid w:val="007105C1"/>
    <w:rsid w:val="00710F4E"/>
    <w:rsid w:val="00712B16"/>
    <w:rsid w:val="00712CC8"/>
    <w:rsid w:val="00722B8B"/>
    <w:rsid w:val="00727272"/>
    <w:rsid w:val="00730C0A"/>
    <w:rsid w:val="0074018C"/>
    <w:rsid w:val="00743D8F"/>
    <w:rsid w:val="007472E2"/>
    <w:rsid w:val="007474E2"/>
    <w:rsid w:val="00753674"/>
    <w:rsid w:val="00753F44"/>
    <w:rsid w:val="0079066F"/>
    <w:rsid w:val="00793153"/>
    <w:rsid w:val="007932A0"/>
    <w:rsid w:val="007A4BA3"/>
    <w:rsid w:val="007A4D06"/>
    <w:rsid w:val="007A4D13"/>
    <w:rsid w:val="007A7A98"/>
    <w:rsid w:val="007B01AA"/>
    <w:rsid w:val="007B46F4"/>
    <w:rsid w:val="007B539C"/>
    <w:rsid w:val="007B5944"/>
    <w:rsid w:val="007E24E7"/>
    <w:rsid w:val="007E4695"/>
    <w:rsid w:val="007F1A65"/>
    <w:rsid w:val="008000C6"/>
    <w:rsid w:val="008055EC"/>
    <w:rsid w:val="00806341"/>
    <w:rsid w:val="00810231"/>
    <w:rsid w:val="008144FD"/>
    <w:rsid w:val="00814B63"/>
    <w:rsid w:val="00817AB6"/>
    <w:rsid w:val="00824ACB"/>
    <w:rsid w:val="008309F1"/>
    <w:rsid w:val="00831A9C"/>
    <w:rsid w:val="00835A42"/>
    <w:rsid w:val="0083657B"/>
    <w:rsid w:val="00841E03"/>
    <w:rsid w:val="008439D8"/>
    <w:rsid w:val="00847636"/>
    <w:rsid w:val="008526B8"/>
    <w:rsid w:val="00855719"/>
    <w:rsid w:val="008568EF"/>
    <w:rsid w:val="008705AE"/>
    <w:rsid w:val="00874541"/>
    <w:rsid w:val="00876BDA"/>
    <w:rsid w:val="008927DA"/>
    <w:rsid w:val="008A273F"/>
    <w:rsid w:val="008A72B2"/>
    <w:rsid w:val="008A74DD"/>
    <w:rsid w:val="008B5E93"/>
    <w:rsid w:val="008C35EB"/>
    <w:rsid w:val="008C4436"/>
    <w:rsid w:val="008D0880"/>
    <w:rsid w:val="008D151C"/>
    <w:rsid w:val="008D46B6"/>
    <w:rsid w:val="008E29D5"/>
    <w:rsid w:val="008E4D31"/>
    <w:rsid w:val="00904C2A"/>
    <w:rsid w:val="009074AA"/>
    <w:rsid w:val="00936100"/>
    <w:rsid w:val="009369E4"/>
    <w:rsid w:val="0093726C"/>
    <w:rsid w:val="00944DAB"/>
    <w:rsid w:val="00964782"/>
    <w:rsid w:val="00966D92"/>
    <w:rsid w:val="009835B0"/>
    <w:rsid w:val="009A2786"/>
    <w:rsid w:val="009A51EE"/>
    <w:rsid w:val="009B09F9"/>
    <w:rsid w:val="009B6262"/>
    <w:rsid w:val="009C4B91"/>
    <w:rsid w:val="009C61C1"/>
    <w:rsid w:val="009C674A"/>
    <w:rsid w:val="009C775D"/>
    <w:rsid w:val="009D0037"/>
    <w:rsid w:val="009D46F5"/>
    <w:rsid w:val="009E46B5"/>
    <w:rsid w:val="00A2418B"/>
    <w:rsid w:val="00A40D49"/>
    <w:rsid w:val="00A446B3"/>
    <w:rsid w:val="00A548E6"/>
    <w:rsid w:val="00A62633"/>
    <w:rsid w:val="00A83827"/>
    <w:rsid w:val="00A84C57"/>
    <w:rsid w:val="00A85259"/>
    <w:rsid w:val="00A9074B"/>
    <w:rsid w:val="00A90869"/>
    <w:rsid w:val="00A92218"/>
    <w:rsid w:val="00A95CF3"/>
    <w:rsid w:val="00AA4B5E"/>
    <w:rsid w:val="00AB0F8E"/>
    <w:rsid w:val="00AB574C"/>
    <w:rsid w:val="00AB7BFD"/>
    <w:rsid w:val="00AC380F"/>
    <w:rsid w:val="00AC7705"/>
    <w:rsid w:val="00AD569D"/>
    <w:rsid w:val="00AD6145"/>
    <w:rsid w:val="00AD7086"/>
    <w:rsid w:val="00AD7EAB"/>
    <w:rsid w:val="00AE7932"/>
    <w:rsid w:val="00B1023A"/>
    <w:rsid w:val="00B1201E"/>
    <w:rsid w:val="00B13EAD"/>
    <w:rsid w:val="00B150D3"/>
    <w:rsid w:val="00B26A82"/>
    <w:rsid w:val="00B35B0B"/>
    <w:rsid w:val="00B37CD9"/>
    <w:rsid w:val="00B44B01"/>
    <w:rsid w:val="00B467FA"/>
    <w:rsid w:val="00B46A2B"/>
    <w:rsid w:val="00B5557C"/>
    <w:rsid w:val="00B6012E"/>
    <w:rsid w:val="00B61696"/>
    <w:rsid w:val="00B72489"/>
    <w:rsid w:val="00B73DEF"/>
    <w:rsid w:val="00B75560"/>
    <w:rsid w:val="00B7729C"/>
    <w:rsid w:val="00B83CE8"/>
    <w:rsid w:val="00B95ADD"/>
    <w:rsid w:val="00B9664D"/>
    <w:rsid w:val="00BA7637"/>
    <w:rsid w:val="00BB711A"/>
    <w:rsid w:val="00BC5432"/>
    <w:rsid w:val="00BC7DE4"/>
    <w:rsid w:val="00BD64B3"/>
    <w:rsid w:val="00BE408E"/>
    <w:rsid w:val="00BF0ABF"/>
    <w:rsid w:val="00C248B6"/>
    <w:rsid w:val="00C34171"/>
    <w:rsid w:val="00C3532A"/>
    <w:rsid w:val="00C35B1D"/>
    <w:rsid w:val="00C37098"/>
    <w:rsid w:val="00C43188"/>
    <w:rsid w:val="00C55996"/>
    <w:rsid w:val="00C611C3"/>
    <w:rsid w:val="00C66095"/>
    <w:rsid w:val="00C70A7D"/>
    <w:rsid w:val="00C73262"/>
    <w:rsid w:val="00C844EF"/>
    <w:rsid w:val="00C8739B"/>
    <w:rsid w:val="00C95389"/>
    <w:rsid w:val="00CA04EA"/>
    <w:rsid w:val="00CA2ABA"/>
    <w:rsid w:val="00CA51DB"/>
    <w:rsid w:val="00CC37F7"/>
    <w:rsid w:val="00CC3E66"/>
    <w:rsid w:val="00CC49F0"/>
    <w:rsid w:val="00CD2EEA"/>
    <w:rsid w:val="00CD3B43"/>
    <w:rsid w:val="00CE1E86"/>
    <w:rsid w:val="00CF314F"/>
    <w:rsid w:val="00CF4085"/>
    <w:rsid w:val="00CF60F0"/>
    <w:rsid w:val="00CF6849"/>
    <w:rsid w:val="00D00E5D"/>
    <w:rsid w:val="00D01654"/>
    <w:rsid w:val="00D03B1D"/>
    <w:rsid w:val="00D04415"/>
    <w:rsid w:val="00D05DAB"/>
    <w:rsid w:val="00D0782B"/>
    <w:rsid w:val="00D1355B"/>
    <w:rsid w:val="00D21859"/>
    <w:rsid w:val="00D21C1A"/>
    <w:rsid w:val="00D30ECF"/>
    <w:rsid w:val="00D40397"/>
    <w:rsid w:val="00D4269A"/>
    <w:rsid w:val="00D51172"/>
    <w:rsid w:val="00D51AA3"/>
    <w:rsid w:val="00D5255C"/>
    <w:rsid w:val="00D526B4"/>
    <w:rsid w:val="00D53379"/>
    <w:rsid w:val="00D56983"/>
    <w:rsid w:val="00D62A9B"/>
    <w:rsid w:val="00D63B91"/>
    <w:rsid w:val="00D66D40"/>
    <w:rsid w:val="00D73B42"/>
    <w:rsid w:val="00D90B53"/>
    <w:rsid w:val="00D95AA2"/>
    <w:rsid w:val="00DA1076"/>
    <w:rsid w:val="00DA22DC"/>
    <w:rsid w:val="00DA7C53"/>
    <w:rsid w:val="00DB2031"/>
    <w:rsid w:val="00DB51D3"/>
    <w:rsid w:val="00DB64D5"/>
    <w:rsid w:val="00DB67D2"/>
    <w:rsid w:val="00DB7AF1"/>
    <w:rsid w:val="00DD101D"/>
    <w:rsid w:val="00DD6EDC"/>
    <w:rsid w:val="00DE3A6C"/>
    <w:rsid w:val="00DE7291"/>
    <w:rsid w:val="00DF0701"/>
    <w:rsid w:val="00DF7D1C"/>
    <w:rsid w:val="00E21672"/>
    <w:rsid w:val="00E3116C"/>
    <w:rsid w:val="00E31481"/>
    <w:rsid w:val="00E347A0"/>
    <w:rsid w:val="00E41C8D"/>
    <w:rsid w:val="00E42878"/>
    <w:rsid w:val="00E52FC8"/>
    <w:rsid w:val="00E56E6F"/>
    <w:rsid w:val="00E73E69"/>
    <w:rsid w:val="00E81EA6"/>
    <w:rsid w:val="00E82205"/>
    <w:rsid w:val="00E82FC2"/>
    <w:rsid w:val="00E867CC"/>
    <w:rsid w:val="00E93011"/>
    <w:rsid w:val="00EA4F8D"/>
    <w:rsid w:val="00EA6D66"/>
    <w:rsid w:val="00EB1A76"/>
    <w:rsid w:val="00EB4F8E"/>
    <w:rsid w:val="00EB7A04"/>
    <w:rsid w:val="00ED33C0"/>
    <w:rsid w:val="00ED6624"/>
    <w:rsid w:val="00EE2870"/>
    <w:rsid w:val="00EE67B8"/>
    <w:rsid w:val="00F041EB"/>
    <w:rsid w:val="00F2031B"/>
    <w:rsid w:val="00F36086"/>
    <w:rsid w:val="00F45C83"/>
    <w:rsid w:val="00F46BD4"/>
    <w:rsid w:val="00F46FD9"/>
    <w:rsid w:val="00F55CC9"/>
    <w:rsid w:val="00F5726D"/>
    <w:rsid w:val="00F626E9"/>
    <w:rsid w:val="00F664B5"/>
    <w:rsid w:val="00F708F5"/>
    <w:rsid w:val="00F7182A"/>
    <w:rsid w:val="00F736C0"/>
    <w:rsid w:val="00F76B76"/>
    <w:rsid w:val="00F85570"/>
    <w:rsid w:val="00F92455"/>
    <w:rsid w:val="00FA2600"/>
    <w:rsid w:val="00FA307E"/>
    <w:rsid w:val="00FA5087"/>
    <w:rsid w:val="00FC1B3A"/>
    <w:rsid w:val="00FD4C37"/>
    <w:rsid w:val="00FE2987"/>
    <w:rsid w:val="00FE3557"/>
    <w:rsid w:val="00FE45E7"/>
    <w:rsid w:val="00FF01A0"/>
    <w:rsid w:val="00FF065C"/>
    <w:rsid w:val="00FF27D9"/>
    <w:rsid w:val="00FF32FD"/>
    <w:rsid w:val="00FF4D53"/>
    <w:rsid w:val="00FF6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435FD"/>
  <w15:docId w15:val="{49A23BCC-C096-4416-9365-6D208C9B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473" w:lineRule="auto"/>
      <w:ind w:left="10" w:hanging="10"/>
      <w:jc w:val="both"/>
    </w:pPr>
    <w:rPr>
      <w:rFonts w:ascii="Cambria" w:eastAsia="Cambria" w:hAnsi="Cambria" w:cs="Cambria"/>
      <w:color w:val="000000"/>
      <w:sz w:val="24"/>
    </w:rPr>
  </w:style>
  <w:style w:type="paragraph" w:styleId="Heading1">
    <w:name w:val="heading 1"/>
    <w:next w:val="Normal"/>
    <w:link w:val="Heading1Char"/>
    <w:qFormat/>
    <w:pPr>
      <w:keepNext/>
      <w:keepLines/>
      <w:spacing w:after="338" w:line="265" w:lineRule="auto"/>
      <w:ind w:left="10" w:hanging="10"/>
      <w:outlineLvl w:val="0"/>
    </w:pPr>
    <w:rPr>
      <w:rFonts w:ascii="Cambria" w:eastAsia="Cambria" w:hAnsi="Cambria" w:cs="Cambria"/>
      <w:b/>
      <w:color w:val="000000"/>
      <w:sz w:val="34"/>
    </w:rPr>
  </w:style>
  <w:style w:type="paragraph" w:styleId="Heading2">
    <w:name w:val="heading 2"/>
    <w:basedOn w:val="Normal"/>
    <w:next w:val="Paragraph"/>
    <w:link w:val="Heading2Char"/>
    <w:qFormat/>
    <w:rsid w:val="007A4D06"/>
    <w:pPr>
      <w:keepNext/>
      <w:spacing w:before="360" w:after="60" w:line="360" w:lineRule="auto"/>
      <w:ind w:left="0" w:right="567" w:firstLine="0"/>
      <w:contextualSpacing/>
      <w:jc w:val="left"/>
      <w:outlineLvl w:val="1"/>
    </w:pPr>
    <w:rPr>
      <w:rFonts w:ascii="Times New Roman" w:eastAsia="Times New Roman" w:hAnsi="Times New Roman" w:cs="Arial"/>
      <w:b/>
      <w:bCs/>
      <w:i/>
      <w:iCs/>
      <w:color w:val="auto"/>
      <w:kern w:val="0"/>
      <w:szCs w:val="28"/>
      <w:lang w:val="en-GB" w:eastAsia="en-GB"/>
      <w14:ligatures w14:val="none"/>
    </w:rPr>
  </w:style>
  <w:style w:type="paragraph" w:styleId="Heading3">
    <w:name w:val="heading 3"/>
    <w:basedOn w:val="Normal"/>
    <w:next w:val="Paragraph"/>
    <w:link w:val="Heading3Char"/>
    <w:qFormat/>
    <w:rsid w:val="007A4D06"/>
    <w:pPr>
      <w:keepNext/>
      <w:spacing w:before="360" w:after="60" w:line="360" w:lineRule="auto"/>
      <w:ind w:left="0" w:right="567" w:firstLine="0"/>
      <w:contextualSpacing/>
      <w:jc w:val="left"/>
      <w:outlineLvl w:val="2"/>
    </w:pPr>
    <w:rPr>
      <w:rFonts w:ascii="Times New Roman" w:eastAsia="Times New Roman" w:hAnsi="Times New Roman" w:cs="Arial"/>
      <w:bCs/>
      <w:i/>
      <w:color w:val="auto"/>
      <w:kern w:val="0"/>
      <w:szCs w:val="26"/>
      <w:lang w:val="en-GB" w:eastAsia="en-GB"/>
      <w14:ligatures w14:val="none"/>
    </w:rPr>
  </w:style>
  <w:style w:type="paragraph" w:styleId="Heading4">
    <w:name w:val="heading 4"/>
    <w:basedOn w:val="Paragraph"/>
    <w:next w:val="Newparagraph"/>
    <w:link w:val="Heading4Char"/>
    <w:rsid w:val="007A4D06"/>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Cambria" w:hAnsi="Cambria" w:cs="Cambria"/>
      <w:b/>
      <w:color w:val="000000"/>
      <w:sz w:val="3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Articletitle">
    <w:name w:val="Article title"/>
    <w:basedOn w:val="Normal"/>
    <w:next w:val="Normal"/>
    <w:qFormat/>
    <w:rsid w:val="00E31481"/>
    <w:pPr>
      <w:spacing w:after="120" w:line="360" w:lineRule="auto"/>
      <w:ind w:left="0" w:firstLine="0"/>
      <w:jc w:val="left"/>
    </w:pPr>
    <w:rPr>
      <w:rFonts w:ascii="Times New Roman" w:eastAsia="Times New Roman" w:hAnsi="Times New Roman" w:cs="Times New Roman"/>
      <w:b/>
      <w:color w:val="auto"/>
      <w:kern w:val="0"/>
      <w:sz w:val="28"/>
      <w:szCs w:val="24"/>
      <w:lang w:val="en-GB" w:eastAsia="en-GB"/>
      <w14:ligatures w14:val="none"/>
    </w:rPr>
  </w:style>
  <w:style w:type="paragraph" w:customStyle="1" w:styleId="Keywords">
    <w:name w:val="Keywords"/>
    <w:basedOn w:val="Normal"/>
    <w:next w:val="Normal"/>
    <w:qFormat/>
    <w:rsid w:val="00E31481"/>
    <w:pPr>
      <w:spacing w:before="240" w:after="240" w:line="360" w:lineRule="auto"/>
      <w:ind w:left="720" w:right="567" w:firstLine="0"/>
      <w:jc w:val="left"/>
    </w:pPr>
    <w:rPr>
      <w:rFonts w:ascii="Times New Roman" w:eastAsia="Times New Roman" w:hAnsi="Times New Roman" w:cs="Times New Roman"/>
      <w:color w:val="auto"/>
      <w:kern w:val="0"/>
      <w:sz w:val="22"/>
      <w:szCs w:val="24"/>
      <w:lang w:val="en-GB" w:eastAsia="en-GB"/>
      <w14:ligatures w14:val="none"/>
    </w:rPr>
  </w:style>
  <w:style w:type="paragraph" w:customStyle="1" w:styleId="Abstract">
    <w:name w:val="Abstract"/>
    <w:basedOn w:val="Normal"/>
    <w:next w:val="Keywords"/>
    <w:qFormat/>
    <w:rsid w:val="00E31481"/>
    <w:pPr>
      <w:spacing w:before="360" w:after="300" w:line="360" w:lineRule="auto"/>
      <w:ind w:left="720" w:right="567" w:firstLine="0"/>
      <w:jc w:val="left"/>
    </w:pPr>
    <w:rPr>
      <w:rFonts w:ascii="Times New Roman" w:eastAsia="Times New Roman" w:hAnsi="Times New Roman" w:cs="Times New Roman"/>
      <w:color w:val="auto"/>
      <w:kern w:val="0"/>
      <w:sz w:val="22"/>
      <w:szCs w:val="24"/>
      <w:lang w:val="en-GB" w:eastAsia="en-GB"/>
      <w14:ligatures w14:val="none"/>
    </w:rPr>
  </w:style>
  <w:style w:type="paragraph" w:customStyle="1" w:styleId="Paragraph">
    <w:name w:val="Paragraph"/>
    <w:basedOn w:val="Normal"/>
    <w:next w:val="Newparagraph"/>
    <w:qFormat/>
    <w:rsid w:val="000E3D56"/>
    <w:pPr>
      <w:widowControl w:val="0"/>
      <w:spacing w:before="240" w:after="0" w:line="480" w:lineRule="auto"/>
      <w:ind w:left="0" w:firstLine="0"/>
      <w:jc w:val="left"/>
    </w:pPr>
    <w:rPr>
      <w:rFonts w:ascii="Times New Roman" w:eastAsia="Times New Roman" w:hAnsi="Times New Roman" w:cs="Times New Roman"/>
      <w:color w:val="auto"/>
      <w:kern w:val="0"/>
      <w:szCs w:val="24"/>
      <w:lang w:val="en-GB" w:eastAsia="en-GB"/>
      <w14:ligatures w14:val="none"/>
    </w:rPr>
  </w:style>
  <w:style w:type="paragraph" w:customStyle="1" w:styleId="Newparagraph">
    <w:name w:val="New paragraph"/>
    <w:basedOn w:val="Normal"/>
    <w:qFormat/>
    <w:rsid w:val="000E3D56"/>
    <w:pPr>
      <w:spacing w:after="0" w:line="480" w:lineRule="auto"/>
      <w:ind w:left="0" w:firstLine="720"/>
      <w:jc w:val="left"/>
    </w:pPr>
    <w:rPr>
      <w:rFonts w:ascii="Times New Roman" w:eastAsia="Times New Roman" w:hAnsi="Times New Roman" w:cs="Times New Roman"/>
      <w:color w:val="auto"/>
      <w:kern w:val="0"/>
      <w:szCs w:val="24"/>
      <w:lang w:val="en-GB" w:eastAsia="en-GB"/>
      <w14:ligatures w14:val="none"/>
    </w:rPr>
  </w:style>
  <w:style w:type="paragraph" w:styleId="NormalWeb">
    <w:name w:val="Normal (Web)"/>
    <w:basedOn w:val="Normal"/>
    <w:uiPriority w:val="99"/>
    <w:unhideWhenUsed/>
    <w:rsid w:val="000E3D56"/>
    <w:pPr>
      <w:spacing w:before="100" w:beforeAutospacing="1" w:after="100" w:afterAutospacing="1" w:line="240" w:lineRule="auto"/>
      <w:ind w:left="0" w:firstLine="0"/>
      <w:jc w:val="left"/>
    </w:pPr>
    <w:rPr>
      <w:rFonts w:ascii="Times New Roman" w:eastAsia="Times New Roman" w:hAnsi="Times New Roman" w:cs="Times New Roman"/>
      <w:color w:val="auto"/>
      <w:kern w:val="0"/>
      <w:szCs w:val="24"/>
      <w:lang w:val="en-GB" w:eastAsia="en-GB"/>
      <w14:ligatures w14:val="none"/>
    </w:rPr>
  </w:style>
  <w:style w:type="paragraph" w:customStyle="1" w:styleId="Figurecaption">
    <w:name w:val="Figure caption"/>
    <w:basedOn w:val="Normal"/>
    <w:next w:val="Normal"/>
    <w:qFormat/>
    <w:rsid w:val="000E3D56"/>
    <w:pPr>
      <w:spacing w:before="240" w:after="0" w:line="360" w:lineRule="auto"/>
      <w:ind w:left="0" w:firstLine="0"/>
      <w:jc w:val="left"/>
    </w:pPr>
    <w:rPr>
      <w:rFonts w:ascii="Times New Roman" w:eastAsia="Times New Roman" w:hAnsi="Times New Roman" w:cs="Times New Roman"/>
      <w:color w:val="auto"/>
      <w:kern w:val="0"/>
      <w:szCs w:val="24"/>
      <w:lang w:val="en-GB" w:eastAsia="en-GB"/>
      <w14:ligatures w14:val="none"/>
    </w:rPr>
  </w:style>
  <w:style w:type="character" w:styleId="Emphasis">
    <w:name w:val="Emphasis"/>
    <w:basedOn w:val="DefaultParagraphFont"/>
    <w:uiPriority w:val="20"/>
    <w:qFormat/>
    <w:rsid w:val="000E3D56"/>
    <w:rPr>
      <w:i/>
      <w:iCs/>
    </w:rPr>
  </w:style>
  <w:style w:type="character" w:customStyle="1" w:styleId="Heading2Char">
    <w:name w:val="Heading 2 Char"/>
    <w:basedOn w:val="DefaultParagraphFont"/>
    <w:link w:val="Heading2"/>
    <w:rsid w:val="007A4D06"/>
    <w:rPr>
      <w:rFonts w:ascii="Times New Roman" w:eastAsia="Times New Roman" w:hAnsi="Times New Roman" w:cs="Arial"/>
      <w:b/>
      <w:bCs/>
      <w:i/>
      <w:iCs/>
      <w:kern w:val="0"/>
      <w:sz w:val="24"/>
      <w:szCs w:val="28"/>
      <w:lang w:val="en-GB" w:eastAsia="en-GB"/>
      <w14:ligatures w14:val="none"/>
    </w:rPr>
  </w:style>
  <w:style w:type="character" w:customStyle="1" w:styleId="Heading3Char">
    <w:name w:val="Heading 3 Char"/>
    <w:basedOn w:val="DefaultParagraphFont"/>
    <w:link w:val="Heading3"/>
    <w:rsid w:val="007A4D06"/>
    <w:rPr>
      <w:rFonts w:ascii="Times New Roman" w:eastAsia="Times New Roman" w:hAnsi="Times New Roman" w:cs="Arial"/>
      <w:bCs/>
      <w:i/>
      <w:kern w:val="0"/>
      <w:sz w:val="24"/>
      <w:szCs w:val="26"/>
      <w:lang w:val="en-GB" w:eastAsia="en-GB"/>
      <w14:ligatures w14:val="none"/>
    </w:rPr>
  </w:style>
  <w:style w:type="character" w:customStyle="1" w:styleId="Heading4Char">
    <w:name w:val="Heading 4 Char"/>
    <w:basedOn w:val="DefaultParagraphFont"/>
    <w:link w:val="Heading4"/>
    <w:rsid w:val="007A4D06"/>
    <w:rPr>
      <w:rFonts w:ascii="Times New Roman" w:eastAsia="Times New Roman" w:hAnsi="Times New Roman" w:cs="Times New Roman"/>
      <w:bCs/>
      <w:kern w:val="0"/>
      <w:sz w:val="24"/>
      <w:szCs w:val="28"/>
      <w:lang w:val="en-GB" w:eastAsia="en-GB"/>
      <w14:ligatures w14:val="none"/>
    </w:rPr>
  </w:style>
  <w:style w:type="character" w:customStyle="1" w:styleId="e24kjd">
    <w:name w:val="e24kjd"/>
    <w:basedOn w:val="DefaultParagraphFont"/>
    <w:rsid w:val="007A4D06"/>
  </w:style>
  <w:style w:type="character" w:styleId="Hyperlink">
    <w:name w:val="Hyperlink"/>
    <w:basedOn w:val="DefaultParagraphFont"/>
    <w:uiPriority w:val="99"/>
    <w:unhideWhenUsed/>
    <w:rsid w:val="007A4D06"/>
    <w:rPr>
      <w:color w:val="0000FF"/>
      <w:u w:val="single"/>
    </w:rPr>
  </w:style>
  <w:style w:type="character" w:styleId="CommentReference">
    <w:name w:val="annotation reference"/>
    <w:basedOn w:val="DefaultParagraphFont"/>
    <w:uiPriority w:val="99"/>
    <w:semiHidden/>
    <w:unhideWhenUsed/>
    <w:rsid w:val="007A4D06"/>
    <w:rPr>
      <w:sz w:val="16"/>
      <w:szCs w:val="16"/>
    </w:rPr>
  </w:style>
  <w:style w:type="paragraph" w:styleId="CommentText">
    <w:name w:val="annotation text"/>
    <w:aliases w:val=" 字元,Char11,字元"/>
    <w:basedOn w:val="Normal"/>
    <w:link w:val="CommentTextChar"/>
    <w:uiPriority w:val="99"/>
    <w:unhideWhenUsed/>
    <w:qFormat/>
    <w:rsid w:val="007A4D06"/>
    <w:pPr>
      <w:spacing w:after="0" w:line="240" w:lineRule="auto"/>
      <w:ind w:left="0" w:firstLine="0"/>
      <w:jc w:val="left"/>
    </w:pPr>
    <w:rPr>
      <w:rFonts w:ascii="Times New Roman" w:eastAsia="Times New Roman" w:hAnsi="Times New Roman" w:cs="Times New Roman"/>
      <w:color w:val="auto"/>
      <w:kern w:val="0"/>
      <w:sz w:val="20"/>
      <w:szCs w:val="20"/>
      <w:lang w:val="en-GB" w:eastAsia="en-GB"/>
      <w14:ligatures w14:val="none"/>
    </w:rPr>
  </w:style>
  <w:style w:type="character" w:customStyle="1" w:styleId="CommentTextChar">
    <w:name w:val="Comment Text Char"/>
    <w:aliases w:val=" 字元 Char,Char11 Char,字元 Char"/>
    <w:basedOn w:val="DefaultParagraphFont"/>
    <w:link w:val="CommentText"/>
    <w:uiPriority w:val="99"/>
    <w:qFormat/>
    <w:rsid w:val="007A4D06"/>
    <w:rPr>
      <w:rFonts w:ascii="Times New Roman" w:eastAsia="Times New Roman" w:hAnsi="Times New Roman" w:cs="Times New Roman"/>
      <w:kern w:val="0"/>
      <w:sz w:val="20"/>
      <w:szCs w:val="20"/>
      <w:lang w:val="en-GB" w:eastAsia="en-GB"/>
      <w14:ligatures w14:val="none"/>
    </w:rPr>
  </w:style>
  <w:style w:type="paragraph" w:styleId="ListParagraph">
    <w:name w:val="List Paragraph"/>
    <w:basedOn w:val="Normal"/>
    <w:uiPriority w:val="34"/>
    <w:qFormat/>
    <w:rsid w:val="007A4D06"/>
    <w:pPr>
      <w:spacing w:after="0" w:line="480" w:lineRule="auto"/>
      <w:ind w:left="720" w:firstLine="0"/>
      <w:contextualSpacing/>
      <w:jc w:val="left"/>
    </w:pPr>
    <w:rPr>
      <w:rFonts w:ascii="Times New Roman" w:eastAsia="Times New Roman" w:hAnsi="Times New Roman" w:cs="Times New Roman"/>
      <w:color w:val="auto"/>
      <w:kern w:val="0"/>
      <w:szCs w:val="24"/>
      <w:lang w:val="en-GB" w:eastAsia="en-GB"/>
      <w14:ligatures w14:val="none"/>
    </w:rPr>
  </w:style>
  <w:style w:type="paragraph" w:styleId="Caption">
    <w:name w:val="caption"/>
    <w:basedOn w:val="Normal"/>
    <w:next w:val="Normal"/>
    <w:uiPriority w:val="35"/>
    <w:semiHidden/>
    <w:unhideWhenUsed/>
    <w:qFormat/>
    <w:rsid w:val="007A4D06"/>
    <w:pPr>
      <w:spacing w:after="200" w:line="240" w:lineRule="auto"/>
      <w:ind w:left="0" w:firstLine="0"/>
      <w:jc w:val="left"/>
    </w:pPr>
    <w:rPr>
      <w:rFonts w:ascii="Times New Roman" w:eastAsiaTheme="minorEastAsia" w:hAnsi="Times New Roman" w:cs="Times New Roman"/>
      <w:b/>
      <w:bCs/>
      <w:color w:val="4472C4" w:themeColor="accent1"/>
      <w:kern w:val="0"/>
      <w:sz w:val="18"/>
      <w:szCs w:val="18"/>
      <w:lang w:val="en-GB" w:eastAsia="ja-JP"/>
      <w14:ligatures w14:val="none"/>
    </w:rPr>
  </w:style>
  <w:style w:type="paragraph" w:styleId="NoSpacing">
    <w:name w:val="No Spacing"/>
    <w:uiPriority w:val="1"/>
    <w:qFormat/>
    <w:rsid w:val="007A4D06"/>
    <w:pPr>
      <w:spacing w:after="0" w:line="240" w:lineRule="auto"/>
    </w:pPr>
    <w:rPr>
      <w:rFonts w:eastAsiaTheme="minorHAnsi"/>
      <w:kern w:val="0"/>
      <w:sz w:val="24"/>
      <w:szCs w:val="24"/>
      <w14:ligatures w14:val="none"/>
    </w:rPr>
  </w:style>
  <w:style w:type="table" w:styleId="TableGrid0">
    <w:name w:val="Table Grid"/>
    <w:basedOn w:val="TableNormal"/>
    <w:uiPriority w:val="39"/>
    <w:rsid w:val="007A4D06"/>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A4D06"/>
  </w:style>
  <w:style w:type="character" w:customStyle="1" w:styleId="page-numbers-info">
    <w:name w:val="page-numbers-info"/>
    <w:basedOn w:val="DefaultParagraphFont"/>
    <w:rsid w:val="007A4D06"/>
  </w:style>
  <w:style w:type="character" w:customStyle="1" w:styleId="authorsname">
    <w:name w:val="authors__name"/>
    <w:basedOn w:val="DefaultParagraphFont"/>
    <w:rsid w:val="007A4D06"/>
  </w:style>
  <w:style w:type="character" w:styleId="LineNumber">
    <w:name w:val="line number"/>
    <w:basedOn w:val="DefaultParagraphFont"/>
    <w:uiPriority w:val="99"/>
    <w:semiHidden/>
    <w:unhideWhenUsed/>
    <w:rsid w:val="007A4D06"/>
  </w:style>
  <w:style w:type="character" w:customStyle="1" w:styleId="titleheading">
    <w:name w:val="titleheading"/>
    <w:basedOn w:val="DefaultParagraphFont"/>
    <w:rsid w:val="007A4D06"/>
  </w:style>
  <w:style w:type="paragraph" w:styleId="Revision">
    <w:name w:val="Revision"/>
    <w:hidden/>
    <w:uiPriority w:val="99"/>
    <w:semiHidden/>
    <w:rsid w:val="007A4D06"/>
    <w:pPr>
      <w:spacing w:after="0" w:line="240" w:lineRule="auto"/>
    </w:pPr>
    <w:rPr>
      <w:rFonts w:eastAsiaTheme="minorHAnsi"/>
      <w:kern w:val="0"/>
      <w14:ligatures w14:val="none"/>
    </w:rPr>
  </w:style>
  <w:style w:type="paragraph" w:styleId="CommentSubject">
    <w:name w:val="annotation subject"/>
    <w:basedOn w:val="CommentText"/>
    <w:next w:val="CommentText"/>
    <w:link w:val="CommentSubjectChar"/>
    <w:uiPriority w:val="99"/>
    <w:semiHidden/>
    <w:unhideWhenUsed/>
    <w:rsid w:val="007A4D06"/>
    <w:rPr>
      <w:b/>
      <w:bCs/>
    </w:rPr>
  </w:style>
  <w:style w:type="character" w:customStyle="1" w:styleId="CommentSubjectChar">
    <w:name w:val="Comment Subject Char"/>
    <w:basedOn w:val="CommentTextChar"/>
    <w:link w:val="CommentSubject"/>
    <w:uiPriority w:val="99"/>
    <w:semiHidden/>
    <w:rsid w:val="007A4D06"/>
    <w:rPr>
      <w:rFonts w:ascii="Times New Roman" w:eastAsia="Times New Roman" w:hAnsi="Times New Roman" w:cs="Times New Roman"/>
      <w:b/>
      <w:bCs/>
      <w:kern w:val="0"/>
      <w:sz w:val="20"/>
      <w:szCs w:val="20"/>
      <w:lang w:val="en-GB" w:eastAsia="en-GB"/>
      <w14:ligatures w14:val="none"/>
    </w:rPr>
  </w:style>
  <w:style w:type="paragraph" w:customStyle="1" w:styleId="xxmsonormal">
    <w:name w:val="x_x_msonormal"/>
    <w:basedOn w:val="Normal"/>
    <w:rsid w:val="007A4D06"/>
    <w:pPr>
      <w:spacing w:before="100" w:beforeAutospacing="1" w:after="100" w:afterAutospacing="1" w:line="240" w:lineRule="auto"/>
      <w:ind w:left="0" w:firstLine="0"/>
      <w:jc w:val="left"/>
    </w:pPr>
    <w:rPr>
      <w:rFonts w:ascii="Times New Roman" w:eastAsia="Times New Roman" w:hAnsi="Times New Roman" w:cs="Times New Roman"/>
      <w:color w:val="auto"/>
      <w:kern w:val="0"/>
      <w:szCs w:val="24"/>
      <w:lang w:val="en-GB" w:eastAsia="en-GB"/>
      <w14:ligatures w14:val="none"/>
    </w:rPr>
  </w:style>
  <w:style w:type="paragraph" w:styleId="Header">
    <w:name w:val="header"/>
    <w:basedOn w:val="Normal"/>
    <w:link w:val="HeaderChar"/>
    <w:rsid w:val="007A4D06"/>
    <w:pPr>
      <w:tabs>
        <w:tab w:val="center" w:pos="4320"/>
        <w:tab w:val="right" w:pos="8640"/>
      </w:tabs>
      <w:spacing w:after="120" w:line="240" w:lineRule="auto"/>
      <w:ind w:left="0" w:firstLine="0"/>
      <w:contextualSpacing/>
      <w:jc w:val="left"/>
    </w:pPr>
    <w:rPr>
      <w:rFonts w:ascii="Times New Roman" w:eastAsia="Times New Roman" w:hAnsi="Times New Roman" w:cs="Times New Roman"/>
      <w:color w:val="auto"/>
      <w:kern w:val="0"/>
      <w:szCs w:val="24"/>
      <w:lang w:val="en-GB" w:eastAsia="en-GB"/>
      <w14:ligatures w14:val="none"/>
    </w:rPr>
  </w:style>
  <w:style w:type="character" w:customStyle="1" w:styleId="HeaderChar">
    <w:name w:val="Header Char"/>
    <w:basedOn w:val="DefaultParagraphFont"/>
    <w:link w:val="Header"/>
    <w:rsid w:val="007A4D06"/>
    <w:rPr>
      <w:rFonts w:ascii="Times New Roman" w:eastAsia="Times New Roman" w:hAnsi="Times New Roman" w:cs="Times New Roman"/>
      <w:kern w:val="0"/>
      <w:sz w:val="24"/>
      <w:szCs w:val="24"/>
      <w:lang w:val="en-GB" w:eastAsia="en-GB"/>
      <w14:ligatures w14:val="none"/>
    </w:rPr>
  </w:style>
  <w:style w:type="paragraph" w:styleId="Footer">
    <w:name w:val="footer"/>
    <w:basedOn w:val="Normal"/>
    <w:link w:val="FooterChar"/>
    <w:uiPriority w:val="99"/>
    <w:rsid w:val="007A4D06"/>
    <w:pPr>
      <w:tabs>
        <w:tab w:val="center" w:pos="4320"/>
        <w:tab w:val="right" w:pos="8640"/>
      </w:tabs>
      <w:spacing w:before="240" w:after="0" w:line="240" w:lineRule="auto"/>
      <w:ind w:left="0" w:firstLine="0"/>
      <w:contextualSpacing/>
      <w:jc w:val="left"/>
    </w:pPr>
    <w:rPr>
      <w:rFonts w:ascii="Times New Roman" w:eastAsia="Times New Roman" w:hAnsi="Times New Roman" w:cs="Times New Roman"/>
      <w:color w:val="auto"/>
      <w:kern w:val="0"/>
      <w:szCs w:val="24"/>
      <w:lang w:val="en-GB" w:eastAsia="en-GB"/>
      <w14:ligatures w14:val="none"/>
    </w:rPr>
  </w:style>
  <w:style w:type="character" w:customStyle="1" w:styleId="FooterChar">
    <w:name w:val="Footer Char"/>
    <w:basedOn w:val="DefaultParagraphFont"/>
    <w:link w:val="Footer"/>
    <w:uiPriority w:val="99"/>
    <w:rsid w:val="007A4D06"/>
    <w:rPr>
      <w:rFonts w:ascii="Times New Roman" w:eastAsia="Times New Roman" w:hAnsi="Times New Roman" w:cs="Times New Roman"/>
      <w:kern w:val="0"/>
      <w:sz w:val="24"/>
      <w:szCs w:val="24"/>
      <w:lang w:val="en-GB" w:eastAsia="en-GB"/>
      <w14:ligatures w14:val="none"/>
    </w:rPr>
  </w:style>
  <w:style w:type="paragraph" w:styleId="BalloonText">
    <w:name w:val="Balloon Text"/>
    <w:basedOn w:val="Normal"/>
    <w:link w:val="BalloonTextChar"/>
    <w:uiPriority w:val="99"/>
    <w:semiHidden/>
    <w:unhideWhenUsed/>
    <w:rsid w:val="007A4D06"/>
    <w:pPr>
      <w:spacing w:after="0" w:line="240" w:lineRule="auto"/>
      <w:ind w:left="0" w:firstLine="0"/>
      <w:jc w:val="left"/>
    </w:pPr>
    <w:rPr>
      <w:rFonts w:ascii="Segoe UI" w:eastAsia="Times New Roman" w:hAnsi="Segoe UI" w:cs="Segoe UI"/>
      <w:color w:val="auto"/>
      <w:kern w:val="0"/>
      <w:sz w:val="18"/>
      <w:szCs w:val="18"/>
      <w:lang w:val="en-GB" w:eastAsia="en-GB"/>
      <w14:ligatures w14:val="none"/>
    </w:rPr>
  </w:style>
  <w:style w:type="character" w:customStyle="1" w:styleId="BalloonTextChar">
    <w:name w:val="Balloon Text Char"/>
    <w:basedOn w:val="DefaultParagraphFont"/>
    <w:link w:val="BalloonText"/>
    <w:uiPriority w:val="99"/>
    <w:semiHidden/>
    <w:rsid w:val="007A4D06"/>
    <w:rPr>
      <w:rFonts w:ascii="Segoe UI" w:eastAsia="Times New Roman" w:hAnsi="Segoe UI" w:cs="Segoe UI"/>
      <w:kern w:val="0"/>
      <w:sz w:val="18"/>
      <w:szCs w:val="18"/>
      <w:lang w:val="en-GB" w:eastAsia="en-GB"/>
      <w14:ligatures w14:val="none"/>
    </w:rPr>
  </w:style>
  <w:style w:type="paragraph" w:customStyle="1" w:styleId="Authornames">
    <w:name w:val="Author names"/>
    <w:basedOn w:val="Normal"/>
    <w:next w:val="Normal"/>
    <w:qFormat/>
    <w:rsid w:val="007A4D06"/>
    <w:pPr>
      <w:spacing w:before="240" w:after="0" w:line="360" w:lineRule="auto"/>
      <w:ind w:left="0" w:firstLine="0"/>
      <w:jc w:val="left"/>
    </w:pPr>
    <w:rPr>
      <w:rFonts w:ascii="Times New Roman" w:eastAsia="Times New Roman" w:hAnsi="Times New Roman" w:cs="Times New Roman"/>
      <w:color w:val="auto"/>
      <w:kern w:val="0"/>
      <w:sz w:val="28"/>
      <w:szCs w:val="24"/>
      <w:lang w:val="en-GB" w:eastAsia="en-GB"/>
      <w14:ligatures w14:val="none"/>
    </w:rPr>
  </w:style>
  <w:style w:type="paragraph" w:customStyle="1" w:styleId="Affiliation">
    <w:name w:val="Affiliation"/>
    <w:basedOn w:val="Normal"/>
    <w:qFormat/>
    <w:rsid w:val="007A4D06"/>
    <w:pPr>
      <w:spacing w:before="240" w:after="0" w:line="360" w:lineRule="auto"/>
      <w:ind w:left="0" w:firstLine="0"/>
      <w:jc w:val="left"/>
    </w:pPr>
    <w:rPr>
      <w:rFonts w:ascii="Times New Roman" w:eastAsia="Times New Roman" w:hAnsi="Times New Roman" w:cs="Times New Roman"/>
      <w:i/>
      <w:color w:val="auto"/>
      <w:kern w:val="0"/>
      <w:szCs w:val="24"/>
      <w:lang w:val="en-GB" w:eastAsia="en-GB"/>
      <w14:ligatures w14:val="none"/>
    </w:rPr>
  </w:style>
  <w:style w:type="paragraph" w:customStyle="1" w:styleId="Receiveddates">
    <w:name w:val="Received dates"/>
    <w:basedOn w:val="Affiliation"/>
    <w:next w:val="Normal"/>
    <w:qFormat/>
    <w:rsid w:val="007A4D06"/>
  </w:style>
  <w:style w:type="paragraph" w:customStyle="1" w:styleId="Correspondencedetails">
    <w:name w:val="Correspondence details"/>
    <w:basedOn w:val="Normal"/>
    <w:qFormat/>
    <w:rsid w:val="007A4D06"/>
    <w:pPr>
      <w:spacing w:before="240" w:after="0" w:line="360" w:lineRule="auto"/>
      <w:ind w:left="0" w:firstLine="0"/>
      <w:jc w:val="left"/>
    </w:pPr>
    <w:rPr>
      <w:rFonts w:ascii="Times New Roman" w:eastAsia="Times New Roman" w:hAnsi="Times New Roman" w:cs="Times New Roman"/>
      <w:color w:val="auto"/>
      <w:kern w:val="0"/>
      <w:szCs w:val="24"/>
      <w:lang w:val="en-GB" w:eastAsia="en-GB"/>
      <w14:ligatures w14:val="none"/>
    </w:rPr>
  </w:style>
  <w:style w:type="paragraph" w:customStyle="1" w:styleId="Displayedquotation">
    <w:name w:val="Displayed quotation"/>
    <w:basedOn w:val="Normal"/>
    <w:qFormat/>
    <w:rsid w:val="007A4D06"/>
    <w:pPr>
      <w:tabs>
        <w:tab w:val="left" w:pos="1077"/>
        <w:tab w:val="left" w:pos="1440"/>
        <w:tab w:val="left" w:pos="1797"/>
        <w:tab w:val="left" w:pos="2155"/>
        <w:tab w:val="left" w:pos="2512"/>
      </w:tabs>
      <w:spacing w:before="240" w:after="360" w:line="360" w:lineRule="auto"/>
      <w:ind w:left="709" w:right="425" w:firstLine="0"/>
      <w:contextualSpacing/>
      <w:jc w:val="left"/>
    </w:pPr>
    <w:rPr>
      <w:rFonts w:ascii="Times New Roman" w:eastAsia="Times New Roman" w:hAnsi="Times New Roman" w:cs="Times New Roman"/>
      <w:color w:val="auto"/>
      <w:kern w:val="0"/>
      <w:sz w:val="22"/>
      <w:szCs w:val="24"/>
      <w:lang w:val="en-GB" w:eastAsia="en-GB"/>
      <w14:ligatures w14:val="none"/>
    </w:rPr>
  </w:style>
  <w:style w:type="paragraph" w:customStyle="1" w:styleId="Numberedlist">
    <w:name w:val="Numbered list"/>
    <w:basedOn w:val="Paragraph"/>
    <w:next w:val="Paragraph"/>
    <w:qFormat/>
    <w:rsid w:val="007A4D06"/>
    <w:pPr>
      <w:widowControl/>
      <w:numPr>
        <w:numId w:val="19"/>
      </w:numPr>
      <w:spacing w:after="240"/>
      <w:contextualSpacing/>
    </w:pPr>
  </w:style>
  <w:style w:type="paragraph" w:customStyle="1" w:styleId="Displayedequation">
    <w:name w:val="Displayed equation"/>
    <w:basedOn w:val="Normal"/>
    <w:next w:val="Paragraph"/>
    <w:qFormat/>
    <w:rsid w:val="007A4D06"/>
    <w:pPr>
      <w:tabs>
        <w:tab w:val="center" w:pos="4253"/>
        <w:tab w:val="right" w:pos="8222"/>
      </w:tabs>
      <w:spacing w:before="240" w:after="240" w:line="480" w:lineRule="auto"/>
      <w:ind w:left="0" w:firstLine="0"/>
      <w:jc w:val="center"/>
    </w:pPr>
    <w:rPr>
      <w:rFonts w:ascii="Times New Roman" w:eastAsia="Times New Roman" w:hAnsi="Times New Roman" w:cs="Times New Roman"/>
      <w:color w:val="auto"/>
      <w:kern w:val="0"/>
      <w:szCs w:val="24"/>
      <w:lang w:val="en-GB" w:eastAsia="en-GB"/>
      <w14:ligatures w14:val="none"/>
    </w:rPr>
  </w:style>
  <w:style w:type="paragraph" w:customStyle="1" w:styleId="Acknowledgements">
    <w:name w:val="Acknowledgements"/>
    <w:basedOn w:val="Normal"/>
    <w:next w:val="Normal"/>
    <w:qFormat/>
    <w:rsid w:val="007A4D06"/>
    <w:pPr>
      <w:spacing w:before="120" w:after="0" w:line="360" w:lineRule="auto"/>
      <w:ind w:left="0" w:firstLine="0"/>
      <w:jc w:val="left"/>
    </w:pPr>
    <w:rPr>
      <w:rFonts w:ascii="Times New Roman" w:eastAsia="Times New Roman" w:hAnsi="Times New Roman" w:cs="Times New Roman"/>
      <w:color w:val="auto"/>
      <w:kern w:val="0"/>
      <w:sz w:val="22"/>
      <w:szCs w:val="24"/>
      <w:lang w:val="en-GB" w:eastAsia="en-GB"/>
      <w14:ligatures w14:val="none"/>
    </w:rPr>
  </w:style>
  <w:style w:type="paragraph" w:customStyle="1" w:styleId="Tabletitle">
    <w:name w:val="Table title"/>
    <w:basedOn w:val="Normal"/>
    <w:next w:val="Normal"/>
    <w:qFormat/>
    <w:rsid w:val="007A4D06"/>
    <w:pPr>
      <w:spacing w:before="240" w:after="0" w:line="360" w:lineRule="auto"/>
      <w:ind w:left="0" w:firstLine="0"/>
      <w:jc w:val="left"/>
    </w:pPr>
    <w:rPr>
      <w:rFonts w:ascii="Times New Roman" w:eastAsia="Times New Roman" w:hAnsi="Times New Roman" w:cs="Times New Roman"/>
      <w:color w:val="auto"/>
      <w:kern w:val="0"/>
      <w:szCs w:val="24"/>
      <w:lang w:val="en-GB" w:eastAsia="en-GB"/>
      <w14:ligatures w14:val="none"/>
    </w:rPr>
  </w:style>
  <w:style w:type="paragraph" w:customStyle="1" w:styleId="Footnotes">
    <w:name w:val="Footnotes"/>
    <w:basedOn w:val="Normal"/>
    <w:qFormat/>
    <w:rsid w:val="007A4D06"/>
    <w:pPr>
      <w:spacing w:before="120" w:after="0" w:line="360" w:lineRule="auto"/>
      <w:ind w:left="482" w:hanging="482"/>
      <w:contextualSpacing/>
      <w:jc w:val="left"/>
    </w:pPr>
    <w:rPr>
      <w:rFonts w:ascii="Times New Roman" w:eastAsia="Times New Roman" w:hAnsi="Times New Roman" w:cs="Times New Roman"/>
      <w:color w:val="auto"/>
      <w:kern w:val="0"/>
      <w:sz w:val="22"/>
      <w:szCs w:val="24"/>
      <w:lang w:val="en-GB" w:eastAsia="en-GB"/>
      <w14:ligatures w14:val="none"/>
    </w:rPr>
  </w:style>
  <w:style w:type="paragraph" w:customStyle="1" w:styleId="Notesoncontributors">
    <w:name w:val="Notes on contributors"/>
    <w:basedOn w:val="Normal"/>
    <w:qFormat/>
    <w:rsid w:val="007A4D06"/>
    <w:pPr>
      <w:spacing w:before="240" w:after="0" w:line="360" w:lineRule="auto"/>
      <w:ind w:left="0" w:firstLine="0"/>
      <w:jc w:val="left"/>
    </w:pPr>
    <w:rPr>
      <w:rFonts w:ascii="Times New Roman" w:eastAsia="Times New Roman" w:hAnsi="Times New Roman" w:cs="Times New Roman"/>
      <w:color w:val="auto"/>
      <w:kern w:val="0"/>
      <w:sz w:val="22"/>
      <w:szCs w:val="24"/>
      <w:lang w:val="en-GB" w:eastAsia="en-GB"/>
      <w14:ligatures w14:val="none"/>
    </w:rPr>
  </w:style>
  <w:style w:type="paragraph" w:customStyle="1" w:styleId="Normalparagraphstyle">
    <w:name w:val="Normal paragraph style"/>
    <w:basedOn w:val="Normal"/>
    <w:next w:val="Normal"/>
    <w:rsid w:val="007A4D06"/>
    <w:pPr>
      <w:spacing w:after="0" w:line="480" w:lineRule="auto"/>
      <w:ind w:left="0" w:firstLine="0"/>
      <w:jc w:val="left"/>
    </w:pPr>
    <w:rPr>
      <w:rFonts w:ascii="Times New Roman" w:eastAsia="Times New Roman" w:hAnsi="Times New Roman" w:cs="Times New Roman"/>
      <w:color w:val="auto"/>
      <w:kern w:val="0"/>
      <w:szCs w:val="24"/>
      <w:lang w:val="en-GB" w:eastAsia="en-GB"/>
      <w14:ligatures w14:val="none"/>
    </w:rPr>
  </w:style>
  <w:style w:type="paragraph" w:styleId="NormalIndent">
    <w:name w:val="Normal Indent"/>
    <w:basedOn w:val="Normal"/>
    <w:rsid w:val="007A4D06"/>
    <w:pPr>
      <w:spacing w:after="0" w:line="480" w:lineRule="auto"/>
      <w:ind w:left="720" w:firstLine="0"/>
      <w:jc w:val="left"/>
    </w:pPr>
    <w:rPr>
      <w:rFonts w:ascii="Times New Roman" w:eastAsia="Times New Roman" w:hAnsi="Times New Roman" w:cs="Times New Roman"/>
      <w:color w:val="auto"/>
      <w:kern w:val="0"/>
      <w:szCs w:val="24"/>
      <w:lang w:val="en-GB" w:eastAsia="en-GB"/>
      <w14:ligatures w14:val="none"/>
    </w:rPr>
  </w:style>
  <w:style w:type="paragraph" w:customStyle="1" w:styleId="References">
    <w:name w:val="References"/>
    <w:basedOn w:val="Normal"/>
    <w:qFormat/>
    <w:rsid w:val="007A4D06"/>
    <w:pPr>
      <w:spacing w:before="120" w:after="0" w:line="360" w:lineRule="auto"/>
      <w:ind w:left="720" w:hanging="720"/>
      <w:contextualSpacing/>
      <w:jc w:val="left"/>
    </w:pPr>
    <w:rPr>
      <w:rFonts w:ascii="Times New Roman" w:eastAsia="Times New Roman" w:hAnsi="Times New Roman" w:cs="Times New Roman"/>
      <w:color w:val="auto"/>
      <w:kern w:val="0"/>
      <w:szCs w:val="24"/>
      <w:lang w:val="en-GB" w:eastAsia="en-GB"/>
      <w14:ligatures w14:val="none"/>
    </w:rPr>
  </w:style>
  <w:style w:type="paragraph" w:customStyle="1" w:styleId="Subjectcodes">
    <w:name w:val="Subject codes"/>
    <w:basedOn w:val="Keywords"/>
    <w:next w:val="Paragraph"/>
    <w:qFormat/>
    <w:rsid w:val="007A4D06"/>
  </w:style>
  <w:style w:type="paragraph" w:customStyle="1" w:styleId="Bulletedlist">
    <w:name w:val="Bulleted list"/>
    <w:basedOn w:val="Paragraph"/>
    <w:next w:val="Paragraph"/>
    <w:qFormat/>
    <w:rsid w:val="007A4D06"/>
    <w:pPr>
      <w:widowControl/>
      <w:numPr>
        <w:numId w:val="20"/>
      </w:numPr>
      <w:spacing w:after="240"/>
      <w:contextualSpacing/>
    </w:pPr>
  </w:style>
  <w:style w:type="paragraph" w:styleId="FootnoteText">
    <w:name w:val="footnote text"/>
    <w:basedOn w:val="Normal"/>
    <w:link w:val="FootnoteTextChar"/>
    <w:autoRedefine/>
    <w:rsid w:val="007A4D06"/>
    <w:pPr>
      <w:spacing w:after="0" w:line="480" w:lineRule="auto"/>
      <w:ind w:left="284" w:hanging="284"/>
      <w:jc w:val="left"/>
    </w:pPr>
    <w:rPr>
      <w:rFonts w:ascii="Times New Roman" w:eastAsia="Times New Roman" w:hAnsi="Times New Roman" w:cs="Times New Roman"/>
      <w:color w:val="auto"/>
      <w:kern w:val="0"/>
      <w:sz w:val="22"/>
      <w:szCs w:val="20"/>
      <w:lang w:val="en-GB" w:eastAsia="en-GB"/>
      <w14:ligatures w14:val="none"/>
    </w:rPr>
  </w:style>
  <w:style w:type="character" w:customStyle="1" w:styleId="FootnoteTextChar">
    <w:name w:val="Footnote Text Char"/>
    <w:basedOn w:val="DefaultParagraphFont"/>
    <w:link w:val="FootnoteText"/>
    <w:rsid w:val="007A4D06"/>
    <w:rPr>
      <w:rFonts w:ascii="Times New Roman" w:eastAsia="Times New Roman" w:hAnsi="Times New Roman" w:cs="Times New Roman"/>
      <w:kern w:val="0"/>
      <w:szCs w:val="20"/>
      <w:lang w:val="en-GB" w:eastAsia="en-GB"/>
      <w14:ligatures w14:val="none"/>
    </w:rPr>
  </w:style>
  <w:style w:type="character" w:styleId="FootnoteReference">
    <w:name w:val="footnote reference"/>
    <w:basedOn w:val="DefaultParagraphFont"/>
    <w:rsid w:val="007A4D06"/>
    <w:rPr>
      <w:vertAlign w:val="superscript"/>
    </w:rPr>
  </w:style>
  <w:style w:type="paragraph" w:styleId="EndnoteText">
    <w:name w:val="endnote text"/>
    <w:basedOn w:val="Normal"/>
    <w:link w:val="EndnoteTextChar"/>
    <w:autoRedefine/>
    <w:rsid w:val="007A4D06"/>
    <w:pPr>
      <w:spacing w:after="0" w:line="480" w:lineRule="auto"/>
      <w:ind w:left="284" w:hanging="284"/>
      <w:jc w:val="left"/>
    </w:pPr>
    <w:rPr>
      <w:rFonts w:ascii="Times New Roman" w:eastAsia="Times New Roman" w:hAnsi="Times New Roman" w:cs="Times New Roman"/>
      <w:color w:val="auto"/>
      <w:kern w:val="0"/>
      <w:sz w:val="22"/>
      <w:szCs w:val="20"/>
      <w:lang w:val="en-GB" w:eastAsia="en-GB"/>
      <w14:ligatures w14:val="none"/>
    </w:rPr>
  </w:style>
  <w:style w:type="character" w:customStyle="1" w:styleId="EndnoteTextChar">
    <w:name w:val="Endnote Text Char"/>
    <w:basedOn w:val="DefaultParagraphFont"/>
    <w:link w:val="EndnoteText"/>
    <w:rsid w:val="007A4D06"/>
    <w:rPr>
      <w:rFonts w:ascii="Times New Roman" w:eastAsia="Times New Roman" w:hAnsi="Times New Roman" w:cs="Times New Roman"/>
      <w:kern w:val="0"/>
      <w:szCs w:val="20"/>
      <w:lang w:val="en-GB" w:eastAsia="en-GB"/>
      <w14:ligatures w14:val="none"/>
    </w:rPr>
  </w:style>
  <w:style w:type="character" w:styleId="EndnoteReference">
    <w:name w:val="endnote reference"/>
    <w:basedOn w:val="DefaultParagraphFont"/>
    <w:rsid w:val="007A4D06"/>
    <w:rPr>
      <w:vertAlign w:val="superscript"/>
    </w:rPr>
  </w:style>
  <w:style w:type="paragraph" w:customStyle="1" w:styleId="Heading4Paragraph">
    <w:name w:val="Heading 4 + Paragraph"/>
    <w:basedOn w:val="Paragraph"/>
    <w:next w:val="Newparagraph"/>
    <w:qFormat/>
    <w:rsid w:val="007A4D06"/>
    <w:pPr>
      <w:widowControl/>
      <w:spacing w:before="360"/>
    </w:pPr>
  </w:style>
  <w:style w:type="character" w:customStyle="1" w:styleId="UnresolvedMention1">
    <w:name w:val="Unresolved Mention1"/>
    <w:basedOn w:val="DefaultParagraphFont"/>
    <w:uiPriority w:val="99"/>
    <w:semiHidden/>
    <w:unhideWhenUsed/>
    <w:rsid w:val="007A4D06"/>
    <w:rPr>
      <w:color w:val="605E5C"/>
      <w:shd w:val="clear" w:color="auto" w:fill="E1DFDD"/>
    </w:rPr>
  </w:style>
  <w:style w:type="character" w:styleId="FollowedHyperlink">
    <w:name w:val="FollowedHyperlink"/>
    <w:basedOn w:val="DefaultParagraphFont"/>
    <w:uiPriority w:val="99"/>
    <w:semiHidden/>
    <w:unhideWhenUsed/>
    <w:rsid w:val="007A4D06"/>
    <w:rPr>
      <w:color w:val="954F72" w:themeColor="followedHyperlink"/>
      <w:u w:val="single"/>
    </w:rPr>
  </w:style>
  <w:style w:type="table" w:styleId="TableGridLight">
    <w:name w:val="Grid Table Light"/>
    <w:basedOn w:val="TableNormal"/>
    <w:uiPriority w:val="40"/>
    <w:rsid w:val="007A4D06"/>
    <w:pPr>
      <w:spacing w:after="0" w:line="240" w:lineRule="auto"/>
    </w:pPr>
    <w:rPr>
      <w:rFonts w:eastAsiaTheme="minorHAnsi"/>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uthors">
    <w:name w:val="authors"/>
    <w:basedOn w:val="DefaultParagraphFont"/>
    <w:rsid w:val="007A4D06"/>
  </w:style>
  <w:style w:type="character" w:customStyle="1" w:styleId="Date1">
    <w:name w:val="Date1"/>
    <w:basedOn w:val="DefaultParagraphFont"/>
    <w:rsid w:val="007A4D06"/>
  </w:style>
  <w:style w:type="character" w:customStyle="1" w:styleId="arttitle">
    <w:name w:val="art_title"/>
    <w:basedOn w:val="DefaultParagraphFont"/>
    <w:rsid w:val="007A4D06"/>
  </w:style>
  <w:style w:type="character" w:customStyle="1" w:styleId="serialtitle">
    <w:name w:val="serial_title"/>
    <w:basedOn w:val="DefaultParagraphFont"/>
    <w:rsid w:val="007A4D06"/>
  </w:style>
  <w:style w:type="character" w:customStyle="1" w:styleId="volumeissue">
    <w:name w:val="volume_issue"/>
    <w:basedOn w:val="DefaultParagraphFont"/>
    <w:rsid w:val="007A4D06"/>
  </w:style>
  <w:style w:type="character" w:customStyle="1" w:styleId="pagerange">
    <w:name w:val="page_range"/>
    <w:basedOn w:val="DefaultParagraphFont"/>
    <w:rsid w:val="007A4D06"/>
  </w:style>
  <w:style w:type="character" w:customStyle="1" w:styleId="doilink">
    <w:name w:val="doi_link"/>
    <w:basedOn w:val="DefaultParagraphFont"/>
    <w:rsid w:val="007A4D06"/>
  </w:style>
  <w:style w:type="character" w:customStyle="1" w:styleId="EndNoteBibliographyChar">
    <w:name w:val="EndNote Bibliography Char"/>
    <w:basedOn w:val="DefaultParagraphFont"/>
    <w:link w:val="EndNoteBibliography"/>
    <w:locked/>
    <w:rsid w:val="007932A0"/>
    <w:rPr>
      <w:rFonts w:ascii="Cambria" w:eastAsia="Cambria" w:hAnsi="Cambria" w:cs="Cambria"/>
      <w:noProof/>
      <w:color w:val="000000"/>
      <w:sz w:val="24"/>
    </w:rPr>
  </w:style>
  <w:style w:type="paragraph" w:customStyle="1" w:styleId="EndNoteBibliography">
    <w:name w:val="EndNote Bibliography"/>
    <w:basedOn w:val="Normal"/>
    <w:link w:val="EndNoteBibliographyChar"/>
    <w:rsid w:val="007932A0"/>
    <w:pPr>
      <w:spacing w:line="240" w:lineRule="auto"/>
      <w:jc w:val="left"/>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873058">
      <w:bodyDiv w:val="1"/>
      <w:marLeft w:val="0"/>
      <w:marRight w:val="0"/>
      <w:marTop w:val="0"/>
      <w:marBottom w:val="0"/>
      <w:divBdr>
        <w:top w:val="none" w:sz="0" w:space="0" w:color="auto"/>
        <w:left w:val="none" w:sz="0" w:space="0" w:color="auto"/>
        <w:bottom w:val="none" w:sz="0" w:space="0" w:color="auto"/>
        <w:right w:val="none" w:sz="0" w:space="0" w:color="auto"/>
      </w:divBdr>
    </w:div>
    <w:div w:id="948050911">
      <w:bodyDiv w:val="1"/>
      <w:marLeft w:val="0"/>
      <w:marRight w:val="0"/>
      <w:marTop w:val="0"/>
      <w:marBottom w:val="0"/>
      <w:divBdr>
        <w:top w:val="none" w:sz="0" w:space="0" w:color="auto"/>
        <w:left w:val="none" w:sz="0" w:space="0" w:color="auto"/>
        <w:bottom w:val="none" w:sz="0" w:space="0" w:color="auto"/>
        <w:right w:val="none" w:sz="0" w:space="0" w:color="auto"/>
      </w:divBdr>
    </w:div>
    <w:div w:id="1083378887">
      <w:bodyDiv w:val="1"/>
      <w:marLeft w:val="0"/>
      <w:marRight w:val="0"/>
      <w:marTop w:val="0"/>
      <w:marBottom w:val="0"/>
      <w:divBdr>
        <w:top w:val="none" w:sz="0" w:space="0" w:color="auto"/>
        <w:left w:val="none" w:sz="0" w:space="0" w:color="auto"/>
        <w:bottom w:val="none" w:sz="0" w:space="0" w:color="auto"/>
        <w:right w:val="none" w:sz="0" w:space="0" w:color="auto"/>
      </w:divBdr>
    </w:div>
    <w:div w:id="1169758260">
      <w:bodyDiv w:val="1"/>
      <w:marLeft w:val="0"/>
      <w:marRight w:val="0"/>
      <w:marTop w:val="0"/>
      <w:marBottom w:val="0"/>
      <w:divBdr>
        <w:top w:val="none" w:sz="0" w:space="0" w:color="auto"/>
        <w:left w:val="none" w:sz="0" w:space="0" w:color="auto"/>
        <w:bottom w:val="none" w:sz="0" w:space="0" w:color="auto"/>
        <w:right w:val="none" w:sz="0" w:space="0" w:color="auto"/>
      </w:divBdr>
    </w:div>
    <w:div w:id="1814250552">
      <w:bodyDiv w:val="1"/>
      <w:marLeft w:val="0"/>
      <w:marRight w:val="0"/>
      <w:marTop w:val="0"/>
      <w:marBottom w:val="0"/>
      <w:divBdr>
        <w:top w:val="none" w:sz="0" w:space="0" w:color="auto"/>
        <w:left w:val="none" w:sz="0" w:space="0" w:color="auto"/>
        <w:bottom w:val="none" w:sz="0" w:space="0" w:color="auto"/>
        <w:right w:val="none" w:sz="0" w:space="0" w:color="auto"/>
      </w:divBdr>
    </w:div>
    <w:div w:id="18223081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226C2-6BBF-448E-8AB9-15C3DCB20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34</Pages>
  <Words>7892</Words>
  <Characters>44985</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Righetti</dc:creator>
  <cp:keywords/>
  <cp:lastModifiedBy>Timothy L. Righetti</cp:lastModifiedBy>
  <cp:revision>2</cp:revision>
  <dcterms:created xsi:type="dcterms:W3CDTF">2024-03-06T15:19:00Z</dcterms:created>
  <dcterms:modified xsi:type="dcterms:W3CDTF">2024-03-06T15:19:00Z</dcterms:modified>
</cp:coreProperties>
</file>