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2CFD40" w14:textId="16D24D82" w:rsidR="001C683F" w:rsidRPr="007B3B37" w:rsidRDefault="00B81204" w:rsidP="00347778">
      <w:pPr>
        <w:pStyle w:val="Articletitle"/>
        <w:spacing w:after="0" w:line="480" w:lineRule="auto"/>
        <w:rPr>
          <w:sz w:val="24"/>
          <w:lang w:val="en-US" w:eastAsia="ja-JP"/>
        </w:rPr>
      </w:pPr>
      <w:bookmarkStart w:id="0" w:name="_Hlk119520260"/>
      <w:r w:rsidRPr="007B3B37">
        <w:rPr>
          <w:sz w:val="24"/>
          <w:lang w:val="en-US" w:eastAsia="ja-JP"/>
        </w:rPr>
        <w:t>Supplemental Material</w:t>
      </w:r>
    </w:p>
    <w:p w14:paraId="35789C5C" w14:textId="59B31A97" w:rsidR="00976C31" w:rsidRPr="00976C31" w:rsidRDefault="00B81204" w:rsidP="004732CF">
      <w:pPr>
        <w:pStyle w:val="Articletitle"/>
        <w:rPr>
          <w:lang w:val="en-US"/>
        </w:rPr>
      </w:pPr>
      <w:r w:rsidRPr="00E255E3">
        <w:rPr>
          <w:lang w:val="en-US"/>
        </w:rPr>
        <w:t xml:space="preserve">A mathematical explanation for why ratio-based isotopic </w:t>
      </w:r>
      <w:r w:rsidR="00266E22">
        <w:rPr>
          <w:lang w:val="en-US"/>
        </w:rPr>
        <w:t>a</w:t>
      </w:r>
      <w:r w:rsidR="005854FF">
        <w:rPr>
          <w:lang w:val="en-US"/>
        </w:rPr>
        <w:t>nalyses are</w:t>
      </w:r>
      <w:r w:rsidRPr="00E255E3">
        <w:rPr>
          <w:lang w:val="en-US"/>
        </w:rPr>
        <w:t xml:space="preserve"> </w:t>
      </w:r>
      <w:r w:rsidR="00447B92">
        <w:rPr>
          <w:lang w:val="en-US"/>
        </w:rPr>
        <w:t>commonly</w:t>
      </w:r>
      <w:r w:rsidRPr="00E255E3">
        <w:rPr>
          <w:lang w:val="en-US"/>
        </w:rPr>
        <w:t xml:space="preserve"> misleading: Theory</w:t>
      </w:r>
    </w:p>
    <w:p w14:paraId="35383D0B" w14:textId="77777777" w:rsidR="00D0619D" w:rsidRDefault="00B81204" w:rsidP="002631CE">
      <w:pPr>
        <w:pStyle w:val="Heading1"/>
        <w:spacing w:before="0" w:after="3" w:line="473" w:lineRule="auto"/>
        <w:ind w:right="144"/>
        <w:jc w:val="both"/>
      </w:pPr>
      <w:r w:rsidRPr="00E255E3">
        <w:rPr>
          <w:lang w:val="en-US" w:eastAsia="ja-JP"/>
        </w:rPr>
        <w:t xml:space="preserve">1. </w:t>
      </w:r>
      <w:r w:rsidR="00FE1639">
        <w:t>REVIEW OF ISOTOPIC PRINCIPLES</w:t>
      </w:r>
    </w:p>
    <w:p w14:paraId="2BE3F0DD" w14:textId="2705EF82" w:rsidR="00FE1639" w:rsidRPr="00D0619D" w:rsidRDefault="00FE1639" w:rsidP="002631CE">
      <w:pPr>
        <w:pStyle w:val="Heading1"/>
        <w:spacing w:before="0" w:after="3" w:line="473" w:lineRule="auto"/>
        <w:ind w:right="144"/>
        <w:jc w:val="both"/>
        <w:rPr>
          <w:b w:val="0"/>
          <w:bCs w:val="0"/>
        </w:rPr>
      </w:pPr>
      <w:r w:rsidRPr="00D0619D">
        <w:rPr>
          <w:b w:val="0"/>
          <w:bCs w:val="0"/>
          <w:lang w:val="en-US"/>
        </w:rPr>
        <w:t xml:space="preserve">Stable mass isotopes are forms of an element with different numbers of neutrons. Unlike radioactive isotopes they do not decay, thus they are defined as stable. Although their chemical characteristics are almost identical, they have different atomic weights. Elements differ with respect to the total number of stable mass isotopes. For example, strontium (Sr) has four major mass isotopes, whereas carbon and nitrogen both have two. The isotopic makeup of a sample can be described by a ratio of isotopes such as </w:t>
      </w:r>
      <w:r w:rsidRPr="00D0619D">
        <w:rPr>
          <w:b w:val="0"/>
          <w:bCs w:val="0"/>
          <w:vertAlign w:val="superscript"/>
          <w:lang w:val="en-US"/>
        </w:rPr>
        <w:t>13</w:t>
      </w:r>
      <w:r w:rsidRPr="00D0619D">
        <w:rPr>
          <w:b w:val="0"/>
          <w:bCs w:val="0"/>
          <w:lang w:val="en-US"/>
        </w:rPr>
        <w:t>C:</w:t>
      </w:r>
      <w:r w:rsidRPr="00D0619D">
        <w:rPr>
          <w:b w:val="0"/>
          <w:bCs w:val="0"/>
          <w:vertAlign w:val="superscript"/>
          <w:lang w:val="en-US"/>
        </w:rPr>
        <w:t>12</w:t>
      </w:r>
      <w:r w:rsidRPr="00D0619D">
        <w:rPr>
          <w:b w:val="0"/>
          <w:bCs w:val="0"/>
          <w:lang w:val="en-US"/>
        </w:rPr>
        <w:t xml:space="preserve">C, </w:t>
      </w:r>
      <w:r w:rsidRPr="00D0619D">
        <w:rPr>
          <w:b w:val="0"/>
          <w:bCs w:val="0"/>
          <w:vertAlign w:val="superscript"/>
          <w:lang w:val="en-US"/>
        </w:rPr>
        <w:t>15</w:t>
      </w:r>
      <w:r w:rsidRPr="00D0619D">
        <w:rPr>
          <w:b w:val="0"/>
          <w:bCs w:val="0"/>
          <w:lang w:val="en-US"/>
        </w:rPr>
        <w:t>N:</w:t>
      </w:r>
      <w:r w:rsidRPr="00D0619D">
        <w:rPr>
          <w:b w:val="0"/>
          <w:bCs w:val="0"/>
          <w:vertAlign w:val="superscript"/>
          <w:lang w:val="en-US"/>
        </w:rPr>
        <w:t>14</w:t>
      </w:r>
      <w:r w:rsidRPr="00D0619D">
        <w:rPr>
          <w:b w:val="0"/>
          <w:bCs w:val="0"/>
          <w:lang w:val="en-US"/>
        </w:rPr>
        <w:t xml:space="preserve">N, </w:t>
      </w:r>
      <w:r w:rsidRPr="00D0619D">
        <w:rPr>
          <w:b w:val="0"/>
          <w:bCs w:val="0"/>
          <w:vertAlign w:val="superscript"/>
          <w:lang w:val="en-US"/>
        </w:rPr>
        <w:t>18</w:t>
      </w:r>
      <w:r w:rsidRPr="00D0619D">
        <w:rPr>
          <w:b w:val="0"/>
          <w:bCs w:val="0"/>
          <w:lang w:val="en-US"/>
        </w:rPr>
        <w:t>O:</w:t>
      </w:r>
      <w:r w:rsidRPr="00D0619D">
        <w:rPr>
          <w:b w:val="0"/>
          <w:bCs w:val="0"/>
          <w:vertAlign w:val="superscript"/>
          <w:lang w:val="en-US"/>
        </w:rPr>
        <w:t>16</w:t>
      </w:r>
      <w:r w:rsidRPr="00D0619D">
        <w:rPr>
          <w:b w:val="0"/>
          <w:bCs w:val="0"/>
          <w:lang w:val="en-US"/>
        </w:rPr>
        <w:t xml:space="preserve">O, </w:t>
      </w:r>
      <w:r w:rsidRPr="00D0619D">
        <w:rPr>
          <w:b w:val="0"/>
          <w:bCs w:val="0"/>
          <w:vertAlign w:val="superscript"/>
          <w:lang w:val="en-US"/>
        </w:rPr>
        <w:t>34</w:t>
      </w:r>
      <w:r w:rsidRPr="00D0619D">
        <w:rPr>
          <w:b w:val="0"/>
          <w:bCs w:val="0"/>
          <w:lang w:val="en-US"/>
        </w:rPr>
        <w:t>S:</w:t>
      </w:r>
      <w:r w:rsidRPr="00D0619D">
        <w:rPr>
          <w:b w:val="0"/>
          <w:bCs w:val="0"/>
          <w:vertAlign w:val="superscript"/>
          <w:lang w:val="en-US"/>
        </w:rPr>
        <w:t>32</w:t>
      </w:r>
      <w:r w:rsidRPr="00D0619D">
        <w:rPr>
          <w:b w:val="0"/>
          <w:bCs w:val="0"/>
          <w:lang w:val="en-US"/>
        </w:rPr>
        <w:t xml:space="preserve">S or </w:t>
      </w:r>
      <w:r w:rsidRPr="00D0619D">
        <w:rPr>
          <w:b w:val="0"/>
          <w:bCs w:val="0"/>
          <w:vertAlign w:val="superscript"/>
          <w:lang w:val="en-US"/>
        </w:rPr>
        <w:t>87</w:t>
      </w:r>
      <w:r w:rsidRPr="00D0619D">
        <w:rPr>
          <w:b w:val="0"/>
          <w:bCs w:val="0"/>
          <w:lang w:val="en-US"/>
        </w:rPr>
        <w:t>Sr:</w:t>
      </w:r>
      <w:r w:rsidRPr="00D0619D">
        <w:rPr>
          <w:b w:val="0"/>
          <w:bCs w:val="0"/>
          <w:vertAlign w:val="superscript"/>
          <w:lang w:val="en-US"/>
        </w:rPr>
        <w:t>86</w:t>
      </w:r>
      <w:r w:rsidRPr="00D0619D">
        <w:rPr>
          <w:b w:val="0"/>
          <w:bCs w:val="0"/>
          <w:lang w:val="en-US"/>
        </w:rPr>
        <w:t xml:space="preserve">Sr, where the superscripts refer to atomic weight. </w:t>
      </w:r>
    </w:p>
    <w:p w14:paraId="629C0E92" w14:textId="56578ECF" w:rsidR="00FE1639" w:rsidRPr="00BC76FD" w:rsidRDefault="00FE1639" w:rsidP="002631CE">
      <w:pPr>
        <w:pStyle w:val="Newparagraph"/>
        <w:spacing w:after="3" w:line="473" w:lineRule="auto"/>
        <w:ind w:right="144"/>
        <w:contextualSpacing/>
        <w:jc w:val="both"/>
        <w:rPr>
          <w:lang w:val="en-US"/>
        </w:rPr>
      </w:pPr>
      <w:r w:rsidRPr="00BC76FD">
        <w:rPr>
          <w:rStyle w:val="e24kjd"/>
          <w:rFonts w:asciiTheme="majorBidi" w:hAnsiTheme="majorBidi" w:cstheme="majorBidi"/>
          <w:lang w:val="en-US"/>
        </w:rPr>
        <w:t>Variation in stable mass isotopic ratios over time or among different sample types is often interpreted as being due to exogenous additions, or endogenous removal of material that has a different isotopic ratio than the original pool. In much of the isotopic literature, exogenous additions (or endogenous losses) are referred to as the “source,” and the isotopic composition of the initial pool of material before additions or withdrawals are made is referred to as the “background</w:t>
      </w:r>
      <w:r w:rsidR="00632D6D" w:rsidRPr="00BC76FD">
        <w:rPr>
          <w:rStyle w:val="e24kjd"/>
          <w:rFonts w:asciiTheme="majorBidi" w:hAnsiTheme="majorBidi" w:cstheme="majorBidi"/>
          <w:lang w:val="en-US"/>
        </w:rPr>
        <w:t>.”</w:t>
      </w:r>
    </w:p>
    <w:p w14:paraId="17E7F166" w14:textId="1CC94C4F" w:rsidR="00FE1639" w:rsidRPr="00BC76FD" w:rsidRDefault="00FE1639" w:rsidP="002631CE">
      <w:pPr>
        <w:pStyle w:val="pf0"/>
        <w:spacing w:before="0" w:beforeAutospacing="0" w:after="3" w:afterAutospacing="0" w:line="473" w:lineRule="auto"/>
        <w:ind w:right="144" w:firstLine="720"/>
        <w:contextualSpacing/>
        <w:jc w:val="both"/>
      </w:pPr>
      <w:r w:rsidRPr="00BC76FD">
        <w:t xml:space="preserve">Many disciplines routinely use slopes and derivatives to evaluate how one variable </w:t>
      </w:r>
      <w:r w:rsidR="00632D6D" w:rsidRPr="00BC76FD">
        <w:t>change</w:t>
      </w:r>
      <w:r w:rsidR="00276640">
        <w:t>s</w:t>
      </w:r>
      <w:r w:rsidRPr="00BC76FD">
        <w:t xml:space="preserve"> relative to another</w:t>
      </w:r>
      <w:r w:rsidRPr="00DE415B">
        <w:t xml:space="preserve">. </w:t>
      </w:r>
      <w:r w:rsidRPr="00DE415B">
        <w:rPr>
          <w:rStyle w:val="cf01"/>
          <w:rFonts w:ascii="Times New Roman" w:hAnsi="Times New Roman" w:cs="Times New Roman"/>
          <w:sz w:val="24"/>
          <w:szCs w:val="24"/>
        </w:rPr>
        <w:t xml:space="preserve">For example, the effect of variable </w:t>
      </w:r>
      <w:r w:rsidRPr="00DE415B">
        <w:rPr>
          <w:rStyle w:val="cf11"/>
          <w:rFonts w:ascii="Times New Roman" w:hAnsi="Times New Roman" w:cs="Times New Roman"/>
          <w:sz w:val="24"/>
          <w:szCs w:val="24"/>
        </w:rPr>
        <w:t>x</w:t>
      </w:r>
      <w:r w:rsidRPr="00DE415B">
        <w:rPr>
          <w:rStyle w:val="cf01"/>
          <w:rFonts w:ascii="Times New Roman" w:hAnsi="Times New Roman" w:cs="Times New Roman"/>
          <w:sz w:val="24"/>
          <w:szCs w:val="24"/>
        </w:rPr>
        <w:t xml:space="preserve"> on variable </w:t>
      </w:r>
      <w:r w:rsidRPr="00DE415B">
        <w:rPr>
          <w:rStyle w:val="cf11"/>
          <w:rFonts w:ascii="Times New Roman" w:hAnsi="Times New Roman" w:cs="Times New Roman"/>
          <w:sz w:val="24"/>
          <w:szCs w:val="24"/>
        </w:rPr>
        <w:t>y</w:t>
      </w:r>
      <w:r w:rsidRPr="00DE415B">
        <w:rPr>
          <w:rStyle w:val="cf01"/>
          <w:rFonts w:ascii="Times New Roman" w:hAnsi="Times New Roman" w:cs="Times New Roman"/>
          <w:sz w:val="24"/>
          <w:szCs w:val="24"/>
        </w:rPr>
        <w:t xml:space="preserve"> can be represented by a function, </w:t>
      </w:r>
      <w:r w:rsidRPr="00DE415B">
        <w:rPr>
          <w:rStyle w:val="cf11"/>
          <w:rFonts w:ascii="Times New Roman" w:hAnsi="Times New Roman" w:cs="Times New Roman"/>
          <w:sz w:val="24"/>
          <w:szCs w:val="24"/>
        </w:rPr>
        <w:t>y</w:t>
      </w:r>
      <w:r w:rsidRPr="00DE415B">
        <w:rPr>
          <w:rStyle w:val="cf01"/>
          <w:rFonts w:ascii="Times New Roman" w:hAnsi="Times New Roman" w:cs="Times New Roman"/>
          <w:sz w:val="24"/>
          <w:szCs w:val="24"/>
        </w:rPr>
        <w:t xml:space="preserve"> = </w:t>
      </w:r>
      <w:r w:rsidRPr="00DE415B">
        <w:rPr>
          <w:rStyle w:val="cf11"/>
          <w:rFonts w:ascii="Times New Roman" w:hAnsi="Times New Roman" w:cs="Times New Roman"/>
          <w:sz w:val="24"/>
          <w:szCs w:val="24"/>
        </w:rPr>
        <w:t>f</w:t>
      </w:r>
      <w:r w:rsidRPr="00DE415B">
        <w:rPr>
          <w:rStyle w:val="cf01"/>
          <w:rFonts w:ascii="Times New Roman" w:hAnsi="Times New Roman" w:cs="Times New Roman"/>
          <w:sz w:val="24"/>
          <w:szCs w:val="24"/>
        </w:rPr>
        <w:t>(</w:t>
      </w:r>
      <w:r w:rsidRPr="00DE415B">
        <w:rPr>
          <w:rStyle w:val="cf11"/>
          <w:rFonts w:ascii="Times New Roman" w:hAnsi="Times New Roman" w:cs="Times New Roman"/>
          <w:sz w:val="24"/>
          <w:szCs w:val="24"/>
        </w:rPr>
        <w:t>x</w:t>
      </w:r>
      <w:r w:rsidRPr="00DE415B">
        <w:rPr>
          <w:rStyle w:val="cf01"/>
          <w:rFonts w:ascii="Times New Roman" w:hAnsi="Times New Roman" w:cs="Times New Roman"/>
          <w:sz w:val="24"/>
          <w:szCs w:val="24"/>
        </w:rPr>
        <w:t xml:space="preserve">). For a linear dependence of </w:t>
      </w:r>
      <w:r w:rsidRPr="00DE415B">
        <w:rPr>
          <w:rStyle w:val="cf11"/>
          <w:rFonts w:ascii="Times New Roman" w:hAnsi="Times New Roman" w:cs="Times New Roman"/>
          <w:sz w:val="24"/>
          <w:szCs w:val="24"/>
        </w:rPr>
        <w:t>y</w:t>
      </w:r>
      <w:r w:rsidRPr="00DE415B">
        <w:rPr>
          <w:rStyle w:val="cf01"/>
          <w:rFonts w:ascii="Times New Roman" w:hAnsi="Times New Roman" w:cs="Times New Roman"/>
          <w:sz w:val="24"/>
          <w:szCs w:val="24"/>
        </w:rPr>
        <w:t xml:space="preserve"> on </w:t>
      </w:r>
      <w:r w:rsidRPr="00DE415B">
        <w:rPr>
          <w:rStyle w:val="cf11"/>
          <w:rFonts w:ascii="Times New Roman" w:hAnsi="Times New Roman" w:cs="Times New Roman"/>
          <w:sz w:val="24"/>
          <w:szCs w:val="24"/>
        </w:rPr>
        <w:t>x</w:t>
      </w:r>
      <w:r w:rsidRPr="00DE415B">
        <w:rPr>
          <w:rStyle w:val="cf01"/>
          <w:rFonts w:ascii="Times New Roman" w:hAnsi="Times New Roman" w:cs="Times New Roman"/>
          <w:sz w:val="24"/>
          <w:szCs w:val="24"/>
        </w:rPr>
        <w:t xml:space="preserve">, it is sufficient to provide the slope of the </w:t>
      </w:r>
      <w:r w:rsidRPr="00DE415B">
        <w:rPr>
          <w:rStyle w:val="cf11"/>
          <w:rFonts w:ascii="Times New Roman" w:hAnsi="Times New Roman" w:cs="Times New Roman"/>
          <w:sz w:val="24"/>
          <w:szCs w:val="24"/>
        </w:rPr>
        <w:t>x</w:t>
      </w:r>
      <w:r w:rsidRPr="00DE415B">
        <w:rPr>
          <w:rStyle w:val="cf21"/>
          <w:rFonts w:ascii="Times New Roman" w:hAnsi="Times New Roman" w:cs="Times New Roman"/>
          <w:sz w:val="24"/>
          <w:szCs w:val="24"/>
        </w:rPr>
        <w:t>–</w:t>
      </w:r>
      <w:r w:rsidRPr="00DE415B">
        <w:rPr>
          <w:rStyle w:val="cf11"/>
          <w:rFonts w:ascii="Times New Roman" w:hAnsi="Times New Roman" w:cs="Times New Roman"/>
          <w:sz w:val="24"/>
          <w:szCs w:val="24"/>
        </w:rPr>
        <w:t>y</w:t>
      </w:r>
      <w:r w:rsidRPr="00DE415B">
        <w:rPr>
          <w:rStyle w:val="cf01"/>
          <w:rFonts w:ascii="Times New Roman" w:hAnsi="Times New Roman" w:cs="Times New Roman"/>
          <w:sz w:val="24"/>
          <w:szCs w:val="24"/>
        </w:rPr>
        <w:t xml:space="preserve"> plot, whereas derivatives (</w:t>
      </w:r>
      <w:r w:rsidRPr="00DE415B">
        <w:rPr>
          <w:rStyle w:val="cf11"/>
          <w:rFonts w:ascii="Times New Roman" w:hAnsi="Times New Roman" w:cs="Times New Roman"/>
          <w:sz w:val="24"/>
          <w:szCs w:val="24"/>
        </w:rPr>
        <w:t>dy</w:t>
      </w:r>
      <w:r w:rsidRPr="00DE415B">
        <w:rPr>
          <w:rStyle w:val="cf01"/>
          <w:rFonts w:ascii="Times New Roman" w:hAnsi="Times New Roman" w:cs="Times New Roman"/>
          <w:sz w:val="24"/>
          <w:szCs w:val="24"/>
        </w:rPr>
        <w:t>/</w:t>
      </w:r>
      <w:r w:rsidRPr="00DE415B">
        <w:rPr>
          <w:rStyle w:val="cf11"/>
          <w:rFonts w:ascii="Times New Roman" w:hAnsi="Times New Roman" w:cs="Times New Roman"/>
          <w:sz w:val="24"/>
          <w:szCs w:val="24"/>
        </w:rPr>
        <w:t>dx</w:t>
      </w:r>
      <w:r w:rsidRPr="00DE415B">
        <w:rPr>
          <w:rStyle w:val="cf01"/>
          <w:rFonts w:ascii="Times New Roman" w:hAnsi="Times New Roman" w:cs="Times New Roman"/>
          <w:sz w:val="24"/>
          <w:szCs w:val="24"/>
        </w:rPr>
        <w:t xml:space="preserve">) may be required to describe more complex relationships. </w:t>
      </w:r>
      <w:r w:rsidRPr="00DE415B">
        <w:t>It is possible to determine</w:t>
      </w:r>
      <w:r w:rsidRPr="00BC76FD">
        <w:t xml:space="preserve"> slopes or derivatives when one mass isotope concentration or content of an element is plotted against another. This approach, however, is not used in the isotopic literature, which depends on the analysis of ratio-based isotopic data. Analysis of slopes and </w:t>
      </w:r>
      <w:r w:rsidRPr="00BC76FD">
        <w:lastRenderedPageBreak/>
        <w:t xml:space="preserve">derivatives, if extended to the isotopic literature, </w:t>
      </w:r>
      <w:r>
        <w:t>will</w:t>
      </w:r>
      <w:r w:rsidRPr="00BC76FD">
        <w:t xml:space="preserve"> provide more information about </w:t>
      </w:r>
      <w:r>
        <w:t>important</w:t>
      </w:r>
      <w:r w:rsidRPr="00BC76FD">
        <w:t xml:space="preserve"> sources and how they change than simply using ratio-based expressions.</w:t>
      </w:r>
    </w:p>
    <w:p w14:paraId="3824A149" w14:textId="1CB88907" w:rsidR="00FE1639" w:rsidRPr="00CE780B" w:rsidRDefault="00FE1639" w:rsidP="002631CE">
      <w:pPr>
        <w:pStyle w:val="Heading1"/>
        <w:spacing w:before="0" w:after="3" w:line="473" w:lineRule="auto"/>
        <w:ind w:right="144" w:firstLine="720"/>
        <w:jc w:val="both"/>
        <w:rPr>
          <w:b w:val="0"/>
          <w:bCs w:val="0"/>
          <w:lang w:val="en-US" w:eastAsia="ja-JP"/>
        </w:rPr>
      </w:pPr>
      <w:r w:rsidRPr="00CE780B">
        <w:rPr>
          <w:b w:val="0"/>
          <w:bCs w:val="0"/>
          <w:lang w:val="en-US"/>
        </w:rPr>
        <w:t xml:space="preserve">Various ratio-based expressions rather than an actual isotopic ratio are used in the isotopic literature (Brand and Coplen 2012; Hayes 2004; Coplen 2011). The delta value (δ) is the </w:t>
      </w:r>
      <w:r w:rsidR="009C54E5" w:rsidRPr="00CE780B">
        <w:rPr>
          <w:b w:val="0"/>
          <w:bCs w:val="0"/>
          <w:lang w:val="en-US"/>
        </w:rPr>
        <w:t>most used</w:t>
      </w:r>
      <w:r w:rsidRPr="00CE780B">
        <w:rPr>
          <w:b w:val="0"/>
          <w:bCs w:val="0"/>
          <w:lang w:val="en-US"/>
        </w:rPr>
        <w:t xml:space="preserve"> ratio-based expression (Brand and Coplen 2012), especially when evaluating carbon, nitrogen, and oxygen isotopes. Rather than an actual ratio, δ values </w:t>
      </w:r>
      <w:r>
        <w:rPr>
          <w:b w:val="0"/>
          <w:bCs w:val="0"/>
          <w:lang w:val="en-US"/>
        </w:rPr>
        <w:t>re</w:t>
      </w:r>
      <w:r w:rsidRPr="00CE780B">
        <w:rPr>
          <w:b w:val="0"/>
          <w:bCs w:val="0"/>
          <w:lang w:val="en-US"/>
        </w:rPr>
        <w:t xml:space="preserve">present the relative difference between a sample and a standard (Brand and Coplen 2012; Hayes 2004; Coplen 2011). </w:t>
      </w:r>
      <w:r>
        <w:rPr>
          <w:b w:val="0"/>
          <w:bCs w:val="0"/>
          <w:lang w:val="en-US"/>
        </w:rPr>
        <w:t>Equations</w:t>
      </w:r>
      <w:r w:rsidRPr="00CE780B">
        <w:rPr>
          <w:b w:val="0"/>
          <w:bCs w:val="0"/>
          <w:lang w:val="en-US"/>
        </w:rPr>
        <w:t xml:space="preserve"> for the calculation of δ values </w:t>
      </w:r>
      <w:r>
        <w:rPr>
          <w:b w:val="0"/>
          <w:bCs w:val="0"/>
          <w:lang w:val="en-US"/>
        </w:rPr>
        <w:t>are</w:t>
      </w:r>
      <w:r w:rsidRPr="00CE780B">
        <w:rPr>
          <w:b w:val="0"/>
          <w:bCs w:val="0"/>
          <w:lang w:val="en-US"/>
        </w:rPr>
        <w:t xml:space="preserve"> presented in the Supplemental Material: Section </w:t>
      </w:r>
      <w:r w:rsidR="00DE415B">
        <w:rPr>
          <w:b w:val="0"/>
          <w:bCs w:val="0"/>
          <w:lang w:val="en-US"/>
        </w:rPr>
        <w:t>2</w:t>
      </w:r>
      <w:r w:rsidRPr="00CE780B">
        <w:rPr>
          <w:b w:val="0"/>
          <w:bCs w:val="0"/>
          <w:lang w:val="en-US"/>
        </w:rPr>
        <w:t xml:space="preserve">, Formulas for converting isotopic ratios to ratio-based expressions. </w:t>
      </w:r>
      <w:r>
        <w:rPr>
          <w:b w:val="0"/>
          <w:bCs w:val="0"/>
          <w:lang w:val="en-US"/>
        </w:rPr>
        <w:t>Also in Supplemental Material</w:t>
      </w:r>
      <w:r w:rsidR="00900459">
        <w:rPr>
          <w:b w:val="0"/>
          <w:bCs w:val="0"/>
          <w:lang w:val="en-US"/>
        </w:rPr>
        <w:t>:</w:t>
      </w:r>
      <w:r>
        <w:rPr>
          <w:b w:val="0"/>
          <w:bCs w:val="0"/>
          <w:lang w:val="en-US"/>
        </w:rPr>
        <w:t xml:space="preserve"> </w:t>
      </w:r>
      <w:r w:rsidR="00900459">
        <w:rPr>
          <w:b w:val="0"/>
          <w:bCs w:val="0"/>
          <w:lang w:val="en-US"/>
        </w:rPr>
        <w:t>S</w:t>
      </w:r>
      <w:r>
        <w:rPr>
          <w:b w:val="0"/>
          <w:bCs w:val="0"/>
          <w:lang w:val="en-US"/>
        </w:rPr>
        <w:t xml:space="preserve">ection </w:t>
      </w:r>
      <w:r w:rsidR="00900459">
        <w:rPr>
          <w:b w:val="0"/>
          <w:bCs w:val="0"/>
          <w:lang w:val="en-US"/>
        </w:rPr>
        <w:t xml:space="preserve">2 </w:t>
      </w:r>
      <w:r>
        <w:rPr>
          <w:b w:val="0"/>
          <w:bCs w:val="0"/>
          <w:lang w:val="en-US"/>
        </w:rPr>
        <w:t xml:space="preserve">are examples of how different </w:t>
      </w:r>
      <w:r w:rsidRPr="00827D60">
        <w:rPr>
          <w:b w:val="0"/>
          <w:bCs w:val="0"/>
          <w:vertAlign w:val="superscript"/>
          <w:lang w:val="en-US"/>
        </w:rPr>
        <w:t>87</w:t>
      </w:r>
      <w:r>
        <w:rPr>
          <w:b w:val="0"/>
          <w:bCs w:val="0"/>
          <w:lang w:val="en-US"/>
        </w:rPr>
        <w:t>Sr:</w:t>
      </w:r>
      <w:r w:rsidRPr="00827D60">
        <w:rPr>
          <w:b w:val="0"/>
          <w:bCs w:val="0"/>
          <w:vertAlign w:val="superscript"/>
          <w:lang w:val="en-US"/>
        </w:rPr>
        <w:t>86</w:t>
      </w:r>
      <w:r>
        <w:rPr>
          <w:b w:val="0"/>
          <w:bCs w:val="0"/>
          <w:lang w:val="en-US"/>
        </w:rPr>
        <w:t>Sr ratios based on different units (umole/ml or ug/ml) are related.</w:t>
      </w:r>
    </w:p>
    <w:p w14:paraId="704C2F14" w14:textId="77777777" w:rsidR="00FE1639" w:rsidRPr="00BC76FD" w:rsidRDefault="00FE1639" w:rsidP="002631CE">
      <w:pPr>
        <w:pStyle w:val="pf0"/>
        <w:spacing w:before="0" w:beforeAutospacing="0" w:after="3" w:afterAutospacing="0" w:line="473" w:lineRule="auto"/>
        <w:ind w:right="144" w:firstLine="720"/>
        <w:jc w:val="both"/>
      </w:pPr>
      <w:r w:rsidRPr="00BC76FD">
        <w:t xml:space="preserve">Delta values are therefore a ratio of ratios. Positive values denote higher ratios (relatively more enriched for the ratio numerator compared to the standard reference material); negative values denote lower ratios (relatively more depleted for the ratio numerator compared to the standard reference material). For example, a </w:t>
      </w:r>
      <w:r w:rsidRPr="00BC76FD">
        <w:rPr>
          <w:vertAlign w:val="superscript"/>
        </w:rPr>
        <w:t>15</w:t>
      </w:r>
      <w:r w:rsidRPr="00BC76FD">
        <w:t>N:</w:t>
      </w:r>
      <w:r w:rsidRPr="00BC76FD">
        <w:rPr>
          <w:vertAlign w:val="superscript"/>
        </w:rPr>
        <w:t>14</w:t>
      </w:r>
      <w:r w:rsidRPr="00BC76FD">
        <w:t>N ratio of 0.0036</w:t>
      </w:r>
      <w:r>
        <w:t>76</w:t>
      </w:r>
      <w:r w:rsidRPr="00BC76FD">
        <w:t xml:space="preserve"> would have a delta value of zero since the ratio of the atmosphere (0.0036</w:t>
      </w:r>
      <w:r>
        <w:t>76</w:t>
      </w:r>
      <w:r w:rsidRPr="00BC76FD">
        <w:t xml:space="preserve">) is used as a </w:t>
      </w:r>
      <w:r w:rsidRPr="00DC1D0A">
        <w:t>standard (</w:t>
      </w:r>
      <w:r w:rsidRPr="00DC1D0A">
        <w:rPr>
          <w:i/>
          <w:iCs/>
          <w:lang w:val="en"/>
        </w:rPr>
        <w:t>δ</w:t>
      </w:r>
      <w:r w:rsidRPr="00DC1D0A">
        <w:rPr>
          <w:lang w:val="en"/>
        </w:rPr>
        <w:t>N = [(</w:t>
      </w:r>
      <w:r w:rsidRPr="00DC1D0A">
        <w:rPr>
          <w:i/>
          <w:iCs/>
          <w:lang w:val="en"/>
        </w:rPr>
        <w:t>R</w:t>
      </w:r>
      <w:r w:rsidRPr="00DC1D0A">
        <w:rPr>
          <w:lang w:val="en"/>
        </w:rPr>
        <w:t>sample/</w:t>
      </w:r>
      <w:r w:rsidRPr="00DC1D0A">
        <w:rPr>
          <w:i/>
          <w:iCs/>
          <w:lang w:val="en"/>
        </w:rPr>
        <w:t>R</w:t>
      </w:r>
      <w:r w:rsidRPr="00DC1D0A">
        <w:rPr>
          <w:lang w:val="en"/>
        </w:rPr>
        <w:t>standard) − 1] × 100</w:t>
      </w:r>
      <w:r>
        <w:rPr>
          <w:lang w:val="en"/>
        </w:rPr>
        <w:t>0</w:t>
      </w:r>
      <w:r w:rsidRPr="00DC1D0A">
        <w:rPr>
          <w:lang w:val="en"/>
        </w:rPr>
        <w:t xml:space="preserve"> = 0, as </w:t>
      </w:r>
      <w:r w:rsidRPr="00DC1D0A">
        <w:rPr>
          <w:i/>
          <w:iCs/>
          <w:lang w:val="en"/>
        </w:rPr>
        <w:t>R</w:t>
      </w:r>
      <w:r w:rsidRPr="00DC1D0A">
        <w:rPr>
          <w:lang w:val="en"/>
        </w:rPr>
        <w:t xml:space="preserve">sample = </w:t>
      </w:r>
      <w:r w:rsidRPr="00DC1D0A">
        <w:rPr>
          <w:i/>
          <w:iCs/>
          <w:lang w:val="en"/>
        </w:rPr>
        <w:t>R</w:t>
      </w:r>
      <w:r w:rsidRPr="00DC1D0A">
        <w:rPr>
          <w:lang w:val="en"/>
        </w:rPr>
        <w:t>standard (atmosphere) = 0.0036</w:t>
      </w:r>
      <w:r>
        <w:rPr>
          <w:lang w:val="en"/>
        </w:rPr>
        <w:t>76)</w:t>
      </w:r>
      <w:r w:rsidRPr="00DC1D0A">
        <w:rPr>
          <w:lang w:val="en"/>
        </w:rPr>
        <w:t>.</w:t>
      </w:r>
      <w:r w:rsidRPr="00BC76FD">
        <w:t xml:space="preserve"> A </w:t>
      </w:r>
      <w:r w:rsidRPr="00BC76FD">
        <w:rPr>
          <w:vertAlign w:val="superscript"/>
        </w:rPr>
        <w:t>15</w:t>
      </w:r>
      <w:r w:rsidRPr="00BC76FD">
        <w:t>N:</w:t>
      </w:r>
      <w:r w:rsidRPr="00BC76FD">
        <w:rPr>
          <w:vertAlign w:val="superscript"/>
        </w:rPr>
        <w:t>14</w:t>
      </w:r>
      <w:r w:rsidRPr="00BC76FD">
        <w:t xml:space="preserve">N ratio of 0.003850 would have a delta value of </w:t>
      </w:r>
      <w:r>
        <w:t>47.33</w:t>
      </w:r>
      <w:r w:rsidRPr="00BC76FD">
        <w:t>.</w:t>
      </w:r>
    </w:p>
    <w:p w14:paraId="35B70FFF" w14:textId="77777777" w:rsidR="00FE1639" w:rsidRPr="00BC76FD" w:rsidRDefault="00FE1639" w:rsidP="002631CE">
      <w:pPr>
        <w:pStyle w:val="pf0"/>
        <w:spacing w:before="0" w:beforeAutospacing="0" w:after="3" w:afterAutospacing="0" w:line="473" w:lineRule="auto"/>
        <w:ind w:right="144" w:firstLine="720"/>
        <w:jc w:val="both"/>
      </w:pPr>
      <w:r w:rsidRPr="00BC76FD">
        <w:t xml:space="preserve">This convention likely developed because isotope ratio mass spectrometers measure </w:t>
      </w:r>
      <w:r w:rsidRPr="00BC76FD">
        <w:rPr>
          <w:i/>
          <w:iCs/>
        </w:rPr>
        <w:t>relative</w:t>
      </w:r>
      <w:r w:rsidRPr="00BC76FD">
        <w:t xml:space="preserve"> isotopic ratios much better than </w:t>
      </w:r>
      <w:r w:rsidRPr="00BC76FD">
        <w:rPr>
          <w:i/>
          <w:iCs/>
        </w:rPr>
        <w:t>actual</w:t>
      </w:r>
      <w:r w:rsidRPr="00BC76FD">
        <w:t xml:space="preserve"> ratios. By comparing to a standard, the precision of data values is much better since all values are relative to a given value. If the ratio for both a sample and standard are overestimated (or underestimated) by the same relative amount, then dividing the two values will account for this</w:t>
      </w:r>
      <w:r>
        <w:t xml:space="preserve"> inaccuracy</w:t>
      </w:r>
      <w:r w:rsidRPr="00BC76FD">
        <w:t xml:space="preserve">, </w:t>
      </w:r>
      <w:r>
        <w:t xml:space="preserve">thus </w:t>
      </w:r>
      <w:r w:rsidRPr="00BC76FD">
        <w:t>making it possible to compare δ</w:t>
      </w:r>
      <w:r w:rsidRPr="00BC76FD">
        <w:rPr>
          <w:vertAlign w:val="superscript"/>
        </w:rPr>
        <w:t xml:space="preserve"> </w:t>
      </w:r>
      <w:r w:rsidRPr="00BC76FD">
        <w:t xml:space="preserve">values among laboratories around the world. For example, if both an atmospheric standard and a </w:t>
      </w:r>
      <w:r w:rsidRPr="00BC76FD">
        <w:lastRenderedPageBreak/>
        <w:t xml:space="preserve">sample </w:t>
      </w:r>
      <w:r w:rsidRPr="00BC76FD">
        <w:rPr>
          <w:vertAlign w:val="superscript"/>
        </w:rPr>
        <w:t>15</w:t>
      </w:r>
      <w:r w:rsidRPr="00BC76FD">
        <w:t>N:</w:t>
      </w:r>
      <w:r w:rsidRPr="00BC76FD">
        <w:rPr>
          <w:vertAlign w:val="superscript"/>
        </w:rPr>
        <w:t>14</w:t>
      </w:r>
      <w:r w:rsidRPr="00BC76FD">
        <w:t>N ratio were both overestimated (0.003850 and 0.003850) the delta value for the sample would still be zero.</w:t>
      </w:r>
    </w:p>
    <w:p w14:paraId="4AED7BAF" w14:textId="366BEFC4" w:rsidR="00FE1639" w:rsidRPr="00BC76FD" w:rsidRDefault="00FE1639" w:rsidP="002631CE">
      <w:pPr>
        <w:pStyle w:val="Newparagraph"/>
        <w:spacing w:after="3" w:line="473" w:lineRule="auto"/>
        <w:ind w:right="144"/>
        <w:jc w:val="both"/>
        <w:rPr>
          <w:lang w:val="en-US"/>
        </w:rPr>
      </w:pPr>
      <w:r w:rsidRPr="00BC76FD">
        <w:rPr>
          <w:lang w:val="en-US"/>
        </w:rPr>
        <w:t>Commonly used isotopic ratio expressions can be algebraically converted to simple ratios</w:t>
      </w:r>
      <w:r>
        <w:rPr>
          <w:lang w:val="en-US"/>
        </w:rPr>
        <w:t>.</w:t>
      </w:r>
      <w:r w:rsidRPr="00BC76FD">
        <w:rPr>
          <w:lang w:val="en-US"/>
        </w:rPr>
        <w:t xml:space="preserve"> For some elements evaluated in isotopic studies, the actual isotopic ratio (for example </w:t>
      </w:r>
      <w:r w:rsidRPr="00BC76FD">
        <w:rPr>
          <w:vertAlign w:val="superscript"/>
          <w:lang w:val="en-US"/>
        </w:rPr>
        <w:t>87</w:t>
      </w:r>
      <w:r w:rsidRPr="00BC76FD">
        <w:rPr>
          <w:lang w:val="en-US"/>
        </w:rPr>
        <w:t>Sr:</w:t>
      </w:r>
      <w:r w:rsidRPr="00BC76FD">
        <w:rPr>
          <w:vertAlign w:val="superscript"/>
          <w:lang w:val="en-US"/>
        </w:rPr>
        <w:t>86</w:t>
      </w:r>
      <w:r w:rsidRPr="00BC76FD">
        <w:rPr>
          <w:lang w:val="en-US"/>
        </w:rPr>
        <w:t xml:space="preserve">Sr), rather than a ratio-based expression is used. To simplify presentations for statisticians that are not familiar with delta notation, we have used isotopic </w:t>
      </w:r>
      <w:r w:rsidRPr="00BC76FD">
        <w:rPr>
          <w:vertAlign w:val="superscript"/>
          <w:lang w:val="en-US"/>
        </w:rPr>
        <w:t>87</w:t>
      </w:r>
      <w:r w:rsidRPr="00BC76FD">
        <w:rPr>
          <w:lang w:val="en-US"/>
        </w:rPr>
        <w:t>Sr:</w:t>
      </w:r>
      <w:r w:rsidRPr="00BC76FD">
        <w:rPr>
          <w:vertAlign w:val="superscript"/>
          <w:lang w:val="en-US"/>
        </w:rPr>
        <w:t>86</w:t>
      </w:r>
      <w:r w:rsidRPr="00BC76FD">
        <w:rPr>
          <w:lang w:val="en-US"/>
        </w:rPr>
        <w:t xml:space="preserve">Sr ratios for </w:t>
      </w:r>
      <w:r w:rsidR="00153DC8">
        <w:rPr>
          <w:lang w:val="en-US"/>
        </w:rPr>
        <w:t xml:space="preserve">the </w:t>
      </w:r>
      <w:r w:rsidRPr="00BC76FD">
        <w:rPr>
          <w:lang w:val="en-US"/>
        </w:rPr>
        <w:t>introductory examples in this report.</w:t>
      </w:r>
    </w:p>
    <w:p w14:paraId="13AEBE72" w14:textId="01B94CC8" w:rsidR="00FE1639" w:rsidRPr="00BC76FD" w:rsidRDefault="00FE1639" w:rsidP="002631CE">
      <w:pPr>
        <w:pStyle w:val="Newparagraph"/>
        <w:spacing w:after="3" w:line="473" w:lineRule="auto"/>
        <w:ind w:right="144"/>
        <w:jc w:val="both"/>
        <w:rPr>
          <w:lang w:val="en-US" w:eastAsia="ja-JP"/>
        </w:rPr>
      </w:pPr>
      <w:r w:rsidRPr="00BC76FD">
        <w:rPr>
          <w:lang w:val="en-US" w:eastAsia="ja-JP"/>
        </w:rPr>
        <w:t>Isotopic ratios serve as a proxy for past climates (Shack</w:t>
      </w:r>
      <w:r>
        <w:rPr>
          <w:lang w:val="en-US" w:eastAsia="ja-JP"/>
        </w:rPr>
        <w:t>le</w:t>
      </w:r>
      <w:r w:rsidRPr="00BC76FD">
        <w:rPr>
          <w:lang w:val="en-US" w:eastAsia="ja-JP"/>
        </w:rPr>
        <w:t>ton et al. 1987;</w:t>
      </w:r>
      <w:r w:rsidRPr="00BC76FD">
        <w:rPr>
          <w:rStyle w:val="e24kjd"/>
          <w:rFonts w:asciiTheme="majorBidi" w:hAnsiTheme="majorBidi" w:cstheme="majorBidi"/>
          <w:lang w:val="en-US"/>
        </w:rPr>
        <w:t xml:space="preserve"> Banner et al. 1996;</w:t>
      </w:r>
      <w:r w:rsidRPr="00BC76FD">
        <w:rPr>
          <w:lang w:val="en-US" w:eastAsia="ja-JP"/>
        </w:rPr>
        <w:t xml:space="preserve"> O’Reilly et al. 2003; Li et al. 2005; Sundquist 2007; Zhou et al. 2009), and </w:t>
      </w:r>
      <w:r w:rsidRPr="00BC76FD">
        <w:rPr>
          <w:rStyle w:val="e24kjd"/>
          <w:rFonts w:asciiTheme="majorBidi" w:hAnsiTheme="majorBidi" w:cstheme="majorBidi"/>
          <w:lang w:val="en-US"/>
        </w:rPr>
        <w:t>are widely used as tracers in archaeological (Ericson 1985; Grupe et al.19</w:t>
      </w:r>
      <w:r>
        <w:rPr>
          <w:rStyle w:val="e24kjd"/>
          <w:rFonts w:asciiTheme="majorBidi" w:hAnsiTheme="majorBidi" w:cstheme="majorBidi"/>
          <w:lang w:val="en-US"/>
        </w:rPr>
        <w:t>9</w:t>
      </w:r>
      <w:r w:rsidRPr="00BC76FD">
        <w:rPr>
          <w:rStyle w:val="e24kjd"/>
          <w:rFonts w:asciiTheme="majorBidi" w:hAnsiTheme="majorBidi" w:cstheme="majorBidi"/>
          <w:lang w:val="en-US"/>
        </w:rPr>
        <w:t>7; Bentl</w:t>
      </w:r>
      <w:r>
        <w:rPr>
          <w:rStyle w:val="e24kjd"/>
          <w:rFonts w:asciiTheme="majorBidi" w:hAnsiTheme="majorBidi" w:cstheme="majorBidi"/>
          <w:lang w:val="en-US"/>
        </w:rPr>
        <w:t>e</w:t>
      </w:r>
      <w:r w:rsidRPr="00BC76FD">
        <w:rPr>
          <w:rStyle w:val="e24kjd"/>
          <w:rFonts w:asciiTheme="majorBidi" w:hAnsiTheme="majorBidi" w:cstheme="majorBidi"/>
          <w:lang w:val="en-US"/>
        </w:rPr>
        <w:t xml:space="preserve">y 2006; Montgomery </w:t>
      </w:r>
      <w:r>
        <w:rPr>
          <w:rStyle w:val="e24kjd"/>
          <w:rFonts w:asciiTheme="majorBidi" w:hAnsiTheme="majorBidi" w:cstheme="majorBidi"/>
          <w:lang w:val="en-US"/>
        </w:rPr>
        <w:t>and Evans</w:t>
      </w:r>
      <w:r w:rsidRPr="00BC76FD">
        <w:rPr>
          <w:rStyle w:val="e24kjd"/>
          <w:rFonts w:asciiTheme="majorBidi" w:hAnsiTheme="majorBidi" w:cstheme="majorBidi"/>
          <w:lang w:val="en-US"/>
        </w:rPr>
        <w:t xml:space="preserve"> 2006; Katzenberg 2008; Reitsema et al. 2013), ecological (Gannes et al. 1998; Crawford et al. 2008; Inger and Bearhop 2008), geological (</w:t>
      </w:r>
      <w:r w:rsidRPr="00BC76FD">
        <w:rPr>
          <w:rFonts w:asciiTheme="majorBidi" w:hAnsiTheme="majorBidi" w:cstheme="majorBidi"/>
          <w:lang w:val="en-US"/>
        </w:rPr>
        <w:t>Faure</w:t>
      </w:r>
      <w:r w:rsidRPr="00BC76FD">
        <w:rPr>
          <w:rStyle w:val="e24kjd"/>
          <w:rFonts w:asciiTheme="majorBidi" w:hAnsiTheme="majorBidi" w:cstheme="majorBidi"/>
          <w:lang w:val="en-US"/>
        </w:rPr>
        <w:t xml:space="preserve"> 1986; Banner et al. 1989; Banner and Hanson 1990), and plant or animal physiological processes (Smith and Epstein 1970; Ehleringer et al. 1993; Jackson et al. 1993; Gannes et al. 1998; Reitsema et al. 2013). Since stable mass isotopes are not radioactive, and thus safe, they are often used in field studies, most often nitrogen experiments (Sanchez et al. 1992; Sandrock et al. 2005), to evaluate how an added element is distributed in a system. If the isotopic ratio of added material (for example </w:t>
      </w:r>
      <w:r w:rsidRPr="00BC76FD">
        <w:rPr>
          <w:rStyle w:val="e24kjd"/>
          <w:rFonts w:asciiTheme="majorBidi" w:hAnsiTheme="majorBidi" w:cstheme="majorBidi"/>
          <w:vertAlign w:val="superscript"/>
          <w:lang w:val="en-US"/>
        </w:rPr>
        <w:t>15</w:t>
      </w:r>
      <w:r w:rsidRPr="00BC76FD">
        <w:rPr>
          <w:rStyle w:val="e24kjd"/>
          <w:rFonts w:asciiTheme="majorBidi" w:hAnsiTheme="majorBidi" w:cstheme="majorBidi"/>
          <w:lang w:val="en-US"/>
        </w:rPr>
        <w:t>N:</w:t>
      </w:r>
      <w:r w:rsidRPr="00BC76FD">
        <w:rPr>
          <w:rStyle w:val="e24kjd"/>
          <w:rFonts w:asciiTheme="majorBidi" w:hAnsiTheme="majorBidi" w:cstheme="majorBidi"/>
          <w:vertAlign w:val="superscript"/>
          <w:lang w:val="en-US"/>
        </w:rPr>
        <w:t>14</w:t>
      </w:r>
      <w:r w:rsidRPr="00BC76FD">
        <w:rPr>
          <w:rStyle w:val="e24kjd"/>
          <w:rFonts w:asciiTheme="majorBidi" w:hAnsiTheme="majorBidi" w:cstheme="majorBidi"/>
          <w:lang w:val="en-US"/>
        </w:rPr>
        <w:t xml:space="preserve">N) is different than the </w:t>
      </w:r>
      <w:r w:rsidRPr="00BC76FD">
        <w:rPr>
          <w:rStyle w:val="e24kjd"/>
          <w:rFonts w:asciiTheme="majorBidi" w:hAnsiTheme="majorBidi" w:cstheme="majorBidi"/>
          <w:vertAlign w:val="superscript"/>
          <w:lang w:val="en-US"/>
        </w:rPr>
        <w:t>15</w:t>
      </w:r>
      <w:r w:rsidRPr="00BC76FD">
        <w:rPr>
          <w:rStyle w:val="e24kjd"/>
          <w:rFonts w:asciiTheme="majorBidi" w:hAnsiTheme="majorBidi" w:cstheme="majorBidi"/>
          <w:lang w:val="en-US"/>
        </w:rPr>
        <w:t>N:</w:t>
      </w:r>
      <w:r w:rsidRPr="00BC76FD">
        <w:rPr>
          <w:rStyle w:val="e24kjd"/>
          <w:rFonts w:asciiTheme="majorBidi" w:hAnsiTheme="majorBidi" w:cstheme="majorBidi"/>
          <w:vertAlign w:val="superscript"/>
          <w:lang w:val="en-US"/>
        </w:rPr>
        <w:t>14</w:t>
      </w:r>
      <w:r w:rsidRPr="00BC76FD">
        <w:rPr>
          <w:rStyle w:val="e24kjd"/>
          <w:rFonts w:asciiTheme="majorBidi" w:hAnsiTheme="majorBidi" w:cstheme="majorBidi"/>
          <w:lang w:val="en-US"/>
        </w:rPr>
        <w:t>N</w:t>
      </w:r>
      <w:r w:rsidRPr="00BC76FD">
        <w:rPr>
          <w:rStyle w:val="e24kjd"/>
          <w:rFonts w:asciiTheme="majorBidi" w:hAnsiTheme="majorBidi" w:cstheme="majorBidi"/>
          <w:vertAlign w:val="superscript"/>
          <w:lang w:val="en-US"/>
        </w:rPr>
        <w:t xml:space="preserve"> </w:t>
      </w:r>
      <w:r w:rsidRPr="00BC76FD">
        <w:rPr>
          <w:rStyle w:val="e24kjd"/>
          <w:rFonts w:asciiTheme="majorBidi" w:hAnsiTheme="majorBidi" w:cstheme="majorBidi"/>
          <w:lang w:val="en-US"/>
        </w:rPr>
        <w:t>isotopic ratio for an existing system, standard formulas can be used to estimate the portion of total element that is derived from the added material for a sample being analyzed (</w:t>
      </w:r>
      <w:r w:rsidRPr="00BC76FD">
        <w:rPr>
          <w:lang w:val="en-US"/>
        </w:rPr>
        <w:t>Supplemental Material:</w:t>
      </w:r>
      <w:r>
        <w:rPr>
          <w:lang w:val="en-US"/>
        </w:rPr>
        <w:t xml:space="preserve"> Section </w:t>
      </w:r>
      <w:r w:rsidR="00DE415B">
        <w:rPr>
          <w:lang w:val="en-US"/>
        </w:rPr>
        <w:t>3</w:t>
      </w:r>
      <w:r>
        <w:rPr>
          <w:lang w:val="en-US"/>
        </w:rPr>
        <w:t>,</w:t>
      </w:r>
      <w:r w:rsidRPr="00BC76FD">
        <w:rPr>
          <w:lang w:val="en-US"/>
        </w:rPr>
        <w:t xml:space="preserve"> </w:t>
      </w:r>
      <w:r w:rsidRPr="00BC76FD">
        <w:rPr>
          <w:lang w:val="en-US" w:eastAsia="ja-JP"/>
        </w:rPr>
        <w:t xml:space="preserve">Formulas for converting isotopic ratios to portion of total element derived from a source). For example, the portion of N derived from fertilizer (NDFF) can be determined for different tissues in a fruit tree (flower buds, flowers, leaves, branches, roots, structural wood) (Sanchez et al. 1992). </w:t>
      </w:r>
    </w:p>
    <w:p w14:paraId="31CCD509" w14:textId="11476869" w:rsidR="00FE1639" w:rsidRPr="00BC76FD" w:rsidRDefault="00FE1639" w:rsidP="002631CE">
      <w:pPr>
        <w:pStyle w:val="Newparagraph"/>
        <w:spacing w:after="3" w:line="473" w:lineRule="auto"/>
        <w:ind w:right="144"/>
        <w:jc w:val="both"/>
        <w:rPr>
          <w:rStyle w:val="e24kjd"/>
          <w:rFonts w:asciiTheme="majorBidi" w:hAnsiTheme="majorBidi" w:cstheme="majorBidi"/>
          <w:lang w:val="en-US"/>
        </w:rPr>
      </w:pPr>
      <w:r w:rsidRPr="00BC76FD">
        <w:rPr>
          <w:lang w:val="en-US" w:eastAsia="ja-JP"/>
        </w:rPr>
        <w:lastRenderedPageBreak/>
        <w:t>The fate of N added to an ecosystem, either naturally, as in migrating salmon (Bilby et al. 1996), or anthropogenically, as in the application of fertilizer or waste, (</w:t>
      </w:r>
      <w:r w:rsidRPr="00BC76FD">
        <w:rPr>
          <w:rStyle w:val="e24kjd"/>
          <w:rFonts w:asciiTheme="majorBidi" w:hAnsiTheme="majorBidi" w:cstheme="majorBidi"/>
          <w:lang w:val="en-US"/>
        </w:rPr>
        <w:t>Sanchez et al. 1992; Sara et al. 2004; Sandrock et al. 2005</w:t>
      </w:r>
      <w:r w:rsidRPr="00BC76FD">
        <w:rPr>
          <w:lang w:val="en-US" w:eastAsia="ja-JP"/>
        </w:rPr>
        <w:t xml:space="preserve">) can also be determined (such as detection of added N in vegetation, animals, soil organic matter, streams, </w:t>
      </w:r>
      <w:r w:rsidR="00E55CF9" w:rsidRPr="00BC76FD">
        <w:rPr>
          <w:lang w:val="en-US" w:eastAsia="ja-JP"/>
        </w:rPr>
        <w:t>ponds,</w:t>
      </w:r>
      <w:r w:rsidRPr="00BC76FD">
        <w:rPr>
          <w:lang w:val="en-US" w:eastAsia="ja-JP"/>
        </w:rPr>
        <w:t xml:space="preserve"> and groundwater). </w:t>
      </w:r>
      <w:r w:rsidRPr="00BC76FD">
        <w:rPr>
          <w:rStyle w:val="e24kjd"/>
          <w:rFonts w:asciiTheme="majorBidi" w:hAnsiTheme="majorBidi" w:cstheme="majorBidi"/>
          <w:lang w:val="en-US"/>
        </w:rPr>
        <w:t xml:space="preserve">Nitrogen isotopes are also used to identify trophic levels (herbivores, omnivores, </w:t>
      </w:r>
      <w:r w:rsidR="00E55CF9" w:rsidRPr="00BC76FD">
        <w:rPr>
          <w:rStyle w:val="e24kjd"/>
          <w:rFonts w:asciiTheme="majorBidi" w:hAnsiTheme="majorBidi" w:cstheme="majorBidi"/>
          <w:lang w:val="en-US"/>
        </w:rPr>
        <w:t>predators,</w:t>
      </w:r>
      <w:r w:rsidRPr="00BC76FD">
        <w:rPr>
          <w:rStyle w:val="e24kjd"/>
          <w:rFonts w:asciiTheme="majorBidi" w:hAnsiTheme="majorBidi" w:cstheme="majorBidi"/>
          <w:lang w:val="en-US"/>
        </w:rPr>
        <w:t xml:space="preserve"> and apex predators) among various species (Gilbert and Rasmussen 1994</w:t>
      </w:r>
      <w:r w:rsidRPr="00BC76FD">
        <w:rPr>
          <w:lang w:val="en-US" w:eastAsia="ja-JP"/>
        </w:rPr>
        <w:t>; Villamarin et al. 2018; Jacobi et al. 2020; McGarvey et al. 2020</w:t>
      </w:r>
      <w:r w:rsidRPr="00BC76FD">
        <w:rPr>
          <w:rStyle w:val="e24kjd"/>
          <w:rFonts w:asciiTheme="majorBidi" w:hAnsiTheme="majorBidi" w:cstheme="majorBidi"/>
          <w:lang w:val="en-US"/>
        </w:rPr>
        <w:t xml:space="preserve">). Carbon isotope studies can often differentiate between terrestrial and aquatic sources of carbon for distinct groups of organisms (Finlay 2001). The </w:t>
      </w:r>
      <w:r w:rsidRPr="00BC76FD">
        <w:rPr>
          <w:rStyle w:val="e24kjd"/>
          <w:rFonts w:asciiTheme="majorBidi" w:hAnsiTheme="majorBidi" w:cstheme="majorBidi"/>
          <w:vertAlign w:val="superscript"/>
          <w:lang w:val="en-US"/>
        </w:rPr>
        <w:t>13</w:t>
      </w:r>
      <w:r w:rsidRPr="00BC76FD">
        <w:rPr>
          <w:rStyle w:val="e24kjd"/>
          <w:rFonts w:asciiTheme="majorBidi" w:hAnsiTheme="majorBidi" w:cstheme="majorBidi"/>
          <w:lang w:val="en-US"/>
        </w:rPr>
        <w:t>C:</w:t>
      </w:r>
      <w:r w:rsidRPr="00BC76FD">
        <w:rPr>
          <w:rStyle w:val="e24kjd"/>
          <w:rFonts w:asciiTheme="majorBidi" w:hAnsiTheme="majorBidi" w:cstheme="majorBidi"/>
          <w:vertAlign w:val="superscript"/>
          <w:lang w:val="en-US"/>
        </w:rPr>
        <w:t>12</w:t>
      </w:r>
      <w:r w:rsidRPr="00BC76FD">
        <w:rPr>
          <w:rStyle w:val="e24kjd"/>
          <w:rFonts w:asciiTheme="majorBidi" w:hAnsiTheme="majorBidi" w:cstheme="majorBidi"/>
          <w:lang w:val="en-US"/>
        </w:rPr>
        <w:t xml:space="preserve">C ratio of sediments on Earth is relatively depleted in </w:t>
      </w:r>
      <w:r w:rsidRPr="00BC76FD">
        <w:rPr>
          <w:rStyle w:val="e24kjd"/>
          <w:rFonts w:asciiTheme="majorBidi" w:hAnsiTheme="majorBidi" w:cstheme="majorBidi"/>
          <w:vertAlign w:val="superscript"/>
          <w:lang w:val="en-US"/>
        </w:rPr>
        <w:t>13</w:t>
      </w:r>
      <w:r w:rsidRPr="00BC76FD">
        <w:rPr>
          <w:rStyle w:val="e24kjd"/>
          <w:rFonts w:asciiTheme="majorBidi" w:hAnsiTheme="majorBidi" w:cstheme="majorBidi"/>
          <w:lang w:val="en-US"/>
        </w:rPr>
        <w:t xml:space="preserve">C (House et al. 2022), likely caused by biological methane production. This has led to searches for depleted </w:t>
      </w:r>
      <w:r w:rsidRPr="00BC76FD">
        <w:rPr>
          <w:rStyle w:val="e24kjd"/>
          <w:rFonts w:asciiTheme="majorBidi" w:hAnsiTheme="majorBidi" w:cstheme="majorBidi"/>
          <w:vertAlign w:val="superscript"/>
          <w:lang w:val="en-US"/>
        </w:rPr>
        <w:t>13</w:t>
      </w:r>
      <w:r w:rsidRPr="00BC76FD">
        <w:rPr>
          <w:rStyle w:val="e24kjd"/>
          <w:rFonts w:asciiTheme="majorBidi" w:hAnsiTheme="majorBidi" w:cstheme="majorBidi"/>
          <w:lang w:val="en-US"/>
        </w:rPr>
        <w:t>C:</w:t>
      </w:r>
      <w:r w:rsidRPr="00BC76FD">
        <w:rPr>
          <w:rStyle w:val="e24kjd"/>
          <w:rFonts w:asciiTheme="majorBidi" w:hAnsiTheme="majorBidi" w:cstheme="majorBidi"/>
          <w:vertAlign w:val="superscript"/>
          <w:lang w:val="en-US"/>
        </w:rPr>
        <w:t>12</w:t>
      </w:r>
      <w:r w:rsidRPr="00BC76FD">
        <w:rPr>
          <w:rStyle w:val="e24kjd"/>
          <w:rFonts w:asciiTheme="majorBidi" w:hAnsiTheme="majorBidi" w:cstheme="majorBidi"/>
          <w:lang w:val="en-US"/>
        </w:rPr>
        <w:t>C ratios in sediments on Mars as evidence of past life (House et al. 2022). Oxygen isotopes in sediments or ice cores are especially sensitive to changes in past temperature (Shackleton 1987).</w:t>
      </w:r>
    </w:p>
    <w:p w14:paraId="1A1587E6" w14:textId="7B416906" w:rsidR="00FE1639" w:rsidRPr="00BC76FD" w:rsidRDefault="00FE1639" w:rsidP="002631CE">
      <w:pPr>
        <w:spacing w:after="3" w:line="473" w:lineRule="auto"/>
        <w:ind w:right="144" w:firstLine="720"/>
        <w:jc w:val="both"/>
        <w:rPr>
          <w:lang w:val="en-US"/>
        </w:rPr>
      </w:pPr>
      <w:r w:rsidRPr="00BC76FD">
        <w:rPr>
          <w:lang w:val="en-US"/>
        </w:rPr>
        <w:t>Isotopic fractionation is an important concept. For example, the use of stable isotopic techniques to study animal diets and trophic levels often requires a priori estimates of the differences in isotopic composition between an animal and its diet (Caut et al. 2009). These differences are called discrimination or fractionation factors (Δ</w:t>
      </w:r>
      <w:r w:rsidRPr="00BC76FD">
        <w:rPr>
          <w:vertAlign w:val="superscript"/>
          <w:lang w:val="en-US"/>
        </w:rPr>
        <w:t>13</w:t>
      </w:r>
      <w:r w:rsidRPr="00BC76FD">
        <w:rPr>
          <w:lang w:val="en-US"/>
        </w:rPr>
        <w:t>C and Δ</w:t>
      </w:r>
      <w:r w:rsidRPr="00BC76FD">
        <w:rPr>
          <w:vertAlign w:val="superscript"/>
          <w:lang w:val="en-US"/>
        </w:rPr>
        <w:t>15</w:t>
      </w:r>
      <w:r w:rsidRPr="00BC76FD">
        <w:rPr>
          <w:lang w:val="en-US"/>
        </w:rPr>
        <w:t>N). Similar phenomena can occur with other physical or biochemical processes (Mobius 2013</w:t>
      </w:r>
      <w:r>
        <w:rPr>
          <w:lang w:val="en-US"/>
        </w:rPr>
        <w:t>;</w:t>
      </w:r>
      <w:r w:rsidRPr="00BC76FD">
        <w:rPr>
          <w:lang w:val="en-US"/>
        </w:rPr>
        <w:t xml:space="preserve"> </w:t>
      </w:r>
      <w:r w:rsidR="0050073F">
        <w:rPr>
          <w:lang w:val="en-US"/>
        </w:rPr>
        <w:t>Lerch et al. 2011; Wang et al. 2015</w:t>
      </w:r>
      <w:r w:rsidRPr="00BC76FD">
        <w:rPr>
          <w:lang w:val="en-US"/>
        </w:rPr>
        <w:t xml:space="preserve">). In general, fractionation is defined as a separation process in which a mixture is divided into fractions (smaller distinct quantities). Isotopic fractionation refers to a situation where substrate and product fractions have different isotopic ratios. Fractionation hereafter refers to isotopic fractionation. </w:t>
      </w:r>
    </w:p>
    <w:p w14:paraId="59861CC3" w14:textId="04F45B3C" w:rsidR="00DE415B" w:rsidRPr="00FE1639" w:rsidRDefault="00FE1639" w:rsidP="002631CE">
      <w:pPr>
        <w:spacing w:after="3" w:line="473" w:lineRule="auto"/>
        <w:ind w:right="144" w:firstLine="720"/>
        <w:jc w:val="both"/>
        <w:rPr>
          <w:lang w:val="en-US"/>
        </w:rPr>
      </w:pPr>
      <w:r w:rsidRPr="00BC76FD">
        <w:rPr>
          <w:lang w:val="en-US"/>
        </w:rPr>
        <w:t xml:space="preserve">Fractionation </w:t>
      </w:r>
      <w:r>
        <w:rPr>
          <w:lang w:val="en-US"/>
        </w:rPr>
        <w:t>likely</w:t>
      </w:r>
      <w:r w:rsidRPr="00BC76FD">
        <w:rPr>
          <w:lang w:val="en-US"/>
        </w:rPr>
        <w:t xml:space="preserve"> occur</w:t>
      </w:r>
      <w:r>
        <w:rPr>
          <w:lang w:val="en-US"/>
        </w:rPr>
        <w:t>s</w:t>
      </w:r>
      <w:r w:rsidRPr="00BC76FD">
        <w:rPr>
          <w:lang w:val="en-US"/>
        </w:rPr>
        <w:t xml:space="preserve">. For example, fractionation </w:t>
      </w:r>
      <w:r>
        <w:rPr>
          <w:lang w:val="en-US"/>
        </w:rPr>
        <w:t>is the generally accepted explanation for</w:t>
      </w:r>
      <w:r w:rsidRPr="00BC76FD">
        <w:rPr>
          <w:lang w:val="en-US"/>
        </w:rPr>
        <w:t xml:space="preserve"> why soil organic matter is more enriched in </w:t>
      </w:r>
      <w:r w:rsidRPr="00BC76FD">
        <w:rPr>
          <w:vertAlign w:val="superscript"/>
          <w:lang w:val="en-US"/>
        </w:rPr>
        <w:t>15</w:t>
      </w:r>
      <w:r w:rsidRPr="00BC76FD">
        <w:rPr>
          <w:lang w:val="en-US"/>
        </w:rPr>
        <w:t xml:space="preserve">N than its atmospheric source (Mobius 2013). Thousands of years of N-cycle transformations that favor the loss of the lighter </w:t>
      </w:r>
      <w:r w:rsidRPr="00BC76FD">
        <w:rPr>
          <w:lang w:val="en-US"/>
        </w:rPr>
        <w:lastRenderedPageBreak/>
        <w:t xml:space="preserve">common isotope leave the heavy isotope behind, eventually creating these pool differences. Unfortunately, mathematical principles </w:t>
      </w:r>
      <w:r w:rsidR="00322354">
        <w:rPr>
          <w:lang w:val="en-US"/>
        </w:rPr>
        <w:t xml:space="preserve">presented in this report </w:t>
      </w:r>
      <w:r w:rsidRPr="00BC76FD">
        <w:rPr>
          <w:lang w:val="en-US"/>
        </w:rPr>
        <w:t xml:space="preserve">dictate that observed isotopic ratios will often not equal a source, even in systems with no fractionation. </w:t>
      </w:r>
    </w:p>
    <w:p w14:paraId="1A3988C3" w14:textId="77777777" w:rsidR="00DE415B" w:rsidRPr="00E255E3" w:rsidRDefault="00DE415B" w:rsidP="002631CE">
      <w:pPr>
        <w:pStyle w:val="Heading1"/>
        <w:spacing w:before="0" w:after="3" w:line="473" w:lineRule="auto"/>
        <w:ind w:right="144"/>
        <w:jc w:val="both"/>
        <w:rPr>
          <w:lang w:val="en-US" w:eastAsia="ja-JP"/>
        </w:rPr>
      </w:pPr>
      <w:r>
        <w:rPr>
          <w:lang w:val="en-US" w:eastAsia="ja-JP"/>
        </w:rPr>
        <w:t xml:space="preserve">2. </w:t>
      </w:r>
      <w:r w:rsidRPr="00E255E3">
        <w:rPr>
          <w:lang w:val="en-US" w:eastAsia="ja-JP"/>
        </w:rPr>
        <w:t>FORMULAS FOR CONVERTING ISOTOPIC RATIOS TO RATIO-BASED EXPRESSIONS</w:t>
      </w:r>
    </w:p>
    <w:p w14:paraId="2C406DA5" w14:textId="70BDBFA1" w:rsidR="00DE415B" w:rsidRPr="00E255E3" w:rsidRDefault="00DE415B" w:rsidP="002631CE">
      <w:pPr>
        <w:pStyle w:val="Paragraph"/>
        <w:spacing w:before="0" w:after="3" w:line="473" w:lineRule="auto"/>
        <w:ind w:right="144"/>
        <w:jc w:val="both"/>
        <w:rPr>
          <w:lang w:val="en-US"/>
        </w:rPr>
      </w:pPr>
      <w:r w:rsidRPr="00E255E3">
        <w:rPr>
          <w:lang w:val="en-US"/>
        </w:rPr>
        <w:t xml:space="preserve">The formula for calculating delta value notation is shown below. Stable isotope compositions are often expressed in terms of delta values (δ) in permil (‰), i.e., parts per thousand differences from a standard. They express the </w:t>
      </w:r>
      <w:r w:rsidR="00322354">
        <w:rPr>
          <w:lang w:val="en-US"/>
        </w:rPr>
        <w:t xml:space="preserve">relative </w:t>
      </w:r>
      <w:r w:rsidRPr="00E255E3">
        <w:rPr>
          <w:lang w:val="en-US"/>
        </w:rPr>
        <w:t xml:space="preserve">proportion of </w:t>
      </w:r>
      <w:r w:rsidR="00322354">
        <w:rPr>
          <w:lang w:val="en-US"/>
        </w:rPr>
        <w:t xml:space="preserve">the numerator of an </w:t>
      </w:r>
      <w:r w:rsidRPr="00E255E3">
        <w:rPr>
          <w:lang w:val="en-US"/>
        </w:rPr>
        <w:t>isotop</w:t>
      </w:r>
      <w:r w:rsidR="00322354">
        <w:rPr>
          <w:lang w:val="en-US"/>
        </w:rPr>
        <w:t>ic ratio</w:t>
      </w:r>
      <w:r w:rsidRPr="00E255E3">
        <w:rPr>
          <w:lang w:val="en-US"/>
        </w:rPr>
        <w:t xml:space="preserve"> that is in a sample. The values are expressed as: </w:t>
      </w:r>
    </w:p>
    <w:p w14:paraId="3EBB0D63" w14:textId="77777777" w:rsidR="00DE415B" w:rsidRPr="00E255E3" w:rsidRDefault="00DE415B" w:rsidP="002631CE">
      <w:pPr>
        <w:pStyle w:val="Displayedequation"/>
        <w:spacing w:before="0" w:after="3" w:line="473" w:lineRule="auto"/>
        <w:ind w:right="144"/>
        <w:jc w:val="both"/>
        <w:rPr>
          <w:lang w:val="en-US"/>
        </w:rPr>
      </w:pPr>
      <w:r w:rsidRPr="00E255E3">
        <w:rPr>
          <w:i/>
          <w:iCs/>
          <w:lang w:val="en-US"/>
        </w:rPr>
        <w:t>δX</w:t>
      </w:r>
      <w:r w:rsidRPr="00E255E3">
        <w:rPr>
          <w:lang w:val="en-US"/>
        </w:rPr>
        <w:t xml:space="preserve"> = [(</w:t>
      </w:r>
      <w:r w:rsidRPr="00E255E3">
        <w:rPr>
          <w:i/>
          <w:iCs/>
          <w:lang w:val="en-US"/>
        </w:rPr>
        <w:t>R</w:t>
      </w:r>
      <w:r w:rsidRPr="00E255E3">
        <w:rPr>
          <w:vertAlign w:val="subscript"/>
          <w:lang w:val="en-US"/>
        </w:rPr>
        <w:t>sample</w:t>
      </w:r>
      <w:r w:rsidRPr="00E255E3">
        <w:rPr>
          <w:lang w:val="en-US"/>
        </w:rPr>
        <w:t xml:space="preserve"> / </w:t>
      </w:r>
      <w:r w:rsidRPr="00E255E3">
        <w:rPr>
          <w:i/>
          <w:iCs/>
          <w:lang w:val="en-US"/>
        </w:rPr>
        <w:t>R</w:t>
      </w:r>
      <w:r w:rsidRPr="00E255E3">
        <w:rPr>
          <w:vertAlign w:val="subscript"/>
          <w:lang w:val="en-US"/>
        </w:rPr>
        <w:t>standard</w:t>
      </w:r>
      <w:r w:rsidRPr="00E255E3">
        <w:rPr>
          <w:lang w:val="en-US"/>
        </w:rPr>
        <w:t>) – 1] × 10</w:t>
      </w:r>
      <w:r w:rsidRPr="00E255E3">
        <w:rPr>
          <w:vertAlign w:val="superscript"/>
          <w:lang w:val="en-US"/>
        </w:rPr>
        <w:t>3</w:t>
      </w:r>
    </w:p>
    <w:p w14:paraId="28FD5C84" w14:textId="77777777" w:rsidR="00DE415B" w:rsidRDefault="00DE415B" w:rsidP="002631CE">
      <w:pPr>
        <w:pStyle w:val="Paragraph"/>
        <w:spacing w:before="0" w:after="3" w:line="473" w:lineRule="auto"/>
        <w:ind w:right="144"/>
        <w:jc w:val="both"/>
        <w:rPr>
          <w:lang w:val="en-US"/>
        </w:rPr>
      </w:pPr>
      <w:r w:rsidRPr="00E255E3">
        <w:rPr>
          <w:lang w:val="en-US"/>
        </w:rPr>
        <w:t xml:space="preserve">where X represents the isotope of interest (for example </w:t>
      </w:r>
      <w:r w:rsidRPr="00E255E3">
        <w:rPr>
          <w:vertAlign w:val="superscript"/>
          <w:lang w:val="en-US"/>
        </w:rPr>
        <w:t>13</w:t>
      </w:r>
      <w:r w:rsidRPr="00E255E3">
        <w:rPr>
          <w:lang w:val="en-US"/>
        </w:rPr>
        <w:t>C), and R</w:t>
      </w:r>
      <w:r w:rsidRPr="00E255E3">
        <w:rPr>
          <w:vertAlign w:val="subscript"/>
          <w:lang w:val="en-US"/>
        </w:rPr>
        <w:t>sample</w:t>
      </w:r>
      <w:r w:rsidRPr="00E255E3">
        <w:rPr>
          <w:lang w:val="en-US"/>
        </w:rPr>
        <w:t xml:space="preserve"> represents the observed ratio of the isotope of interest and its natural form (for example </w:t>
      </w:r>
      <w:r w:rsidRPr="00E255E3">
        <w:rPr>
          <w:vertAlign w:val="superscript"/>
          <w:lang w:val="en-US"/>
        </w:rPr>
        <w:t>13</w:t>
      </w:r>
      <w:r w:rsidRPr="00E255E3">
        <w:rPr>
          <w:lang w:val="en-US"/>
        </w:rPr>
        <w:t>C</w:t>
      </w:r>
      <w:r>
        <w:rPr>
          <w:lang w:val="en-US"/>
        </w:rPr>
        <w:t>:</w:t>
      </w:r>
      <w:r w:rsidRPr="00E255E3">
        <w:rPr>
          <w:vertAlign w:val="superscript"/>
          <w:lang w:val="en-US"/>
        </w:rPr>
        <w:t>12</w:t>
      </w:r>
      <w:r w:rsidRPr="00E255E3">
        <w:rPr>
          <w:lang w:val="en-US"/>
        </w:rPr>
        <w:t>C), and R</w:t>
      </w:r>
      <w:r w:rsidRPr="00E255E3">
        <w:rPr>
          <w:vertAlign w:val="subscript"/>
          <w:lang w:val="en-US"/>
        </w:rPr>
        <w:t>standard</w:t>
      </w:r>
      <w:r w:rsidRPr="00E255E3">
        <w:rPr>
          <w:lang w:val="en-US"/>
        </w:rPr>
        <w:t xml:space="preserve"> represents the ratio of a reference standard. The information below provides values for common standards and the formula for converting delta values to atom%. Atom% is defined as the amount of a specific isotope divided by the sum of all </w:t>
      </w:r>
      <w:r w:rsidRPr="0083262E">
        <w:rPr>
          <w:lang w:val="en-US"/>
        </w:rPr>
        <w:t>isotopes (</w:t>
      </w:r>
      <w:r w:rsidRPr="0083262E">
        <w:rPr>
          <w:rStyle w:val="cf01"/>
          <w:rFonts w:ascii="Times New Roman" w:hAnsi="Times New Roman" w:cs="Times New Roman"/>
          <w:sz w:val="24"/>
          <w:szCs w:val="24"/>
        </w:rPr>
        <w:t>calculat</w:t>
      </w:r>
      <w:r>
        <w:rPr>
          <w:rStyle w:val="cf01"/>
          <w:rFonts w:ascii="Times New Roman" w:hAnsi="Times New Roman" w:cs="Times New Roman"/>
          <w:sz w:val="24"/>
          <w:szCs w:val="24"/>
        </w:rPr>
        <w:t>ed as</w:t>
      </w:r>
      <w:r w:rsidRPr="0083262E">
        <w:rPr>
          <w:rStyle w:val="cf01"/>
          <w:rFonts w:ascii="Times New Roman" w:hAnsi="Times New Roman" w:cs="Times New Roman"/>
          <w:sz w:val="24"/>
          <w:szCs w:val="24"/>
        </w:rPr>
        <w:t xml:space="preserve"> at</w:t>
      </w:r>
      <w:r>
        <w:rPr>
          <w:rStyle w:val="cf01"/>
          <w:rFonts w:ascii="Times New Roman" w:hAnsi="Times New Roman" w:cs="Times New Roman"/>
          <w:sz w:val="24"/>
          <w:szCs w:val="24"/>
        </w:rPr>
        <w:t>om</w:t>
      </w:r>
      <w:r w:rsidRPr="0083262E">
        <w:rPr>
          <w:rStyle w:val="cf01"/>
          <w:rFonts w:ascii="Times New Roman" w:hAnsi="Times New Roman" w:cs="Times New Roman"/>
          <w:sz w:val="24"/>
          <w:szCs w:val="24"/>
        </w:rPr>
        <w:t xml:space="preserve">%X = </w:t>
      </w:r>
      <w:r w:rsidRPr="0083262E">
        <w:rPr>
          <w:rStyle w:val="cf11"/>
          <w:rFonts w:ascii="Times New Roman" w:hAnsi="Times New Roman" w:cs="Times New Roman"/>
          <w:sz w:val="24"/>
          <w:szCs w:val="24"/>
        </w:rPr>
        <w:t>n</w:t>
      </w:r>
      <w:r w:rsidRPr="0083262E">
        <w:rPr>
          <w:rStyle w:val="cf01"/>
          <w:rFonts w:ascii="Times New Roman" w:hAnsi="Times New Roman" w:cs="Times New Roman"/>
          <w:sz w:val="24"/>
          <w:szCs w:val="24"/>
        </w:rPr>
        <w:t>X/(</w:t>
      </w:r>
      <w:r w:rsidRPr="0083262E">
        <w:rPr>
          <w:rStyle w:val="cf11"/>
          <w:rFonts w:ascii="Times New Roman" w:hAnsi="Times New Roman" w:cs="Times New Roman"/>
          <w:sz w:val="24"/>
          <w:szCs w:val="24"/>
        </w:rPr>
        <w:t>n</w:t>
      </w:r>
      <w:r w:rsidRPr="0083262E">
        <w:rPr>
          <w:rStyle w:val="cf01"/>
          <w:rFonts w:ascii="Times New Roman" w:hAnsi="Times New Roman" w:cs="Times New Roman"/>
          <w:sz w:val="24"/>
          <w:szCs w:val="24"/>
        </w:rPr>
        <w:t xml:space="preserve">X + </w:t>
      </w:r>
      <w:r w:rsidRPr="0083262E">
        <w:rPr>
          <w:rStyle w:val="cf11"/>
          <w:rFonts w:ascii="Times New Roman" w:hAnsi="Times New Roman" w:cs="Times New Roman"/>
          <w:sz w:val="24"/>
          <w:szCs w:val="24"/>
        </w:rPr>
        <w:t>n</w:t>
      </w:r>
      <w:r w:rsidRPr="0083262E">
        <w:rPr>
          <w:rStyle w:val="cf01"/>
          <w:rFonts w:ascii="Times New Roman" w:hAnsi="Times New Roman" w:cs="Times New Roman"/>
          <w:sz w:val="24"/>
          <w:szCs w:val="24"/>
        </w:rPr>
        <w:t xml:space="preserve">Y + </w:t>
      </w:r>
      <w:r w:rsidRPr="0083262E">
        <w:rPr>
          <w:rStyle w:val="cf11"/>
          <w:rFonts w:ascii="Times New Roman" w:hAnsi="Times New Roman" w:cs="Times New Roman"/>
          <w:sz w:val="24"/>
          <w:szCs w:val="24"/>
        </w:rPr>
        <w:t>n</w:t>
      </w:r>
      <w:r w:rsidRPr="0083262E">
        <w:rPr>
          <w:rStyle w:val="cf01"/>
          <w:rFonts w:ascii="Times New Roman" w:hAnsi="Times New Roman" w:cs="Times New Roman"/>
          <w:sz w:val="24"/>
          <w:szCs w:val="24"/>
        </w:rPr>
        <w:t xml:space="preserve">Z ...), where </w:t>
      </w:r>
      <w:r w:rsidRPr="0083262E">
        <w:rPr>
          <w:rStyle w:val="cf11"/>
          <w:rFonts w:ascii="Times New Roman" w:hAnsi="Times New Roman" w:cs="Times New Roman"/>
          <w:sz w:val="24"/>
          <w:szCs w:val="24"/>
        </w:rPr>
        <w:t>n</w:t>
      </w:r>
      <w:r w:rsidRPr="0083262E">
        <w:rPr>
          <w:rStyle w:val="cf01"/>
          <w:rFonts w:ascii="Times New Roman" w:hAnsi="Times New Roman" w:cs="Times New Roman"/>
          <w:sz w:val="24"/>
          <w:szCs w:val="24"/>
        </w:rPr>
        <w:t xml:space="preserve"> denotes molar quantity (mol) and X, Y, Z denote isotopes)</w:t>
      </w:r>
      <w:r>
        <w:rPr>
          <w:rStyle w:val="cf01"/>
          <w:rFonts w:ascii="Times New Roman" w:hAnsi="Times New Roman" w:cs="Times New Roman"/>
          <w:sz w:val="24"/>
          <w:szCs w:val="24"/>
        </w:rPr>
        <w:t xml:space="preserve">. Atom % is </w:t>
      </w:r>
      <w:r>
        <w:t xml:space="preserve">not equivalent to </w:t>
      </w:r>
      <w:r w:rsidRPr="00E255E3">
        <w:rPr>
          <w:lang w:val="en-US"/>
        </w:rPr>
        <w:t>ug numerator/ug total element</w:t>
      </w:r>
      <w:r>
        <w:t>, as different isotopes have slightly different molar masses</w:t>
      </w:r>
      <w:r>
        <w:rPr>
          <w:lang w:val="en-US"/>
        </w:rPr>
        <w:t>.</w:t>
      </w:r>
      <w:r w:rsidRPr="00E255E3">
        <w:rPr>
          <w:rFonts w:asciiTheme="majorBidi" w:hAnsiTheme="majorBidi" w:cstheme="majorBidi"/>
          <w:noProof/>
          <w:lang w:val="en-US" w:eastAsia="en-IN" w:bidi="he-IL"/>
        </w:rPr>
        <w:lastRenderedPageBreak/>
        <w:drawing>
          <wp:inline distT="0" distB="0" distL="0" distR="0" wp14:anchorId="697A8DC1" wp14:editId="1D9D2671">
            <wp:extent cx="4860730" cy="2362200"/>
            <wp:effectExtent l="0" t="0" r="0" b="0"/>
            <wp:docPr id="4" name="Picture 4"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able&#10;&#10;Description automatically generated"/>
                    <pic:cNvPicPr/>
                  </pic:nvPicPr>
                  <pic:blipFill rotWithShape="1">
                    <a:blip r:embed="rId8">
                      <a:extLst>
                        <a:ext uri="{28A0092B-C50C-407E-A947-70E740481C1C}">
                          <a14:useLocalDpi xmlns:a14="http://schemas.microsoft.com/office/drawing/2010/main" val="0"/>
                        </a:ext>
                      </a:extLst>
                    </a:blip>
                    <a:srcRect t="12239" b="19533"/>
                    <a:stretch/>
                  </pic:blipFill>
                  <pic:spPr bwMode="auto">
                    <a:xfrm>
                      <a:off x="0" y="0"/>
                      <a:ext cx="4892328" cy="2377556"/>
                    </a:xfrm>
                    <a:prstGeom prst="rect">
                      <a:avLst/>
                    </a:prstGeom>
                    <a:ln>
                      <a:noFill/>
                    </a:ln>
                    <a:extLst>
                      <a:ext uri="{53640926-AAD7-44D8-BBD7-CCE9431645EC}">
                        <a14:shadowObscured xmlns:a14="http://schemas.microsoft.com/office/drawing/2010/main"/>
                      </a:ext>
                    </a:extLst>
                  </pic:spPr>
                </pic:pic>
              </a:graphicData>
            </a:graphic>
          </wp:inline>
        </w:drawing>
      </w:r>
    </w:p>
    <w:p w14:paraId="1AD30DB8" w14:textId="1F9D012D" w:rsidR="00DE415B" w:rsidRDefault="00DE415B" w:rsidP="002631CE">
      <w:pPr>
        <w:pStyle w:val="Newparagraph"/>
        <w:spacing w:after="3" w:line="473" w:lineRule="auto"/>
        <w:ind w:right="144"/>
        <w:jc w:val="both"/>
        <w:rPr>
          <w:lang w:val="en-US"/>
        </w:rPr>
      </w:pPr>
      <w:r>
        <w:rPr>
          <w:lang w:val="en-US"/>
        </w:rPr>
        <w:t>atom % = 100 * AR * ((Delta/1000) + 1) / 1 + (AR * ((Delta/1000)+ 1)</w:t>
      </w:r>
      <w:r w:rsidR="00C31F6F">
        <w:rPr>
          <w:lang w:val="en-US"/>
        </w:rPr>
        <w:t>)</w:t>
      </w:r>
    </w:p>
    <w:p w14:paraId="2DC2168C" w14:textId="77777777" w:rsidR="00DE415B" w:rsidRDefault="00DE415B" w:rsidP="002631CE">
      <w:pPr>
        <w:pStyle w:val="Newparagraph"/>
        <w:spacing w:after="3" w:line="473" w:lineRule="auto"/>
        <w:ind w:right="144"/>
        <w:jc w:val="both"/>
        <w:rPr>
          <w:lang w:val="en-US"/>
        </w:rPr>
      </w:pPr>
    </w:p>
    <w:p w14:paraId="1E17C85D" w14:textId="7E9B250D" w:rsidR="00DE415B" w:rsidRDefault="00DE415B" w:rsidP="002631CE">
      <w:pPr>
        <w:pStyle w:val="Newparagraph"/>
        <w:spacing w:after="3" w:line="473" w:lineRule="auto"/>
        <w:ind w:right="144" w:firstLine="0"/>
        <w:jc w:val="both"/>
        <w:rPr>
          <w:lang w:val="en-US"/>
        </w:rPr>
      </w:pPr>
      <w:r>
        <w:rPr>
          <w:lang w:val="en-US"/>
        </w:rPr>
        <w:t>where AR is the Absolute Ratio (constant), and Delta is the value in permil to be converted to atom%.</w:t>
      </w:r>
    </w:p>
    <w:p w14:paraId="31559355" w14:textId="3B01E12C" w:rsidR="009021CC" w:rsidRPr="006130F3" w:rsidRDefault="009021CC" w:rsidP="002631CE">
      <w:pPr>
        <w:pStyle w:val="Newparagraph"/>
        <w:spacing w:after="3" w:line="473" w:lineRule="auto"/>
        <w:ind w:right="144" w:firstLine="0"/>
        <w:jc w:val="both"/>
        <w:rPr>
          <w:lang w:val="en-US"/>
        </w:rPr>
      </w:pPr>
      <w:r>
        <w:rPr>
          <w:lang w:val="en-US"/>
        </w:rPr>
        <w:t>-</w:t>
      </w:r>
    </w:p>
    <w:p w14:paraId="390690EB" w14:textId="789C63C7" w:rsidR="00DE415B" w:rsidRDefault="00DE415B" w:rsidP="002631CE">
      <w:pPr>
        <w:pStyle w:val="Newparagraph"/>
        <w:spacing w:after="3" w:line="473" w:lineRule="auto"/>
        <w:ind w:right="144"/>
        <w:jc w:val="both"/>
      </w:pPr>
      <w:r>
        <w:rPr>
          <w:lang w:val="en-US"/>
        </w:rPr>
        <w:t xml:space="preserve">Either </w:t>
      </w:r>
      <w:r>
        <w:t>isotopic abundance ratios</w:t>
      </w:r>
      <w:r>
        <w:rPr>
          <w:lang w:val="en-US"/>
        </w:rPr>
        <w:t xml:space="preserve"> </w:t>
      </w:r>
      <w:r w:rsidR="00F3463C">
        <w:rPr>
          <w:lang w:val="en-US"/>
        </w:rPr>
        <w:t>[</w:t>
      </w:r>
      <w:r>
        <w:rPr>
          <w:lang w:val="en-US"/>
        </w:rPr>
        <w:t>(</w:t>
      </w:r>
      <w:r>
        <w:t xml:space="preserve">umoles/ml or umoles/g </w:t>
      </w:r>
      <w:r>
        <w:rPr>
          <w:lang w:val="en-US"/>
        </w:rPr>
        <w:t>numerator</w:t>
      </w:r>
      <w:r w:rsidR="00F3463C">
        <w:rPr>
          <w:lang w:val="en-US"/>
        </w:rPr>
        <w:t>)</w:t>
      </w:r>
      <w:r>
        <w:rPr>
          <w:lang w:val="en-US"/>
        </w:rPr>
        <w:t xml:space="preserve"> / </w:t>
      </w:r>
      <w:r w:rsidR="00F3463C">
        <w:rPr>
          <w:lang w:val="en-US"/>
        </w:rPr>
        <w:t>(</w:t>
      </w:r>
      <w:r>
        <w:t xml:space="preserve">umoles/ml or umoles/g </w:t>
      </w:r>
      <w:r>
        <w:rPr>
          <w:lang w:val="en-US"/>
        </w:rPr>
        <w:t>denominator)</w:t>
      </w:r>
      <w:r w:rsidR="00F3463C">
        <w:rPr>
          <w:lang w:val="en-US"/>
        </w:rPr>
        <w:t>]</w:t>
      </w:r>
      <w:r>
        <w:rPr>
          <w:lang w:val="en-US"/>
        </w:rPr>
        <w:t xml:space="preserve"> or </w:t>
      </w:r>
      <w:r>
        <w:t xml:space="preserve">isotopic mass ratios </w:t>
      </w:r>
      <w:r w:rsidR="00F3463C">
        <w:t>[</w:t>
      </w:r>
      <w:r>
        <w:t xml:space="preserve">(ug/ml or ug/g </w:t>
      </w:r>
      <w:r w:rsidR="00A7324C">
        <w:t>numerator)</w:t>
      </w:r>
      <w:r>
        <w:t xml:space="preserve">/ </w:t>
      </w:r>
      <w:r w:rsidR="00F3463C">
        <w:t>(</w:t>
      </w:r>
      <w:r>
        <w:t>ug/ml or ug/g denominator)</w:t>
      </w:r>
      <w:r w:rsidR="00F3463C">
        <w:t>]</w:t>
      </w:r>
      <w:r>
        <w:t xml:space="preserve"> can be analysed. Since the two expressions are not the same, denominator vs. numerator plots will differ. For example, the artificial equation for the umole/ml </w:t>
      </w:r>
      <w:r w:rsidRPr="00BC4BBD">
        <w:rPr>
          <w:vertAlign w:val="superscript"/>
        </w:rPr>
        <w:t>86</w:t>
      </w:r>
      <w:r>
        <w:t xml:space="preserve">Sr vs. umole/ml </w:t>
      </w:r>
      <w:r w:rsidRPr="00BC4BBD">
        <w:rPr>
          <w:vertAlign w:val="superscript"/>
        </w:rPr>
        <w:t>87</w:t>
      </w:r>
      <w:r>
        <w:t xml:space="preserve">Sr in Figure 1a with the large positive </w:t>
      </w:r>
      <w:r w:rsidRPr="00873294">
        <w:rPr>
          <w:i/>
          <w:iCs/>
        </w:rPr>
        <w:t>y</w:t>
      </w:r>
      <w:r>
        <w:t>-intercept (</w:t>
      </w:r>
      <w:r w:rsidRPr="00873294">
        <w:rPr>
          <w:i/>
          <w:iCs/>
        </w:rPr>
        <w:t>y</w:t>
      </w:r>
      <w:r w:rsidRPr="00BC4BBD">
        <w:t xml:space="preserve"> = 0.7091</w:t>
      </w:r>
      <w:r w:rsidRPr="00873294">
        <w:rPr>
          <w:i/>
          <w:iCs/>
        </w:rPr>
        <w:t>x</w:t>
      </w:r>
      <w:r w:rsidRPr="00BC4BBD">
        <w:t xml:space="preserve"> + 0.003</w:t>
      </w:r>
      <w:r>
        <w:t>; r</w:t>
      </w:r>
      <w:r w:rsidRPr="00BC4BBD">
        <w:rPr>
          <w:vertAlign w:val="superscript"/>
        </w:rPr>
        <w:t>2</w:t>
      </w:r>
      <w:r>
        <w:rPr>
          <w:vertAlign w:val="superscript"/>
        </w:rPr>
        <w:t xml:space="preserve"> </w:t>
      </w:r>
      <w:r>
        <w:t>= 1.0000000) becomes (</w:t>
      </w:r>
      <w:r w:rsidRPr="00873294">
        <w:rPr>
          <w:i/>
          <w:iCs/>
          <w:lang w:val="en-US"/>
        </w:rPr>
        <w:t>y</w:t>
      </w:r>
      <w:r w:rsidRPr="00BC4BBD">
        <w:rPr>
          <w:lang w:val="en-US"/>
        </w:rPr>
        <w:t xml:space="preserve"> = 0.7</w:t>
      </w:r>
      <w:r>
        <w:rPr>
          <w:lang w:val="en-US"/>
        </w:rPr>
        <w:t>1733453</w:t>
      </w:r>
      <w:r w:rsidRPr="00873294">
        <w:rPr>
          <w:i/>
          <w:iCs/>
          <w:lang w:val="en-US"/>
        </w:rPr>
        <w:t>x</w:t>
      </w:r>
      <w:r w:rsidRPr="00BC4BBD">
        <w:rPr>
          <w:lang w:val="en-US"/>
        </w:rPr>
        <w:t xml:space="preserve"> + 0.</w:t>
      </w:r>
      <w:r>
        <w:rPr>
          <w:lang w:val="en-US"/>
        </w:rPr>
        <w:t xml:space="preserve">261; </w:t>
      </w:r>
      <w:r w:rsidRPr="00BC4BBD">
        <w:rPr>
          <w:lang w:val="en-US"/>
        </w:rPr>
        <w:t>r² = 1.0000000</w:t>
      </w:r>
      <w:r>
        <w:rPr>
          <w:lang w:val="en-US"/>
        </w:rPr>
        <w:t xml:space="preserve">) when plotted on a ug/ml basis </w:t>
      </w:r>
      <w:r w:rsidR="00900459">
        <w:rPr>
          <w:lang w:val="en-US"/>
        </w:rPr>
        <w:t>(</w:t>
      </w:r>
      <w:r>
        <w:rPr>
          <w:lang w:val="en-US"/>
        </w:rPr>
        <w:t>Figure S</w:t>
      </w:r>
      <w:r w:rsidR="00AB1BF0">
        <w:rPr>
          <w:lang w:val="en-US"/>
        </w:rPr>
        <w:t>1</w:t>
      </w:r>
      <w:r>
        <w:rPr>
          <w:lang w:val="en-US"/>
        </w:rPr>
        <w:t>a</w:t>
      </w:r>
      <w:r w:rsidR="00900459">
        <w:rPr>
          <w:lang w:val="en-US"/>
        </w:rPr>
        <w:t>)</w:t>
      </w:r>
      <w:r>
        <w:rPr>
          <w:lang w:val="en-US"/>
        </w:rPr>
        <w:t xml:space="preserve">. </w:t>
      </w:r>
      <w:r>
        <w:t>All mathematical principles discussed in the main text using umole/ml expressions also apply to ug/ml forms of ratio expression. For example, the same consequences of non-zero</w:t>
      </w:r>
      <w:r w:rsidRPr="00DC7552">
        <w:rPr>
          <w:i/>
          <w:iCs/>
        </w:rPr>
        <w:t xml:space="preserve"> y</w:t>
      </w:r>
      <w:r>
        <w:t>-intercepts in Figure 1b for umole/ml evaluations are apparent in Figure S</w:t>
      </w:r>
      <w:r w:rsidR="00AB1BF0">
        <w:t>1</w:t>
      </w:r>
      <w:r w:rsidR="00900459">
        <w:t>b</w:t>
      </w:r>
      <w:r>
        <w:t xml:space="preserve"> for the ug/ml evaluations. Either type of expression produces similar results. However, sources calculated from </w:t>
      </w:r>
      <w:r>
        <w:lastRenderedPageBreak/>
        <w:t xml:space="preserve">denominator vs. numerator slopes have different values and units depending on the units of the denominator vs. numerator plots. </w:t>
      </w:r>
    </w:p>
    <w:p w14:paraId="0C849A92" w14:textId="2118C7C1" w:rsidR="0052545B" w:rsidRDefault="0052545B" w:rsidP="002631CE">
      <w:pPr>
        <w:pStyle w:val="Figurecaption"/>
        <w:spacing w:before="0" w:after="3" w:line="473" w:lineRule="auto"/>
        <w:ind w:right="144"/>
        <w:jc w:val="both"/>
      </w:pPr>
      <w:r w:rsidRPr="0052545B">
        <w:rPr>
          <w:noProof/>
        </w:rPr>
        <w:drawing>
          <wp:inline distT="0" distB="0" distL="0" distR="0" wp14:anchorId="4EB4003E" wp14:editId="6A7A2F26">
            <wp:extent cx="4628571" cy="2752381"/>
            <wp:effectExtent l="0" t="0" r="635" b="0"/>
            <wp:docPr id="1014937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493704" name=""/>
                    <pic:cNvPicPr/>
                  </pic:nvPicPr>
                  <pic:blipFill>
                    <a:blip r:embed="rId9"/>
                    <a:stretch>
                      <a:fillRect/>
                    </a:stretch>
                  </pic:blipFill>
                  <pic:spPr>
                    <a:xfrm>
                      <a:off x="0" y="0"/>
                      <a:ext cx="4628571" cy="2752381"/>
                    </a:xfrm>
                    <a:prstGeom prst="rect">
                      <a:avLst/>
                    </a:prstGeom>
                  </pic:spPr>
                </pic:pic>
              </a:graphicData>
            </a:graphic>
          </wp:inline>
        </w:drawing>
      </w:r>
    </w:p>
    <w:p w14:paraId="1679CC53" w14:textId="6AD49FF8" w:rsidR="00DE415B" w:rsidRPr="0052545B" w:rsidRDefault="00DE415B" w:rsidP="002631CE">
      <w:pPr>
        <w:pStyle w:val="Figurecaption"/>
        <w:spacing w:before="0" w:after="3" w:line="473" w:lineRule="auto"/>
        <w:ind w:right="144"/>
        <w:jc w:val="both"/>
        <w:rPr>
          <w:lang w:val="en-US"/>
        </w:rPr>
      </w:pPr>
      <w:r>
        <w:t>Figure S</w:t>
      </w:r>
      <w:r w:rsidR="00AB1BF0">
        <w:t>1</w:t>
      </w:r>
      <w:r w:rsidR="00900459">
        <w:t>a</w:t>
      </w:r>
      <w:r>
        <w:t xml:space="preserve">. A plot of the relationship between ug/ml </w:t>
      </w:r>
      <w:r w:rsidRPr="00967F90">
        <w:rPr>
          <w:vertAlign w:val="superscript"/>
        </w:rPr>
        <w:t>86</w:t>
      </w:r>
      <w:r>
        <w:t xml:space="preserve">Sr vs. ug/ml </w:t>
      </w:r>
      <w:r w:rsidRPr="00967F90">
        <w:rPr>
          <w:vertAlign w:val="superscript"/>
        </w:rPr>
        <w:t>87</w:t>
      </w:r>
      <w:r>
        <w:t xml:space="preserve">Sr. </w:t>
      </w:r>
      <w:r w:rsidRPr="00BC76FD">
        <w:rPr>
          <w:lang w:val="en-US"/>
        </w:rPr>
        <w:t xml:space="preserve">Artificial </w:t>
      </w:r>
      <w:r w:rsidRPr="00BC76FD">
        <w:rPr>
          <w:vertAlign w:val="superscript"/>
          <w:lang w:val="en-US"/>
        </w:rPr>
        <w:t>86</w:t>
      </w:r>
      <w:r w:rsidRPr="00BC76FD">
        <w:rPr>
          <w:lang w:val="en-US"/>
        </w:rPr>
        <w:t xml:space="preserve">Sr vs. </w:t>
      </w:r>
      <w:r w:rsidRPr="00BC76FD">
        <w:rPr>
          <w:vertAlign w:val="superscript"/>
          <w:lang w:val="en-US"/>
        </w:rPr>
        <w:t>87</w:t>
      </w:r>
      <w:r w:rsidRPr="00BC76FD">
        <w:rPr>
          <w:lang w:val="en-US"/>
        </w:rPr>
        <w:t xml:space="preserve">Sr data created to have a </w:t>
      </w:r>
      <w:r>
        <w:rPr>
          <w:lang w:val="en-US"/>
        </w:rPr>
        <w:t xml:space="preserve">umole/ml vs. umole/ml </w:t>
      </w:r>
      <w:r w:rsidRPr="00BC76FD">
        <w:rPr>
          <w:lang w:val="en-US"/>
        </w:rPr>
        <w:t xml:space="preserve">slope that is equivalent to the </w:t>
      </w:r>
      <w:r w:rsidRPr="00BC76FD">
        <w:rPr>
          <w:vertAlign w:val="superscript"/>
          <w:lang w:val="en-US"/>
        </w:rPr>
        <w:t>87</w:t>
      </w:r>
      <w:r w:rsidRPr="00BC76FD">
        <w:rPr>
          <w:lang w:val="en-US"/>
        </w:rPr>
        <w:t>Sr:</w:t>
      </w:r>
      <w:r w:rsidRPr="00BC76FD">
        <w:rPr>
          <w:vertAlign w:val="superscript"/>
          <w:lang w:val="en-US"/>
        </w:rPr>
        <w:t>86</w:t>
      </w:r>
      <w:r w:rsidRPr="00BC76FD">
        <w:rPr>
          <w:lang w:val="en-US"/>
        </w:rPr>
        <w:t>Sr ratio of modern seawater</w:t>
      </w:r>
      <w:r>
        <w:rPr>
          <w:lang w:val="en-US"/>
        </w:rPr>
        <w:t xml:space="preserve"> and a 0.003 </w:t>
      </w:r>
      <w:r w:rsidRPr="00314A03">
        <w:rPr>
          <w:i/>
          <w:iCs/>
          <w:lang w:val="en-US"/>
        </w:rPr>
        <w:t>y</w:t>
      </w:r>
      <w:r>
        <w:rPr>
          <w:lang w:val="en-US"/>
        </w:rPr>
        <w:t>-intercept shown in Figure 1a has been modified. The data here is expressed on a ug/ml vs. ug/ml basis</w:t>
      </w:r>
      <w:r w:rsidRPr="00BC76FD">
        <w:rPr>
          <w:lang w:val="en-US"/>
        </w:rPr>
        <w:t xml:space="preserve">. Although very small </w:t>
      </w:r>
      <w:r>
        <w:rPr>
          <w:lang w:val="en-US"/>
        </w:rPr>
        <w:t xml:space="preserve">(~0.025 % of </w:t>
      </w:r>
      <w:r w:rsidRPr="00086C7E">
        <w:rPr>
          <w:i/>
          <w:iCs/>
          <w:lang w:val="en-US"/>
        </w:rPr>
        <w:t>y</w:t>
      </w:r>
      <w:r>
        <w:rPr>
          <w:lang w:val="en-US"/>
        </w:rPr>
        <w:t xml:space="preserve">-axis range) </w:t>
      </w:r>
      <w:r w:rsidRPr="00BC76FD">
        <w:rPr>
          <w:lang w:val="en-US"/>
        </w:rPr>
        <w:t>the</w:t>
      </w:r>
      <w:r>
        <w:rPr>
          <w:lang w:val="en-US"/>
        </w:rPr>
        <w:t xml:space="preserve"> non-zero </w:t>
      </w:r>
      <w:r w:rsidRPr="00314A03">
        <w:rPr>
          <w:i/>
          <w:iCs/>
          <w:lang w:val="en-US"/>
        </w:rPr>
        <w:t>y</w:t>
      </w:r>
      <w:r>
        <w:rPr>
          <w:lang w:val="en-US"/>
        </w:rPr>
        <w:t>-</w:t>
      </w:r>
      <w:r w:rsidRPr="00BC76FD">
        <w:rPr>
          <w:lang w:val="en-US"/>
        </w:rPr>
        <w:t>intercept still lead</w:t>
      </w:r>
      <w:r>
        <w:rPr>
          <w:lang w:val="en-US"/>
        </w:rPr>
        <w:t>s</w:t>
      </w:r>
      <w:r w:rsidRPr="00BC76FD">
        <w:rPr>
          <w:lang w:val="en-US"/>
        </w:rPr>
        <w:t xml:space="preserve"> to interpretive problems as shown in Figure </w:t>
      </w:r>
      <w:r>
        <w:rPr>
          <w:lang w:val="en-US"/>
        </w:rPr>
        <w:t>S</w:t>
      </w:r>
      <w:r w:rsidR="00AB1BF0">
        <w:rPr>
          <w:lang w:val="en-US"/>
        </w:rPr>
        <w:t>1</w:t>
      </w:r>
      <w:r w:rsidR="00900459">
        <w:rPr>
          <w:lang w:val="en-US"/>
        </w:rPr>
        <w:t>b</w:t>
      </w:r>
      <w:r w:rsidRPr="00BC76FD">
        <w:rPr>
          <w:lang w:val="en-US"/>
        </w:rPr>
        <w:t xml:space="preserve">. </w:t>
      </w:r>
    </w:p>
    <w:p w14:paraId="719C9DF4" w14:textId="685DA2DE" w:rsidR="0052545B" w:rsidRDefault="0052545B" w:rsidP="002631CE">
      <w:pPr>
        <w:pStyle w:val="Figurecaption"/>
        <w:spacing w:before="0" w:after="3" w:line="473" w:lineRule="auto"/>
        <w:ind w:right="144"/>
        <w:jc w:val="both"/>
      </w:pPr>
      <w:r w:rsidRPr="0052545B">
        <w:rPr>
          <w:noProof/>
        </w:rPr>
        <w:drawing>
          <wp:inline distT="0" distB="0" distL="0" distR="0" wp14:anchorId="6B3E1602" wp14:editId="47DF3221">
            <wp:extent cx="4571429" cy="2752381"/>
            <wp:effectExtent l="0" t="0" r="635" b="0"/>
            <wp:docPr id="17071238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7123851" name=""/>
                    <pic:cNvPicPr/>
                  </pic:nvPicPr>
                  <pic:blipFill>
                    <a:blip r:embed="rId10"/>
                    <a:stretch>
                      <a:fillRect/>
                    </a:stretch>
                  </pic:blipFill>
                  <pic:spPr>
                    <a:xfrm>
                      <a:off x="0" y="0"/>
                      <a:ext cx="4571429" cy="2752381"/>
                    </a:xfrm>
                    <a:prstGeom prst="rect">
                      <a:avLst/>
                    </a:prstGeom>
                  </pic:spPr>
                </pic:pic>
              </a:graphicData>
            </a:graphic>
          </wp:inline>
        </w:drawing>
      </w:r>
    </w:p>
    <w:p w14:paraId="7DF6A1C9" w14:textId="36AA880A" w:rsidR="00900459" w:rsidRDefault="00DE415B" w:rsidP="002631CE">
      <w:pPr>
        <w:pStyle w:val="Figurecaption"/>
        <w:spacing w:before="0" w:after="3" w:line="473" w:lineRule="auto"/>
        <w:ind w:right="144"/>
        <w:jc w:val="both"/>
        <w:rPr>
          <w:lang w:val="en-US"/>
        </w:rPr>
      </w:pPr>
      <w:r>
        <w:lastRenderedPageBreak/>
        <w:t>Figure S</w:t>
      </w:r>
      <w:r w:rsidR="00AB1BF0">
        <w:t>1</w:t>
      </w:r>
      <w:r w:rsidR="00900459">
        <w:t>b</w:t>
      </w:r>
      <w:r>
        <w:t xml:space="preserve">. The </w:t>
      </w:r>
      <w:r>
        <w:rPr>
          <w:lang w:val="en-US"/>
        </w:rPr>
        <w:t>a</w:t>
      </w:r>
      <w:r w:rsidRPr="00BC76FD">
        <w:rPr>
          <w:lang w:val="en-US"/>
        </w:rPr>
        <w:t xml:space="preserve">rtificial </w:t>
      </w:r>
      <w:r w:rsidRPr="00BC76FD">
        <w:rPr>
          <w:vertAlign w:val="superscript"/>
          <w:lang w:val="en-US"/>
        </w:rPr>
        <w:t>86</w:t>
      </w:r>
      <w:r w:rsidRPr="00BC76FD">
        <w:rPr>
          <w:lang w:val="en-US"/>
        </w:rPr>
        <w:t xml:space="preserve">Sr vs. </w:t>
      </w:r>
      <w:r w:rsidRPr="00BC76FD">
        <w:rPr>
          <w:vertAlign w:val="superscript"/>
          <w:lang w:val="en-US"/>
        </w:rPr>
        <w:t>87</w:t>
      </w:r>
      <w:r w:rsidRPr="00BC76FD">
        <w:rPr>
          <w:lang w:val="en-US"/>
        </w:rPr>
        <w:t xml:space="preserve">Sr data shown in Figure </w:t>
      </w:r>
      <w:r>
        <w:rPr>
          <w:lang w:val="en-US"/>
        </w:rPr>
        <w:t>S</w:t>
      </w:r>
      <w:r w:rsidR="00AB1BF0">
        <w:rPr>
          <w:lang w:val="en-US"/>
        </w:rPr>
        <w:t>1</w:t>
      </w:r>
      <w:r w:rsidR="00E60E38">
        <w:rPr>
          <w:lang w:val="en-US"/>
        </w:rPr>
        <w:t>a</w:t>
      </w:r>
      <w:r w:rsidRPr="00BC76FD">
        <w:rPr>
          <w:lang w:val="en-US"/>
        </w:rPr>
        <w:t xml:space="preserve"> are replotted here. The </w:t>
      </w:r>
      <w:r w:rsidRPr="00BC76FD">
        <w:rPr>
          <w:vertAlign w:val="superscript"/>
          <w:lang w:val="en-US"/>
        </w:rPr>
        <w:t>86</w:t>
      </w:r>
      <w:r w:rsidRPr="00BC76FD">
        <w:rPr>
          <w:lang w:val="en-US"/>
        </w:rPr>
        <w:t>Sr concentration</w:t>
      </w:r>
      <w:r>
        <w:rPr>
          <w:lang w:val="en-US"/>
        </w:rPr>
        <w:t xml:space="preserve"> (ug/ml)</w:t>
      </w:r>
      <w:r w:rsidRPr="00BC76FD">
        <w:rPr>
          <w:lang w:val="en-US"/>
        </w:rPr>
        <w:t xml:space="preserve"> </w:t>
      </w:r>
      <w:r>
        <w:rPr>
          <w:lang w:val="en-US"/>
        </w:rPr>
        <w:t>is</w:t>
      </w:r>
      <w:r w:rsidRPr="00BC76FD">
        <w:rPr>
          <w:lang w:val="en-US"/>
        </w:rPr>
        <w:t xml:space="preserve"> plotted against </w:t>
      </w:r>
      <w:r w:rsidRPr="00BC76FD">
        <w:rPr>
          <w:vertAlign w:val="superscript"/>
          <w:lang w:val="en-US"/>
        </w:rPr>
        <w:t>87</w:t>
      </w:r>
      <w:r w:rsidRPr="00BC76FD">
        <w:rPr>
          <w:lang w:val="en-US"/>
        </w:rPr>
        <w:t>Sr:</w:t>
      </w:r>
      <w:r w:rsidRPr="00BC76FD">
        <w:rPr>
          <w:vertAlign w:val="superscript"/>
          <w:lang w:val="en-US"/>
        </w:rPr>
        <w:t>86</w:t>
      </w:r>
      <w:r w:rsidRPr="00BC76FD">
        <w:rPr>
          <w:lang w:val="en-US"/>
        </w:rPr>
        <w:t xml:space="preserve">Sr ratios </w:t>
      </w:r>
      <w:r>
        <w:rPr>
          <w:lang w:val="en-US"/>
        </w:rPr>
        <w:t>(ug/ml-basis).</w:t>
      </w:r>
    </w:p>
    <w:p w14:paraId="756DA15F" w14:textId="7BBE1E4F" w:rsidR="00DE415B" w:rsidRPr="00900459" w:rsidRDefault="00900459" w:rsidP="002631CE">
      <w:pPr>
        <w:pStyle w:val="Figurecaption"/>
        <w:spacing w:before="0" w:after="3" w:line="473" w:lineRule="auto"/>
        <w:ind w:right="144"/>
        <w:jc w:val="both"/>
        <w:rPr>
          <w:lang w:val="en-US"/>
        </w:rPr>
      </w:pPr>
      <w:r>
        <w:rPr>
          <w:lang w:val="en-US"/>
        </w:rPr>
        <w:t>-</w:t>
      </w:r>
      <w:r w:rsidR="00DE415B" w:rsidRPr="00BC76FD">
        <w:rPr>
          <w:lang w:val="en-US"/>
        </w:rPr>
        <w:t xml:space="preserve"> </w:t>
      </w:r>
    </w:p>
    <w:p w14:paraId="09D4A88F" w14:textId="49459D61" w:rsidR="00DE415B" w:rsidRDefault="00DE415B" w:rsidP="002631CE">
      <w:pPr>
        <w:pStyle w:val="Newparagraph"/>
        <w:spacing w:after="3" w:line="473" w:lineRule="auto"/>
        <w:ind w:right="144"/>
        <w:jc w:val="both"/>
      </w:pPr>
      <w:r>
        <w:t>The ratio values for the two approaches are perfectly correlated. In Figure S</w:t>
      </w:r>
      <w:r w:rsidR="00AB1BF0">
        <w:t>1</w:t>
      </w:r>
      <w:r w:rsidR="00900459">
        <w:t>c</w:t>
      </w:r>
      <w:r>
        <w:t xml:space="preserve">, the regression equation is shown </w:t>
      </w:r>
      <w:r>
        <w:rPr>
          <w:lang w:val="en-US"/>
        </w:rPr>
        <w:t>(</w:t>
      </w:r>
      <w:r>
        <w:t xml:space="preserve">ug/ml </w:t>
      </w:r>
      <w:r w:rsidR="00AF6265">
        <w:t xml:space="preserve">ratio </w:t>
      </w:r>
      <w:r w:rsidR="00AF6265" w:rsidRPr="00DC522F">
        <w:t>=</w:t>
      </w:r>
      <w:r w:rsidRPr="00DC522F">
        <w:t xml:space="preserve"> </w:t>
      </w:r>
      <w:r w:rsidRPr="001622AF">
        <w:t>1.011627907</w:t>
      </w:r>
      <w:r w:rsidRPr="00DC522F">
        <w:t>7</w:t>
      </w:r>
      <w:r>
        <w:t xml:space="preserve"> * umole/ml ratio with an r</w:t>
      </w:r>
      <w:r w:rsidRPr="00DC522F">
        <w:t xml:space="preserve">² </w:t>
      </w:r>
      <w:r>
        <w:t xml:space="preserve">value of </w:t>
      </w:r>
      <w:r w:rsidRPr="00DC522F">
        <w:t>1.00000000</w:t>
      </w:r>
      <w:r>
        <w:t>). The slope of this equation (</w:t>
      </w:r>
      <w:r w:rsidRPr="001622AF">
        <w:t>1.011627907</w:t>
      </w:r>
      <w:r w:rsidRPr="00DC522F">
        <w:t>7</w:t>
      </w:r>
      <w:r>
        <w:t xml:space="preserve">) can be approximated from the quotient of the previous slopes (0.7173453 for ug/ml plots / 0.7091 for umole/ml plots = 1.0116278381). The slope expressed on a mass basis (source = 0.7173453) derived from the original ug/ml </w:t>
      </w:r>
      <w:r w:rsidRPr="00D144BD">
        <w:rPr>
          <w:vertAlign w:val="superscript"/>
        </w:rPr>
        <w:t>87</w:t>
      </w:r>
      <w:r>
        <w:t xml:space="preserve">Sr and </w:t>
      </w:r>
      <w:r w:rsidRPr="00D144BD">
        <w:rPr>
          <w:vertAlign w:val="superscript"/>
        </w:rPr>
        <w:t>86</w:t>
      </w:r>
      <w:r>
        <w:t>Sr (in ug/g) values can be calculated from the molar-based slope (source = 0.7091) using the regression equation in Figure S</w:t>
      </w:r>
      <w:r w:rsidR="00AB1BF0">
        <w:t>1</w:t>
      </w:r>
      <w:r w:rsidR="00900459">
        <w:t>c</w:t>
      </w:r>
      <w:r>
        <w:t xml:space="preserve"> (1.011627907 * 0.7091 = 0.7173453). The same conversion can be made by simply multiplying the umole/ml source value by the quotient of the molecular weights of the two isotopes (0.7091 * 87/86 = 0.7173453). </w:t>
      </w:r>
    </w:p>
    <w:p w14:paraId="18887F57" w14:textId="6B6E289E" w:rsidR="00DE415B" w:rsidRDefault="00DE415B" w:rsidP="002631CE">
      <w:pPr>
        <w:pStyle w:val="Newparagraph"/>
        <w:spacing w:after="3" w:line="473" w:lineRule="auto"/>
        <w:ind w:right="144"/>
        <w:jc w:val="both"/>
      </w:pPr>
      <w:r>
        <w:t xml:space="preserve">In summary atom%, delta values, umole/ml-based ratio values and ug/ml-based ratio values, are all perfectly correlated. Using umole/ml or umole/g-based isotope ratio expressions is the preferred standard in the isotopic literature. The slope of figure 1a (0.7091) matches the accepted value for the </w:t>
      </w:r>
      <w:r w:rsidRPr="00D87DD3">
        <w:rPr>
          <w:vertAlign w:val="superscript"/>
        </w:rPr>
        <w:t>87</w:t>
      </w:r>
      <w:r>
        <w:t>Sr:</w:t>
      </w:r>
      <w:r w:rsidRPr="00D87DD3">
        <w:rPr>
          <w:vertAlign w:val="superscript"/>
        </w:rPr>
        <w:t>86</w:t>
      </w:r>
      <w:r>
        <w:t xml:space="preserve">Sr ratio of modern seawater. Although a ug/ml-based ratio expression for the </w:t>
      </w:r>
      <w:r w:rsidRPr="00D87DD3">
        <w:rPr>
          <w:vertAlign w:val="superscript"/>
        </w:rPr>
        <w:t>87</w:t>
      </w:r>
      <w:r>
        <w:t>Sr:</w:t>
      </w:r>
      <w:r w:rsidRPr="00D87DD3">
        <w:rPr>
          <w:vertAlign w:val="superscript"/>
        </w:rPr>
        <w:t>86</w:t>
      </w:r>
      <w:r>
        <w:t>Sr ratio of modern seawater (0.7173453) in Figure S</w:t>
      </w:r>
      <w:r w:rsidR="00AB1BF0">
        <w:t>1</w:t>
      </w:r>
      <w:r w:rsidR="00E60E38">
        <w:t>a</w:t>
      </w:r>
      <w:r>
        <w:t xml:space="preserve"> is technically correct, this can create confusion for those familiar with the conventional (0.7091) value.</w:t>
      </w:r>
    </w:p>
    <w:p w14:paraId="0F164F6B" w14:textId="1D9FF5A6" w:rsidR="0052545B" w:rsidRDefault="0052545B" w:rsidP="002631CE">
      <w:pPr>
        <w:pStyle w:val="Newparagraph"/>
        <w:spacing w:after="3" w:line="473" w:lineRule="auto"/>
        <w:ind w:right="144" w:firstLine="0"/>
        <w:jc w:val="both"/>
      </w:pPr>
      <w:r w:rsidRPr="0052545B">
        <w:rPr>
          <w:noProof/>
        </w:rPr>
        <w:lastRenderedPageBreak/>
        <w:drawing>
          <wp:inline distT="0" distB="0" distL="0" distR="0" wp14:anchorId="1C9F9622" wp14:editId="314F4C00">
            <wp:extent cx="4571429" cy="2752381"/>
            <wp:effectExtent l="0" t="0" r="635" b="0"/>
            <wp:docPr id="3268903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890311" name=""/>
                    <pic:cNvPicPr/>
                  </pic:nvPicPr>
                  <pic:blipFill>
                    <a:blip r:embed="rId11"/>
                    <a:stretch>
                      <a:fillRect/>
                    </a:stretch>
                  </pic:blipFill>
                  <pic:spPr>
                    <a:xfrm>
                      <a:off x="0" y="0"/>
                      <a:ext cx="4571429" cy="2752381"/>
                    </a:xfrm>
                    <a:prstGeom prst="rect">
                      <a:avLst/>
                    </a:prstGeom>
                  </pic:spPr>
                </pic:pic>
              </a:graphicData>
            </a:graphic>
          </wp:inline>
        </w:drawing>
      </w:r>
    </w:p>
    <w:p w14:paraId="22393EC3" w14:textId="29C203F4" w:rsidR="00E60E38" w:rsidRDefault="00DE415B" w:rsidP="002631CE">
      <w:pPr>
        <w:pStyle w:val="Newparagraph"/>
        <w:spacing w:after="3" w:line="473" w:lineRule="auto"/>
        <w:ind w:right="144" w:firstLine="0"/>
        <w:jc w:val="both"/>
      </w:pPr>
      <w:r>
        <w:t>Figure S</w:t>
      </w:r>
      <w:r w:rsidR="00AB1BF0">
        <w:t>1</w:t>
      </w:r>
      <w:r w:rsidR="00900459">
        <w:t>c</w:t>
      </w:r>
      <w:r>
        <w:t xml:space="preserve">. The </w:t>
      </w:r>
      <w:r w:rsidRPr="00DE049F">
        <w:rPr>
          <w:vertAlign w:val="superscript"/>
        </w:rPr>
        <w:t>87</w:t>
      </w:r>
      <w:r>
        <w:t>Sr:</w:t>
      </w:r>
      <w:r w:rsidRPr="00DE049F">
        <w:rPr>
          <w:vertAlign w:val="superscript"/>
        </w:rPr>
        <w:t>86</w:t>
      </w:r>
      <w:r>
        <w:t xml:space="preserve">Sr ratio calculated with umole/ml values taken from Figure 1b are plotted against </w:t>
      </w:r>
      <w:r w:rsidRPr="00DE049F">
        <w:rPr>
          <w:vertAlign w:val="superscript"/>
        </w:rPr>
        <w:t>87</w:t>
      </w:r>
      <w:r w:rsidRPr="008C2358">
        <w:t>Sr</w:t>
      </w:r>
      <w:r>
        <w:t>:</w:t>
      </w:r>
      <w:r w:rsidRPr="00DE049F">
        <w:rPr>
          <w:vertAlign w:val="superscript"/>
        </w:rPr>
        <w:t>86</w:t>
      </w:r>
      <w:r>
        <w:t>Sr ratios calculated with ug/ml values from Figure S</w:t>
      </w:r>
      <w:r w:rsidR="00AB1BF0">
        <w:t>1a</w:t>
      </w:r>
      <w:r w:rsidR="00037E4E">
        <w:t>.</w:t>
      </w:r>
    </w:p>
    <w:p w14:paraId="683201FF" w14:textId="5F6564FE" w:rsidR="009021CC" w:rsidRDefault="009021CC" w:rsidP="002631CE">
      <w:pPr>
        <w:pStyle w:val="Heading1"/>
        <w:spacing w:before="0" w:after="3" w:line="473" w:lineRule="auto"/>
        <w:ind w:right="144"/>
        <w:jc w:val="both"/>
        <w:rPr>
          <w:lang w:val="en-US" w:eastAsia="ja-JP"/>
        </w:rPr>
      </w:pPr>
      <w:r>
        <w:rPr>
          <w:lang w:val="en-US" w:eastAsia="ja-JP"/>
        </w:rPr>
        <w:t>-</w:t>
      </w:r>
    </w:p>
    <w:p w14:paraId="10D08702" w14:textId="7D5ED878" w:rsidR="00DE415B" w:rsidRPr="00E255E3" w:rsidRDefault="00DE415B" w:rsidP="002631CE">
      <w:pPr>
        <w:pStyle w:val="Heading1"/>
        <w:spacing w:before="0" w:after="3" w:line="473" w:lineRule="auto"/>
        <w:ind w:right="144"/>
        <w:jc w:val="both"/>
        <w:rPr>
          <w:lang w:val="en-US" w:eastAsia="ja-JP"/>
        </w:rPr>
      </w:pPr>
      <w:r>
        <w:rPr>
          <w:lang w:val="en-US" w:eastAsia="ja-JP"/>
        </w:rPr>
        <w:t>3</w:t>
      </w:r>
      <w:r w:rsidRPr="00E255E3">
        <w:rPr>
          <w:lang w:val="en-US" w:eastAsia="ja-JP"/>
        </w:rPr>
        <w:t xml:space="preserve">. FORMULAS FOR CONVERTING ISOTOPIC RATIOS TO PORTION OF TOTAL ELEMENT DERIVED FROM </w:t>
      </w:r>
      <w:r w:rsidR="00AD12DF">
        <w:rPr>
          <w:lang w:val="en-US" w:eastAsia="ja-JP"/>
        </w:rPr>
        <w:t xml:space="preserve">AN ADDED </w:t>
      </w:r>
      <w:r w:rsidRPr="00E255E3">
        <w:rPr>
          <w:lang w:val="en-US" w:eastAsia="ja-JP"/>
        </w:rPr>
        <w:t>SOURCE</w:t>
      </w:r>
    </w:p>
    <w:p w14:paraId="2AD81C96" w14:textId="3B7CFE5B" w:rsidR="00DE415B" w:rsidRPr="00E255E3" w:rsidRDefault="00DE415B" w:rsidP="002631CE">
      <w:pPr>
        <w:pStyle w:val="Displayedequation"/>
        <w:spacing w:before="0" w:after="3" w:line="473" w:lineRule="auto"/>
        <w:ind w:right="144"/>
        <w:jc w:val="both"/>
        <w:rPr>
          <w:lang w:val="en-US" w:eastAsia="ja-JP"/>
        </w:rPr>
      </w:pPr>
      <w:r w:rsidRPr="00E255E3">
        <w:rPr>
          <w:lang w:val="en-US" w:eastAsia="ja-JP"/>
        </w:rPr>
        <w:t xml:space="preserve">% Derived from </w:t>
      </w:r>
      <w:r w:rsidR="00932287">
        <w:rPr>
          <w:lang w:val="en-US" w:eastAsia="ja-JP"/>
        </w:rPr>
        <w:t xml:space="preserve">an </w:t>
      </w:r>
      <w:r w:rsidR="00531A99">
        <w:rPr>
          <w:lang w:val="en-US" w:eastAsia="ja-JP"/>
        </w:rPr>
        <w:t xml:space="preserve">added </w:t>
      </w:r>
      <w:r w:rsidRPr="00E255E3">
        <w:rPr>
          <w:lang w:val="en-US" w:eastAsia="ja-JP"/>
        </w:rPr>
        <w:t>source = (atom % of sample – atom % natural abundance)</w:t>
      </w:r>
      <w:r>
        <w:rPr>
          <w:lang w:val="en-US" w:eastAsia="ja-JP"/>
        </w:rPr>
        <w:t xml:space="preserve"> </w:t>
      </w:r>
      <w:r w:rsidRPr="00E255E3">
        <w:rPr>
          <w:lang w:val="en-US" w:eastAsia="ja-JP"/>
        </w:rPr>
        <w:t>/</w:t>
      </w:r>
      <w:r>
        <w:rPr>
          <w:lang w:val="en-US" w:eastAsia="ja-JP"/>
        </w:rPr>
        <w:t xml:space="preserve"> </w:t>
      </w:r>
      <w:r w:rsidRPr="00E255E3">
        <w:rPr>
          <w:lang w:val="en-US" w:eastAsia="ja-JP"/>
        </w:rPr>
        <w:t>(atom % of source – atom % of natural abundance) x 100</w:t>
      </w:r>
    </w:p>
    <w:p w14:paraId="3FCD7D8F" w14:textId="77777777" w:rsidR="00DE415B" w:rsidRPr="00E255E3" w:rsidRDefault="00DE415B" w:rsidP="002631CE">
      <w:pPr>
        <w:pStyle w:val="Paragraph"/>
        <w:spacing w:before="0" w:after="3" w:line="473" w:lineRule="auto"/>
        <w:ind w:right="144"/>
        <w:jc w:val="both"/>
        <w:rPr>
          <w:lang w:val="en-US" w:eastAsia="ja-JP"/>
        </w:rPr>
      </w:pPr>
      <w:r w:rsidRPr="00E255E3">
        <w:rPr>
          <w:lang w:val="en-US" w:eastAsia="ja-JP"/>
        </w:rPr>
        <w:t xml:space="preserve">or </w:t>
      </w:r>
    </w:p>
    <w:p w14:paraId="4956B356" w14:textId="3E32CFFB" w:rsidR="00DE415B" w:rsidRPr="00E255E3" w:rsidRDefault="00DE415B" w:rsidP="002631CE">
      <w:pPr>
        <w:pStyle w:val="Displayedequation"/>
        <w:spacing w:before="0" w:after="3" w:line="473" w:lineRule="auto"/>
        <w:ind w:right="144"/>
        <w:jc w:val="both"/>
        <w:rPr>
          <w:lang w:val="en-US" w:eastAsia="ja-JP"/>
        </w:rPr>
      </w:pPr>
      <w:r w:rsidRPr="00E255E3">
        <w:rPr>
          <w:lang w:val="en-US" w:eastAsia="ja-JP"/>
        </w:rPr>
        <w:t xml:space="preserve">% derived from </w:t>
      </w:r>
      <w:r w:rsidR="00932287">
        <w:rPr>
          <w:lang w:val="en-US" w:eastAsia="ja-JP"/>
        </w:rPr>
        <w:t xml:space="preserve">an </w:t>
      </w:r>
      <w:r w:rsidR="00531A99">
        <w:rPr>
          <w:lang w:val="en-US" w:eastAsia="ja-JP"/>
        </w:rPr>
        <w:t xml:space="preserve">added </w:t>
      </w:r>
      <w:r w:rsidRPr="00E255E3">
        <w:rPr>
          <w:lang w:val="en-US" w:eastAsia="ja-JP"/>
        </w:rPr>
        <w:t>source = % atom excess of sample</w:t>
      </w:r>
      <w:r>
        <w:rPr>
          <w:lang w:val="en-US" w:eastAsia="ja-JP"/>
        </w:rPr>
        <w:t xml:space="preserve"> </w:t>
      </w:r>
      <w:r w:rsidRPr="00E255E3">
        <w:rPr>
          <w:lang w:val="en-US" w:eastAsia="ja-JP"/>
        </w:rPr>
        <w:t>/ % atom excess of source</w:t>
      </w:r>
    </w:p>
    <w:p w14:paraId="7961063F" w14:textId="7B24BAA1" w:rsidR="00DE415B" w:rsidRPr="00DE415B" w:rsidRDefault="00DE415B" w:rsidP="002631CE">
      <w:pPr>
        <w:pStyle w:val="Paragraph"/>
        <w:spacing w:before="0" w:after="3" w:line="473" w:lineRule="auto"/>
        <w:ind w:right="144"/>
        <w:jc w:val="both"/>
        <w:rPr>
          <w:u w:val="single"/>
          <w:lang w:val="en-US" w:eastAsia="ja-JP"/>
        </w:rPr>
      </w:pPr>
      <w:r w:rsidRPr="00E255E3">
        <w:rPr>
          <w:lang w:val="en-US" w:eastAsia="ja-JP"/>
        </w:rPr>
        <w:t>Where % atom excess equals atom % minus natural abundance</w:t>
      </w:r>
    </w:p>
    <w:p w14:paraId="2E585DF5" w14:textId="6B0D541E" w:rsidR="00FE1639" w:rsidRDefault="00DE415B" w:rsidP="002631CE">
      <w:pPr>
        <w:pStyle w:val="Paragraph"/>
        <w:spacing w:before="0" w:after="3" w:line="473" w:lineRule="auto"/>
        <w:ind w:right="144"/>
        <w:jc w:val="both"/>
        <w:rPr>
          <w:b/>
          <w:bCs/>
        </w:rPr>
      </w:pPr>
      <w:r>
        <w:rPr>
          <w:b/>
          <w:bCs/>
        </w:rPr>
        <w:t>4</w:t>
      </w:r>
      <w:r w:rsidR="00FE1639">
        <w:rPr>
          <w:b/>
          <w:bCs/>
        </w:rPr>
        <w:t>. REVIEW OF RATIO LITERATURE INCLUDING ISOTOPIC WARNINGS</w:t>
      </w:r>
    </w:p>
    <w:p w14:paraId="4231D9E5" w14:textId="5E16D4B3" w:rsidR="00FE1639" w:rsidRPr="00F66EF7" w:rsidRDefault="00FE1639" w:rsidP="00F66EF7">
      <w:pPr>
        <w:pStyle w:val="Newparagraph"/>
        <w:spacing w:after="3" w:line="473" w:lineRule="auto"/>
        <w:ind w:right="144"/>
        <w:jc w:val="both"/>
        <w:rPr>
          <w:lang w:val="en-US"/>
        </w:rPr>
      </w:pPr>
      <w:r>
        <w:rPr>
          <w:lang w:val="en-US"/>
        </w:rPr>
        <w:t>R</w:t>
      </w:r>
      <w:r w:rsidRPr="00BC76FD">
        <w:rPr>
          <w:lang w:val="en-US"/>
        </w:rPr>
        <w:t xml:space="preserve">atios often lead to biased or even opposite conclusions concerning the actual relationships between the denominator and numerator (Atchley et al. 1976; Jackson et al. 1990; Jasienski and Bazzaz 1999; Isles 2020). This is not a new issue, having been first reported by Pearson (1897) and elegantly restated by Tanner in </w:t>
      </w:r>
      <w:r w:rsidR="00F1255F">
        <w:rPr>
          <w:lang w:val="en-US"/>
        </w:rPr>
        <w:t>(</w:t>
      </w:r>
      <w:r w:rsidRPr="00BC76FD">
        <w:rPr>
          <w:lang w:val="en-US"/>
        </w:rPr>
        <w:t>1949</w:t>
      </w:r>
      <w:r w:rsidR="00F1255F">
        <w:rPr>
          <w:lang w:val="en-US"/>
        </w:rPr>
        <w:t>)</w:t>
      </w:r>
      <w:r w:rsidRPr="00BC76FD">
        <w:rPr>
          <w:lang w:val="en-US"/>
        </w:rPr>
        <w:t xml:space="preserve">. </w:t>
      </w:r>
      <w:r w:rsidRPr="00BC76FD">
        <w:rPr>
          <w:bCs/>
          <w:lang w:val="en-US"/>
        </w:rPr>
        <w:t xml:space="preserve">However, in many disciplines, the </w:t>
      </w:r>
      <w:r w:rsidRPr="00BC76FD">
        <w:rPr>
          <w:bCs/>
          <w:lang w:val="en-US"/>
        </w:rPr>
        <w:lastRenderedPageBreak/>
        <w:t xml:space="preserve">pitfalls of using ratios in scientific research have been ignored for decades </w:t>
      </w:r>
      <w:r w:rsidRPr="00BC76FD">
        <w:rPr>
          <w:lang w:val="en-US"/>
        </w:rPr>
        <w:t>(Jasienski and Bazzaz 1999; Righetti et al. 2007a)</w:t>
      </w:r>
      <w:r w:rsidRPr="00BC76FD">
        <w:rPr>
          <w:bCs/>
          <w:lang w:val="en-US"/>
        </w:rPr>
        <w:t xml:space="preserve">. There are many research papers with erroneous conclusions that can be corrected with a few simple additional analyses </w:t>
      </w:r>
      <w:r w:rsidRPr="00BC76FD">
        <w:rPr>
          <w:lang w:val="en-US"/>
        </w:rPr>
        <w:t>(Atchley et al. 1976; Jackson et al. 1990; Packard and Boardman 1998; Jasienski and Bazzaz 1999; Righetti et al. 2007a; Kratochvil and Fleger 2009)</w:t>
      </w:r>
      <w:r w:rsidRPr="00BC76FD">
        <w:rPr>
          <w:bCs/>
          <w:lang w:val="en-US"/>
        </w:rPr>
        <w:t>.</w:t>
      </w:r>
      <w:r w:rsidR="00F66EF7">
        <w:rPr>
          <w:bCs/>
          <w:lang w:val="en-US"/>
        </w:rPr>
        <w:t xml:space="preserve"> </w:t>
      </w:r>
      <w:r w:rsidR="00F66EF7" w:rsidRPr="00BC76FD">
        <w:rPr>
          <w:lang w:val="en-US"/>
        </w:rPr>
        <w:t>The use of ratios has been abandoned for many comparative evaluations, most notably in morphometrics (Kratochvil and Fleger 2009) and metabolic scaling (</w:t>
      </w:r>
      <w:r w:rsidR="00F66EF7" w:rsidRPr="00BC76FD">
        <w:rPr>
          <w:lang w:val="en-US" w:eastAsia="ja-JP"/>
        </w:rPr>
        <w:t>Enquist 2002; Xiao et al. 2011</w:t>
      </w:r>
      <w:r w:rsidR="00F66EF7" w:rsidRPr="00BC76FD">
        <w:rPr>
          <w:lang w:val="en-US"/>
        </w:rPr>
        <w:t xml:space="preserve">) studies. It is thus surprising that isotopic studies still rely almost exclusively on isotopic ratios or ratio-based expressions. </w:t>
      </w:r>
    </w:p>
    <w:p w14:paraId="4AA82DFA" w14:textId="4CF0A7A3" w:rsidR="00324B84" w:rsidRDefault="005E4093" w:rsidP="002631CE">
      <w:pPr>
        <w:pStyle w:val="Newparagraph"/>
        <w:spacing w:after="3" w:line="473" w:lineRule="auto"/>
        <w:ind w:right="144"/>
        <w:jc w:val="both"/>
        <w:rPr>
          <w:lang w:val="en-US"/>
        </w:rPr>
      </w:pPr>
      <w:r w:rsidRPr="00BC76FD">
        <w:rPr>
          <w:lang w:val="en-US"/>
        </w:rPr>
        <w:t xml:space="preserve">Rather than using ratios when evaluating experimental data, there is convincing evidence that either an evaluation of slopes (Righetti et al. 2007b) or using an analysis of covariance (ANCOVA) </w:t>
      </w:r>
      <w:r w:rsidR="00E55626" w:rsidRPr="00BC76FD">
        <w:rPr>
          <w:lang w:val="en-US"/>
        </w:rPr>
        <w:t>better define the true relationship between numerator and denominator.</w:t>
      </w:r>
      <w:r w:rsidRPr="00BC76FD">
        <w:rPr>
          <w:lang w:val="en-US"/>
        </w:rPr>
        <w:t xml:space="preserve"> </w:t>
      </w:r>
      <w:r w:rsidR="00324B84">
        <w:rPr>
          <w:lang w:val="en-US"/>
        </w:rPr>
        <w:t xml:space="preserve">ANCOVAS demonstrate whether treatment differences are direct or indirectly caused by different denominator size </w:t>
      </w:r>
      <w:r w:rsidR="00190740">
        <w:rPr>
          <w:lang w:val="en-US"/>
        </w:rPr>
        <w:t>by</w:t>
      </w:r>
      <w:r w:rsidR="00190740" w:rsidRPr="00BC76FD">
        <w:rPr>
          <w:lang w:val="en-US"/>
        </w:rPr>
        <w:t xml:space="preserve"> determin</w:t>
      </w:r>
      <w:r w:rsidR="00190740">
        <w:rPr>
          <w:lang w:val="en-US"/>
        </w:rPr>
        <w:t>ing i</w:t>
      </w:r>
      <w:r w:rsidR="00190740" w:rsidRPr="00BC76FD">
        <w:rPr>
          <w:lang w:val="en-US"/>
        </w:rPr>
        <w:t xml:space="preserve">f data for different treatments or conditions fall on the same or different denominator vs. numerator regression lines </w:t>
      </w:r>
      <w:r w:rsidR="00324B84" w:rsidRPr="00BC76FD">
        <w:rPr>
          <w:lang w:val="en-US"/>
        </w:rPr>
        <w:t>(Packard and Boardman 1998; Righetti et al. 2007a; Kratochvil and Fleger, 2009)</w:t>
      </w:r>
      <w:r w:rsidR="00324B84">
        <w:rPr>
          <w:lang w:val="en-US"/>
        </w:rPr>
        <w:t>.</w:t>
      </w:r>
    </w:p>
    <w:p w14:paraId="077ECEB4" w14:textId="489D3B43" w:rsidR="005E4093" w:rsidRDefault="005E4093" w:rsidP="002631CE">
      <w:pPr>
        <w:pStyle w:val="Newparagraph"/>
        <w:spacing w:after="3" w:line="473" w:lineRule="auto"/>
        <w:ind w:right="144"/>
        <w:jc w:val="both"/>
        <w:rPr>
          <w:lang w:val="en-US"/>
        </w:rPr>
      </w:pPr>
      <w:r w:rsidRPr="00BC76FD">
        <w:rPr>
          <w:lang w:val="en-US"/>
        </w:rPr>
        <w:t xml:space="preserve">Traditional log-log scaling analyses </w:t>
      </w:r>
      <w:r w:rsidRPr="00BC76FD">
        <w:rPr>
          <w:lang w:val="en-US" w:eastAsia="ja-JP"/>
        </w:rPr>
        <w:t xml:space="preserve">(Kerkhoff and Enquist, 2009; Xiao et al. 2011) </w:t>
      </w:r>
      <w:r w:rsidRPr="00BC76FD">
        <w:rPr>
          <w:lang w:val="en-US"/>
        </w:rPr>
        <w:t>are also often used to determine if</w:t>
      </w:r>
      <w:r w:rsidRPr="00BC76FD">
        <w:rPr>
          <w:b/>
          <w:bCs/>
          <w:lang w:val="en-US"/>
        </w:rPr>
        <w:t xml:space="preserve"> </w:t>
      </w:r>
      <w:r w:rsidRPr="00BC76FD">
        <w:rPr>
          <w:lang w:val="en-US"/>
        </w:rPr>
        <w:t>treatments or conditions fall on the same or different allometric lines. Log denominator vs. log numerator plots can therefore be used to determine if differing proportional relationships are caused by fundamental differences among species or treatments; or if ratio differences are simply due to scaling effects (Glazier 2021).</w:t>
      </w:r>
      <w:r w:rsidR="00DD7813">
        <w:rPr>
          <w:lang w:val="en-US"/>
        </w:rPr>
        <w:t xml:space="preserve"> Scaling concepts, although most often applied to metabolic data have been expanded to include isotop</w:t>
      </w:r>
      <w:r w:rsidR="007A7A9B">
        <w:rPr>
          <w:lang w:val="en-US"/>
        </w:rPr>
        <w:t>es</w:t>
      </w:r>
      <w:r w:rsidR="00A94C81">
        <w:rPr>
          <w:lang w:val="en-US"/>
        </w:rPr>
        <w:t>.</w:t>
      </w:r>
      <w:r w:rsidR="00DD7813" w:rsidRPr="00DD7813">
        <w:t xml:space="preserve"> </w:t>
      </w:r>
      <w:r w:rsidR="00FE59B6">
        <w:t xml:space="preserve">Tejada-Lara et al. </w:t>
      </w:r>
      <w:r w:rsidR="00A94C81">
        <w:t>(</w:t>
      </w:r>
      <w:r w:rsidR="00FE59B6">
        <w:t>2018</w:t>
      </w:r>
      <w:r w:rsidR="007A7A9B">
        <w:t>)</w:t>
      </w:r>
      <w:r w:rsidR="00A94C81">
        <w:t xml:space="preserve"> state that</w:t>
      </w:r>
      <w:r w:rsidR="007A7A9B">
        <w:t xml:space="preserve"> </w:t>
      </w:r>
      <w:r w:rsidR="00A94C81">
        <w:t>f</w:t>
      </w:r>
      <w:r w:rsidR="00DD7813">
        <w:t xml:space="preserve">or almost two decades, most carbon isotope-based ecological </w:t>
      </w:r>
      <w:r w:rsidR="007A7A9B">
        <w:t>tooth evaluations</w:t>
      </w:r>
      <w:r w:rsidR="00DD7813">
        <w:t xml:space="preserve"> </w:t>
      </w:r>
      <w:r w:rsidR="00FE59B6">
        <w:t>o</w:t>
      </w:r>
      <w:r w:rsidR="00DD7813">
        <w:t xml:space="preserve">f extant and extinct herbivorous mammals have used </w:t>
      </w:r>
      <w:r w:rsidR="002E5A46">
        <w:t>a</w:t>
      </w:r>
      <w:r w:rsidR="00A94C81">
        <w:t xml:space="preserve"> </w:t>
      </w:r>
      <w:r w:rsidR="00A94C81" w:rsidRPr="00A94C81">
        <w:rPr>
          <w:vertAlign w:val="superscript"/>
        </w:rPr>
        <w:t>13</w:t>
      </w:r>
      <w:r w:rsidR="00A94C81">
        <w:t>C</w:t>
      </w:r>
      <w:r w:rsidR="002E5A46">
        <w:t xml:space="preserve"> isotope </w:t>
      </w:r>
      <w:r w:rsidR="00A94C81">
        <w:t>fractionation</w:t>
      </w:r>
      <w:r w:rsidR="002E5A46">
        <w:t xml:space="preserve"> </w:t>
      </w:r>
      <w:r w:rsidR="00A94C81">
        <w:t xml:space="preserve">factor of 14.1 ‰. </w:t>
      </w:r>
      <w:r w:rsidR="00DD7813">
        <w:t xml:space="preserve">Assuming this single value applies to all herbivorous mammals, from tiny monkeys to giant </w:t>
      </w:r>
      <w:r w:rsidR="00DD7813">
        <w:lastRenderedPageBreak/>
        <w:t xml:space="preserve">elephants, overlooks potential scaling </w:t>
      </w:r>
      <w:r w:rsidR="007A7A9B">
        <w:t>effect</w:t>
      </w:r>
      <w:r w:rsidR="00DD7813">
        <w:t>s</w:t>
      </w:r>
      <w:r w:rsidR="007A7A9B">
        <w:t xml:space="preserve"> (</w:t>
      </w:r>
      <w:r w:rsidR="00FE59B6">
        <w:t>Tejada-Lara et al. 2018</w:t>
      </w:r>
      <w:r w:rsidR="007A7A9B">
        <w:t>).</w:t>
      </w:r>
      <w:r w:rsidR="00DD7813">
        <w:t xml:space="preserve"> A single-factor body mass model </w:t>
      </w:r>
      <w:r w:rsidR="004B1C06">
        <w:t xml:space="preserve">that predicts </w:t>
      </w:r>
      <w:r w:rsidR="004B1C06" w:rsidRPr="004B1C06">
        <w:rPr>
          <w:vertAlign w:val="superscript"/>
        </w:rPr>
        <w:t>13</w:t>
      </w:r>
      <w:r w:rsidR="004B1C06">
        <w:t>C:</w:t>
      </w:r>
      <w:r w:rsidR="004B1C06" w:rsidRPr="004B1C06">
        <w:rPr>
          <w:vertAlign w:val="superscript"/>
        </w:rPr>
        <w:t>12</w:t>
      </w:r>
      <w:r w:rsidR="004B1C06">
        <w:t xml:space="preserve">C ratios </w:t>
      </w:r>
      <w:r w:rsidR="00DD7813">
        <w:t>over more than 5 orders of magnitude of body sizes outperforms all other single factor or more complex combinatorial models evaluated, including  metabolic rate and body temperature proxies</w:t>
      </w:r>
      <w:r w:rsidR="007A7A9B">
        <w:t xml:space="preserve"> (</w:t>
      </w:r>
      <w:r w:rsidR="00FE59B6">
        <w:t>Tejada-Lara et al. 2018</w:t>
      </w:r>
      <w:r w:rsidR="007A7A9B">
        <w:t>)</w:t>
      </w:r>
      <w:r w:rsidR="00DD7813">
        <w:t>.</w:t>
      </w:r>
      <w:r w:rsidR="00E018FA">
        <w:t xml:space="preserve"> Physiological differences between a monogastric mouse and a ruminant cow could affect </w:t>
      </w:r>
      <w:r w:rsidR="00E018FA" w:rsidRPr="004B1C06">
        <w:rPr>
          <w:vertAlign w:val="superscript"/>
        </w:rPr>
        <w:t>13</w:t>
      </w:r>
      <w:r w:rsidR="00E018FA">
        <w:t>C:</w:t>
      </w:r>
      <w:r w:rsidR="00E018FA" w:rsidRPr="004B1C06">
        <w:rPr>
          <w:vertAlign w:val="superscript"/>
        </w:rPr>
        <w:t>12</w:t>
      </w:r>
      <w:r w:rsidR="00E018FA">
        <w:t>C ratios, but the comparison will be confounded by massive differences in animal size.</w:t>
      </w:r>
    </w:p>
    <w:p w14:paraId="2610E56E" w14:textId="1994F145" w:rsidR="00FE1639" w:rsidRPr="00BC76FD" w:rsidRDefault="007A7A9B" w:rsidP="002631CE">
      <w:pPr>
        <w:pStyle w:val="Newparagraph"/>
        <w:spacing w:after="3" w:line="473" w:lineRule="auto"/>
        <w:ind w:right="144"/>
        <w:jc w:val="both"/>
        <w:rPr>
          <w:lang w:val="en-US"/>
        </w:rPr>
      </w:pPr>
      <w:r>
        <w:rPr>
          <w:lang w:val="en-US"/>
        </w:rPr>
        <w:t xml:space="preserve">There are other studies </w:t>
      </w:r>
      <w:r w:rsidR="00FE1639" w:rsidRPr="00BC76FD">
        <w:rPr>
          <w:lang w:val="en-US"/>
        </w:rPr>
        <w:t>suggest</w:t>
      </w:r>
      <w:r>
        <w:rPr>
          <w:lang w:val="en-US"/>
        </w:rPr>
        <w:t>ing</w:t>
      </w:r>
      <w:r w:rsidR="00FE1639" w:rsidRPr="00BC76FD">
        <w:rPr>
          <w:lang w:val="en-US"/>
        </w:rPr>
        <w:t xml:space="preserve"> that the “ratio problem” applies to isotopic data</w:t>
      </w:r>
      <w:r w:rsidR="007662E9">
        <w:rPr>
          <w:lang w:val="en-US"/>
        </w:rPr>
        <w:t xml:space="preserve"> when denominator concentration or total content vary</w:t>
      </w:r>
      <w:r w:rsidR="00FE1639" w:rsidRPr="00BC76FD">
        <w:rPr>
          <w:lang w:val="en-US"/>
        </w:rPr>
        <w:t xml:space="preserve">. For example, Phillips and Koch (2002) suggested that </w:t>
      </w:r>
      <w:r w:rsidR="00FE1639" w:rsidRPr="00BC76FD">
        <w:rPr>
          <w:vertAlign w:val="superscript"/>
          <w:lang w:val="en-US"/>
        </w:rPr>
        <w:t>15</w:t>
      </w:r>
      <w:r w:rsidR="00FE1639" w:rsidRPr="00BC76FD">
        <w:rPr>
          <w:lang w:val="en-US"/>
        </w:rPr>
        <w:t>N:</w:t>
      </w:r>
      <w:r w:rsidR="00FE1639" w:rsidRPr="00BC76FD">
        <w:rPr>
          <w:vertAlign w:val="superscript"/>
          <w:lang w:val="en-US"/>
        </w:rPr>
        <w:t>14</w:t>
      </w:r>
      <w:r w:rsidR="00FE1639" w:rsidRPr="00BC76FD">
        <w:rPr>
          <w:lang w:val="en-US"/>
        </w:rPr>
        <w:t xml:space="preserve">N isotopic ratios will depend on nitrogen concentrations. Phillips and Koch (2002) further state that the use of standard models when concentration variations are large may produce misleading results with major ramifications on assessments of feeding ecology and management strategies. Since total element concentration is strongly correlated to the denominator in an isotopic ratio, Phillips’ and Koch’s (2002) argument is similar to suggestions that the actual relationships between the denominator and numerator are often obscured when the denominator of a ratio varies in size among treatments. (Atchley et al. 1976; Packard and Boardman 1998; Righetti et al. 2007a; Kratochvil and Fleger 2009). </w:t>
      </w:r>
    </w:p>
    <w:p w14:paraId="35DDBCC3" w14:textId="77777777" w:rsidR="00BE59D9" w:rsidRDefault="00FE1639" w:rsidP="002631CE">
      <w:pPr>
        <w:pStyle w:val="Newparagraph"/>
        <w:spacing w:after="3" w:line="473" w:lineRule="auto"/>
        <w:ind w:right="144"/>
        <w:jc w:val="both"/>
        <w:rPr>
          <w:lang w:val="en-US"/>
        </w:rPr>
      </w:pPr>
      <w:r w:rsidRPr="00BC76FD">
        <w:rPr>
          <w:lang w:val="en-US"/>
        </w:rPr>
        <w:t xml:space="preserve">Phillips’ and Koch’s (2002) concentration-weighted models are far more complex than the simpler source evaluations proposed here, but both approaches deal with the same fundamental problem. Pearson et al. (2003) verified the Phillips and Koch (2002) studies for both C and N isotopes and stated that it is critical that concentrations of elements be considered when attempting to use isotopic signatures to reconstruct diets. </w:t>
      </w:r>
    </w:p>
    <w:p w14:paraId="75671B92" w14:textId="75CA056C" w:rsidR="00E018FA" w:rsidRDefault="00BE59D9" w:rsidP="001D7B21">
      <w:pPr>
        <w:pStyle w:val="Newparagraph"/>
        <w:spacing w:after="3" w:line="473" w:lineRule="auto"/>
        <w:ind w:right="14"/>
        <w:jc w:val="both"/>
      </w:pPr>
      <w:r w:rsidRPr="00DD2C1A">
        <w:rPr>
          <w:lang w:val="en-US" w:eastAsia="ja-JP"/>
        </w:rPr>
        <w:t xml:space="preserve">Villamarín et al. </w:t>
      </w:r>
      <w:r>
        <w:rPr>
          <w:lang w:val="en-US" w:eastAsia="ja-JP"/>
        </w:rPr>
        <w:t>(</w:t>
      </w:r>
      <w:r w:rsidRPr="00DD2C1A">
        <w:rPr>
          <w:lang w:val="en-US" w:eastAsia="ja-JP"/>
        </w:rPr>
        <w:t>2018</w:t>
      </w:r>
      <w:r>
        <w:rPr>
          <w:lang w:val="en-US" w:eastAsia="ja-JP"/>
        </w:rPr>
        <w:t xml:space="preserve">) studying crocodilians and </w:t>
      </w:r>
      <w:r w:rsidRPr="00DD2C1A">
        <w:rPr>
          <w:lang w:val="en-US" w:eastAsia="ja-JP"/>
        </w:rPr>
        <w:t xml:space="preserve">Jacobi et al. </w:t>
      </w:r>
      <w:r>
        <w:rPr>
          <w:lang w:val="en-US" w:eastAsia="ja-JP"/>
        </w:rPr>
        <w:t>(</w:t>
      </w:r>
      <w:r w:rsidRPr="00DD2C1A">
        <w:rPr>
          <w:lang w:val="en-US" w:eastAsia="ja-JP"/>
        </w:rPr>
        <w:t xml:space="preserve">2020) </w:t>
      </w:r>
      <w:r>
        <w:rPr>
          <w:lang w:val="en-US" w:eastAsia="ja-JP"/>
        </w:rPr>
        <w:t xml:space="preserve">studying an Amazon fish </w:t>
      </w:r>
      <w:r w:rsidRPr="00DD2C1A">
        <w:rPr>
          <w:lang w:val="en-US" w:eastAsia="ja-JP"/>
        </w:rPr>
        <w:t>(</w:t>
      </w:r>
      <w:r w:rsidRPr="00DD2C1A">
        <w:rPr>
          <w:i/>
          <w:iCs/>
          <w:lang w:val="en-US" w:eastAsia="ja-JP"/>
        </w:rPr>
        <w:t>Arapaima</w:t>
      </w:r>
      <w:r w:rsidRPr="00DD2C1A">
        <w:rPr>
          <w:lang w:val="en-US" w:eastAsia="ja-JP"/>
        </w:rPr>
        <w:t>)</w:t>
      </w:r>
      <w:r>
        <w:rPr>
          <w:lang w:val="en-US" w:eastAsia="ja-JP"/>
        </w:rPr>
        <w:t xml:space="preserve">, </w:t>
      </w:r>
      <w:r w:rsidRPr="00DD2C1A">
        <w:rPr>
          <w:lang w:val="en-US" w:eastAsia="ja-JP"/>
        </w:rPr>
        <w:t xml:space="preserve">suggest it is possible that body size (and covarying total N) indirectly contribute to </w:t>
      </w:r>
      <w:r w:rsidRPr="00DD2C1A">
        <w:rPr>
          <w:vertAlign w:val="superscript"/>
          <w:lang w:val="en-US" w:eastAsia="ja-JP"/>
        </w:rPr>
        <w:t>15</w:t>
      </w:r>
      <w:r w:rsidRPr="00DD2C1A">
        <w:rPr>
          <w:lang w:val="en-US" w:eastAsia="ja-JP"/>
        </w:rPr>
        <w:t>N:</w:t>
      </w:r>
      <w:r w:rsidRPr="00DD2C1A">
        <w:rPr>
          <w:vertAlign w:val="superscript"/>
          <w:lang w:val="en-US" w:eastAsia="ja-JP"/>
        </w:rPr>
        <w:t>14</w:t>
      </w:r>
      <w:r w:rsidRPr="00DD2C1A">
        <w:rPr>
          <w:lang w:val="en-US" w:eastAsia="ja-JP"/>
        </w:rPr>
        <w:t xml:space="preserve">N ratio differences between predators and prey. This could either mask or enhance trophic </w:t>
      </w:r>
      <w:r w:rsidRPr="00DD2C1A">
        <w:rPr>
          <w:lang w:val="en-US" w:eastAsia="ja-JP"/>
        </w:rPr>
        <w:lastRenderedPageBreak/>
        <w:t xml:space="preserve">level induced isotopic </w:t>
      </w:r>
      <w:r>
        <w:rPr>
          <w:lang w:val="en-US" w:eastAsia="ja-JP"/>
        </w:rPr>
        <w:t>differences</w:t>
      </w:r>
      <w:r w:rsidRPr="00DD2C1A">
        <w:rPr>
          <w:lang w:val="en-US" w:eastAsia="ja-JP"/>
        </w:rPr>
        <w:t xml:space="preserve">. </w:t>
      </w:r>
      <w:r>
        <w:rPr>
          <w:lang w:val="en-US" w:eastAsia="ja-JP"/>
        </w:rPr>
        <w:t xml:space="preserve">In the </w:t>
      </w:r>
      <w:r w:rsidRPr="00DD2C1A">
        <w:rPr>
          <w:lang w:val="en-US" w:eastAsia="ja-JP"/>
        </w:rPr>
        <w:t xml:space="preserve">Villamarín et al. (2018) </w:t>
      </w:r>
      <w:r>
        <w:rPr>
          <w:lang w:val="en-US" w:eastAsia="ja-JP"/>
        </w:rPr>
        <w:t xml:space="preserve">study, </w:t>
      </w:r>
      <w:r w:rsidRPr="00DD2C1A">
        <w:rPr>
          <w:lang w:val="en-US" w:eastAsia="ja-JP"/>
        </w:rPr>
        <w:t xml:space="preserve">stable </w:t>
      </w:r>
      <w:r>
        <w:rPr>
          <w:lang w:val="en-US" w:eastAsia="ja-JP"/>
        </w:rPr>
        <w:t xml:space="preserve">N </w:t>
      </w:r>
      <w:r w:rsidRPr="00DD2C1A">
        <w:rPr>
          <w:lang w:val="en-US" w:eastAsia="ja-JP"/>
        </w:rPr>
        <w:t xml:space="preserve">isotope estimates of trophic position in crocodilians are not supported by diet (stomach contents). Whitledge and Rabeni (1997) also present data where </w:t>
      </w:r>
      <w:r>
        <w:rPr>
          <w:lang w:val="en-US" w:eastAsia="ja-JP"/>
        </w:rPr>
        <w:t xml:space="preserve">N </w:t>
      </w:r>
      <w:r w:rsidRPr="00DD2C1A">
        <w:rPr>
          <w:lang w:val="en-US" w:eastAsia="ja-JP"/>
        </w:rPr>
        <w:t>isotop</w:t>
      </w:r>
      <w:r>
        <w:rPr>
          <w:lang w:val="en-US" w:eastAsia="ja-JP"/>
        </w:rPr>
        <w:t xml:space="preserve">e </w:t>
      </w:r>
      <w:r w:rsidRPr="00DD2C1A">
        <w:rPr>
          <w:lang w:val="en-US" w:eastAsia="ja-JP"/>
        </w:rPr>
        <w:t>defined trophic levels do not agree with stomach contents in crayfish (</w:t>
      </w:r>
      <w:r w:rsidRPr="00DD2C1A">
        <w:rPr>
          <w:i/>
          <w:iCs/>
          <w:lang w:val="en-US" w:eastAsia="ja-JP"/>
        </w:rPr>
        <w:t>Orconectes</w:t>
      </w:r>
      <w:r w:rsidRPr="00DD2C1A">
        <w:rPr>
          <w:lang w:val="en-US" w:eastAsia="ja-JP"/>
        </w:rPr>
        <w:t xml:space="preserve"> species).</w:t>
      </w:r>
      <w:r w:rsidR="001D7B21">
        <w:rPr>
          <w:lang w:val="en-US" w:eastAsia="ja-JP"/>
        </w:rPr>
        <w:t xml:space="preserve"> </w:t>
      </w:r>
      <w:r w:rsidR="00FE1639" w:rsidRPr="00BC76FD">
        <w:rPr>
          <w:lang w:val="en-US"/>
        </w:rPr>
        <w:t xml:space="preserve">Righetti et al. (2012) reported that </w:t>
      </w:r>
      <w:r w:rsidR="001D7B21" w:rsidRPr="001D7B21">
        <w:rPr>
          <w:vertAlign w:val="superscript"/>
          <w:lang w:val="en-US"/>
        </w:rPr>
        <w:t>15</w:t>
      </w:r>
      <w:r w:rsidR="001D7B21">
        <w:rPr>
          <w:lang w:val="en-US"/>
        </w:rPr>
        <w:t>N:</w:t>
      </w:r>
      <w:r w:rsidR="001D7B21" w:rsidRPr="001D7B21">
        <w:rPr>
          <w:vertAlign w:val="superscript"/>
          <w:lang w:val="en-US"/>
        </w:rPr>
        <w:t>14</w:t>
      </w:r>
      <w:r w:rsidR="001D7B21">
        <w:rPr>
          <w:lang w:val="en-US"/>
        </w:rPr>
        <w:t xml:space="preserve">N </w:t>
      </w:r>
      <w:r w:rsidR="00FE1639" w:rsidRPr="00BC76FD">
        <w:rPr>
          <w:lang w:val="en-US"/>
        </w:rPr>
        <w:t>isotopic ratios are related to total element concentrations</w:t>
      </w:r>
      <w:r w:rsidR="00FE1639">
        <w:rPr>
          <w:lang w:val="en-US"/>
        </w:rPr>
        <w:t>.</w:t>
      </w:r>
      <w:r w:rsidR="00FE1639">
        <w:t xml:space="preserve"> </w:t>
      </w:r>
      <w:r w:rsidR="00416BA9">
        <w:t xml:space="preserve">Using </w:t>
      </w:r>
      <w:r w:rsidR="0076699A">
        <w:t>a</w:t>
      </w:r>
      <w:r w:rsidR="00FE1639">
        <w:t xml:space="preserve">n </w:t>
      </w:r>
      <w:r w:rsidR="00416BA9">
        <w:t>ANCOVA</w:t>
      </w:r>
      <w:r w:rsidR="00FE1639">
        <w:t xml:space="preserve"> </w:t>
      </w:r>
      <w:r w:rsidR="00FE1639" w:rsidRPr="00BC76FD">
        <w:rPr>
          <w:lang w:val="en-US"/>
        </w:rPr>
        <w:t xml:space="preserve">to determine if data for different treatments or conditions fall on the same or different </w:t>
      </w:r>
      <w:r w:rsidR="00FE1639">
        <w:t xml:space="preserve">total N gain vs. fertilizer N </w:t>
      </w:r>
      <w:r w:rsidR="00FE1639" w:rsidRPr="00BC76FD">
        <w:rPr>
          <w:lang w:val="en-US"/>
        </w:rPr>
        <w:t>regression lines</w:t>
      </w:r>
      <w:r w:rsidR="00FE1639">
        <w:rPr>
          <w:lang w:val="en-US"/>
        </w:rPr>
        <w:t xml:space="preserve"> can</w:t>
      </w:r>
      <w:r w:rsidR="00FE1639" w:rsidRPr="00BC76FD">
        <w:rPr>
          <w:lang w:val="en-US"/>
        </w:rPr>
        <w:t xml:space="preserve"> </w:t>
      </w:r>
      <w:r w:rsidR="00FE1639">
        <w:t xml:space="preserve">account for differences in NDFF for different </w:t>
      </w:r>
      <w:r>
        <w:t xml:space="preserve">plant </w:t>
      </w:r>
      <w:r w:rsidR="00FE1639">
        <w:t xml:space="preserve">tissues and genera (Righetti et al. 2007c). </w:t>
      </w:r>
      <w:r w:rsidR="00AA43EB">
        <w:t xml:space="preserve">Denominator size-related scaling effects are not limited to N and C isotopes. </w:t>
      </w:r>
      <w:r w:rsidR="00AA43EB">
        <w:rPr>
          <w:lang w:val="en-US" w:eastAsia="ja-JP"/>
        </w:rPr>
        <w:t>I</w:t>
      </w:r>
      <w:r w:rsidR="00AA43EB">
        <w:rPr>
          <w:rStyle w:val="e24kjd"/>
          <w:rFonts w:asciiTheme="majorBidi" w:hAnsiTheme="majorBidi" w:cstheme="majorBidi"/>
          <w:lang w:val="en-US"/>
        </w:rPr>
        <w:t xml:space="preserve">n </w:t>
      </w:r>
      <w:r w:rsidR="00AA43EB" w:rsidRPr="00023D70">
        <w:rPr>
          <w:rStyle w:val="e24kjd"/>
          <w:rFonts w:asciiTheme="majorBidi" w:hAnsiTheme="majorBidi" w:cstheme="majorBidi"/>
          <w:lang w:val="en-US"/>
        </w:rPr>
        <w:t>an unpublished review of 24 Sr isotope publications, containing over 75 datasets</w:t>
      </w:r>
      <w:r w:rsidR="00AA43EB">
        <w:rPr>
          <w:rStyle w:val="e24kjd"/>
          <w:rFonts w:asciiTheme="majorBidi" w:hAnsiTheme="majorBidi" w:cstheme="majorBidi"/>
          <w:lang w:val="en-US"/>
        </w:rPr>
        <w:t>.</w:t>
      </w:r>
      <w:r w:rsidR="00AA43EB" w:rsidRPr="00023D70">
        <w:rPr>
          <w:rStyle w:val="e24kjd"/>
          <w:rFonts w:asciiTheme="majorBidi" w:hAnsiTheme="majorBidi" w:cstheme="majorBidi"/>
          <w:lang w:val="en-US"/>
        </w:rPr>
        <w:t xml:space="preserve"> </w:t>
      </w:r>
      <w:r w:rsidR="00AA43EB">
        <w:rPr>
          <w:rStyle w:val="e24kjd"/>
          <w:rFonts w:asciiTheme="majorBidi" w:hAnsiTheme="majorBidi" w:cstheme="majorBidi"/>
          <w:lang w:val="en-US"/>
        </w:rPr>
        <w:t>C</w:t>
      </w:r>
      <w:r w:rsidR="00AA43EB" w:rsidRPr="00023D70">
        <w:rPr>
          <w:rStyle w:val="e24kjd"/>
          <w:rFonts w:asciiTheme="majorBidi" w:hAnsiTheme="majorBidi" w:cstheme="majorBidi"/>
          <w:lang w:val="en-US"/>
        </w:rPr>
        <w:t xml:space="preserve">hanges in </w:t>
      </w:r>
      <w:r w:rsidR="00AA43EB" w:rsidRPr="00023D70">
        <w:rPr>
          <w:vertAlign w:val="superscript"/>
          <w:lang w:val="en-US"/>
        </w:rPr>
        <w:t>87</w:t>
      </w:r>
      <w:r w:rsidR="00AA43EB" w:rsidRPr="00023D70">
        <w:rPr>
          <w:lang w:val="en-US"/>
        </w:rPr>
        <w:t>Sr:</w:t>
      </w:r>
      <w:r w:rsidR="00AA43EB" w:rsidRPr="00023D70">
        <w:rPr>
          <w:vertAlign w:val="superscript"/>
          <w:lang w:val="en-US"/>
        </w:rPr>
        <w:t>86</w:t>
      </w:r>
      <w:r w:rsidR="00AA43EB" w:rsidRPr="00023D70">
        <w:rPr>
          <w:lang w:val="en-US"/>
        </w:rPr>
        <w:t>Sr ratio were always accompanied with changes in total Sr concentration (data not shown but re-evaluations of the original publications are available on request).</w:t>
      </w:r>
    </w:p>
    <w:p w14:paraId="5FA945B3" w14:textId="216FA04C" w:rsidR="00BE59D9" w:rsidRDefault="00FE1639" w:rsidP="001D7B21">
      <w:pPr>
        <w:pStyle w:val="Newparagraph"/>
        <w:spacing w:after="3" w:line="473" w:lineRule="auto"/>
        <w:ind w:right="144"/>
        <w:jc w:val="both"/>
        <w:rPr>
          <w:lang w:val="en-US"/>
        </w:rPr>
      </w:pPr>
      <w:r w:rsidRPr="00BC76FD">
        <w:rPr>
          <w:lang w:val="en-US"/>
        </w:rPr>
        <w:t xml:space="preserve">Even though </w:t>
      </w:r>
      <w:r w:rsidR="003D0793">
        <w:rPr>
          <w:lang w:val="en-US"/>
        </w:rPr>
        <w:t>denominator size</w:t>
      </w:r>
      <w:r w:rsidR="00AA43EB">
        <w:rPr>
          <w:lang w:val="en-US"/>
        </w:rPr>
        <w:t>-</w:t>
      </w:r>
      <w:r w:rsidR="003D0793">
        <w:rPr>
          <w:lang w:val="en-US"/>
        </w:rPr>
        <w:t xml:space="preserve">related isotopic confounding has been regularly reported and cited (for example, </w:t>
      </w:r>
      <w:r w:rsidRPr="00BC76FD">
        <w:rPr>
          <w:lang w:val="en-US"/>
        </w:rPr>
        <w:t xml:space="preserve">the </w:t>
      </w:r>
      <w:r w:rsidR="00E43D0F">
        <w:rPr>
          <w:lang w:val="en-US"/>
        </w:rPr>
        <w:t xml:space="preserve">2002 </w:t>
      </w:r>
      <w:r w:rsidRPr="00BC76FD">
        <w:rPr>
          <w:lang w:val="en-US"/>
        </w:rPr>
        <w:t xml:space="preserve">publication </w:t>
      </w:r>
      <w:r w:rsidR="00E43D0F">
        <w:rPr>
          <w:lang w:val="en-US"/>
        </w:rPr>
        <w:t>by</w:t>
      </w:r>
      <w:r w:rsidRPr="00BC76FD">
        <w:rPr>
          <w:lang w:val="en-US"/>
        </w:rPr>
        <w:t xml:space="preserve"> Phillips and Koch has been cited over 800 times</w:t>
      </w:r>
      <w:r w:rsidR="003D0793">
        <w:rPr>
          <w:lang w:val="en-US"/>
        </w:rPr>
        <w:t>)</w:t>
      </w:r>
      <w:r w:rsidRPr="00BC76FD">
        <w:rPr>
          <w:lang w:val="en-US"/>
        </w:rPr>
        <w:t>, total element concentrations that can be linked to isotopic ratios are not reported in most isotopic publications. Concentration-weighted models are rarely used. When total element concentrations that match isotopic ratios or delta values are not presented; the isotopic ratio of exogenous additions or endogenous losses cannot be determined. As shown below and in the companion publication (</w:t>
      </w:r>
      <w:r w:rsidR="00063688">
        <w:rPr>
          <w:lang w:val="en-US"/>
        </w:rPr>
        <w:t>M</w:t>
      </w:r>
      <w:r w:rsidR="00590261">
        <w:rPr>
          <w:lang w:val="en-US"/>
        </w:rPr>
        <w:t>oots</w:t>
      </w:r>
      <w:r w:rsidR="00063688">
        <w:rPr>
          <w:lang w:val="en-US"/>
        </w:rPr>
        <w:t xml:space="preserve"> et al.</w:t>
      </w:r>
      <w:r w:rsidRPr="00BC76FD">
        <w:rPr>
          <w:lang w:val="en-US"/>
        </w:rPr>
        <w:t xml:space="preserve"> 202</w:t>
      </w:r>
      <w:r w:rsidR="00FA4EED">
        <w:rPr>
          <w:lang w:val="en-US"/>
        </w:rPr>
        <w:t>4</w:t>
      </w:r>
      <w:r w:rsidR="00E43D0F">
        <w:rPr>
          <w:lang w:val="en-US"/>
        </w:rPr>
        <w:t>a</w:t>
      </w:r>
      <w:r w:rsidRPr="00BC76FD">
        <w:rPr>
          <w:lang w:val="en-US"/>
        </w:rPr>
        <w:t xml:space="preserve">) isotopic ratios or delta values when interpreted without evaluating sources, that require </w:t>
      </w:r>
      <w:r w:rsidR="003F6E99">
        <w:rPr>
          <w:lang w:val="en-US"/>
        </w:rPr>
        <w:t>knowledge</w:t>
      </w:r>
      <w:r w:rsidRPr="00BC76FD">
        <w:rPr>
          <w:lang w:val="en-US"/>
        </w:rPr>
        <w:t xml:space="preserve"> of total element concentrations can be insufficient or misleading.</w:t>
      </w:r>
    </w:p>
    <w:p w14:paraId="4E27799D" w14:textId="3B63EC3D" w:rsidR="003D0793" w:rsidRDefault="00FE1639" w:rsidP="002631CE">
      <w:pPr>
        <w:pStyle w:val="Newparagraph"/>
        <w:spacing w:after="3" w:line="473" w:lineRule="auto"/>
        <w:ind w:right="144"/>
        <w:jc w:val="both"/>
        <w:rPr>
          <w:lang w:val="en-US"/>
        </w:rPr>
      </w:pPr>
      <w:r w:rsidRPr="00BC76FD">
        <w:rPr>
          <w:lang w:val="en-US"/>
        </w:rPr>
        <w:t>First presented by Keeling (1958) for CO</w:t>
      </w:r>
      <w:r w:rsidRPr="00BC76FD">
        <w:rPr>
          <w:vertAlign w:val="subscript"/>
          <w:lang w:val="en-US"/>
        </w:rPr>
        <w:t>2</w:t>
      </w:r>
      <w:r w:rsidRPr="00BC76FD">
        <w:rPr>
          <w:lang w:val="en-US"/>
        </w:rPr>
        <w:t xml:space="preserve"> studies, mixing diagram approaches (plotting 1/total element </w:t>
      </w:r>
      <w:r w:rsidR="004775C8">
        <w:rPr>
          <w:lang w:val="en-US"/>
        </w:rPr>
        <w:t xml:space="preserve">concentration on a mass unit basis </w:t>
      </w:r>
      <w:r w:rsidRPr="00BC76FD">
        <w:rPr>
          <w:lang w:val="en-US"/>
        </w:rPr>
        <w:t xml:space="preserve">vs. isotopic ratios) are the only current way to determine sources (Section </w:t>
      </w:r>
      <w:r w:rsidR="00900459">
        <w:rPr>
          <w:lang w:val="en-US"/>
        </w:rPr>
        <w:t>5</w:t>
      </w:r>
      <w:r w:rsidRPr="00BC76FD">
        <w:rPr>
          <w:lang w:val="en-US"/>
        </w:rPr>
        <w:t xml:space="preserve"> below). Commonly used observed isotopic ratios do not provide as </w:t>
      </w:r>
      <w:r w:rsidRPr="00BC76FD">
        <w:rPr>
          <w:lang w:val="en-US"/>
        </w:rPr>
        <w:lastRenderedPageBreak/>
        <w:t xml:space="preserve">accurate and pertinent information as mixing diagrams. </w:t>
      </w:r>
      <w:r w:rsidR="00BE59D9">
        <w:rPr>
          <w:lang w:val="en-US"/>
        </w:rPr>
        <w:t>The importance of identifying isotopic sources is simply not appreciated.</w:t>
      </w:r>
    </w:p>
    <w:p w14:paraId="018AAE13" w14:textId="2908B57E" w:rsidR="007A7A9B" w:rsidRDefault="00FE1639" w:rsidP="002631CE">
      <w:pPr>
        <w:pStyle w:val="Newparagraph"/>
        <w:spacing w:after="3" w:line="473" w:lineRule="auto"/>
        <w:ind w:right="144"/>
        <w:jc w:val="both"/>
        <w:rPr>
          <w:lang w:val="en-US"/>
        </w:rPr>
      </w:pPr>
      <w:r w:rsidRPr="00BC76FD">
        <w:rPr>
          <w:lang w:val="en-US"/>
        </w:rPr>
        <w:t>Unfortunately, arguments against using ratios in scientific studies are counterintuitive. Statisticians have done a poor job in communicating well-known concerns about ratios to other disciplines. The importance of source analyses is not appreciated in the isotopic research community.</w:t>
      </w:r>
    </w:p>
    <w:p w14:paraId="6DEECE93" w14:textId="69A4ED99" w:rsidR="00352F8C" w:rsidRPr="007A7A9B" w:rsidRDefault="007A7A9B" w:rsidP="007A7A9B">
      <w:pPr>
        <w:pStyle w:val="Newparagraph"/>
        <w:spacing w:after="3" w:line="473" w:lineRule="auto"/>
        <w:ind w:right="144"/>
        <w:jc w:val="both"/>
        <w:rPr>
          <w:bCs/>
          <w:lang w:val="en-US"/>
        </w:rPr>
      </w:pPr>
      <w:r w:rsidRPr="00BC76FD">
        <w:rPr>
          <w:bCs/>
          <w:lang w:val="en-US"/>
        </w:rPr>
        <w:t xml:space="preserve">Despite a long history of ratio discussions in the literature and more recent reminders (Richardson 2020; Certo et al. 2020), sometimes in prestigious journals (Leslie, 2019), there is little optimism among statisticians </w:t>
      </w:r>
      <w:r>
        <w:rPr>
          <w:bCs/>
          <w:lang w:val="en-US"/>
        </w:rPr>
        <w:t>for</w:t>
      </w:r>
      <w:r w:rsidRPr="00BC76FD">
        <w:rPr>
          <w:bCs/>
          <w:lang w:val="en-US"/>
        </w:rPr>
        <w:t xml:space="preserve"> a </w:t>
      </w:r>
      <w:r>
        <w:rPr>
          <w:bCs/>
          <w:lang w:val="en-US"/>
        </w:rPr>
        <w:t xml:space="preserve">quick </w:t>
      </w:r>
      <w:r w:rsidRPr="00BC76FD">
        <w:rPr>
          <w:bCs/>
          <w:lang w:val="en-US"/>
        </w:rPr>
        <w:t xml:space="preserve">paradigm shift in data analysis. </w:t>
      </w:r>
      <w:r>
        <w:rPr>
          <w:bCs/>
          <w:lang w:val="en-US"/>
        </w:rPr>
        <w:t xml:space="preserve">For example, the </w:t>
      </w:r>
      <w:r w:rsidRPr="005E4093">
        <w:rPr>
          <w:bCs/>
          <w:i/>
          <w:iCs/>
          <w:lang w:val="en-US"/>
        </w:rPr>
        <w:t>Science</w:t>
      </w:r>
      <w:r>
        <w:rPr>
          <w:bCs/>
          <w:lang w:val="en-US"/>
        </w:rPr>
        <w:t xml:space="preserve"> paper by Leslie (2019) clearly describes the statistical problems associated with evaluating finger ratios (2</w:t>
      </w:r>
      <w:r w:rsidRPr="005E4093">
        <w:rPr>
          <w:bCs/>
          <w:vertAlign w:val="superscript"/>
          <w:lang w:val="en-US"/>
        </w:rPr>
        <w:t>nd</w:t>
      </w:r>
      <w:r>
        <w:rPr>
          <w:bCs/>
          <w:lang w:val="en-US"/>
        </w:rPr>
        <w:t xml:space="preserve"> digit/4</w:t>
      </w:r>
      <w:r w:rsidRPr="005E4093">
        <w:rPr>
          <w:bCs/>
          <w:vertAlign w:val="superscript"/>
          <w:lang w:val="en-US"/>
        </w:rPr>
        <w:t>th</w:t>
      </w:r>
      <w:r>
        <w:rPr>
          <w:bCs/>
          <w:lang w:val="en-US"/>
        </w:rPr>
        <w:t xml:space="preserve"> digit). Many statisticians are likely dismayed over more than 250 additional finger ratio publications (~ 50/year) produced since the </w:t>
      </w:r>
      <w:r w:rsidRPr="005E4093">
        <w:rPr>
          <w:bCs/>
          <w:i/>
          <w:iCs/>
          <w:lang w:val="en-US"/>
        </w:rPr>
        <w:t>Science</w:t>
      </w:r>
      <w:r>
        <w:rPr>
          <w:bCs/>
          <w:lang w:val="en-US"/>
        </w:rPr>
        <w:t xml:space="preserve"> report. As stated above, a simple ANCOVA can be used to determine if changes in a ratio are directly related to treatments or simply reflect differences in denominator size (in this case reflecting differences in hand size). Although covariance analyses are often conducted in finger ratio publications to normalize for other variables, a simple determination if finger ratio treatment effects are direct or indirect is rarely done. This misuse of finger ratio analyses is dwarfed by possible difficulties associated with ratio-based isotopic expressions. </w:t>
      </w:r>
      <w:r w:rsidR="008F6E1B">
        <w:rPr>
          <w:bCs/>
          <w:lang w:val="en-US"/>
        </w:rPr>
        <w:t>N</w:t>
      </w:r>
      <w:r w:rsidR="009169D2">
        <w:rPr>
          <w:bCs/>
          <w:lang w:val="en-US"/>
        </w:rPr>
        <w:t>umerous s</w:t>
      </w:r>
      <w:r>
        <w:rPr>
          <w:bCs/>
          <w:lang w:val="en-US"/>
        </w:rPr>
        <w:t xml:space="preserve">table mass isotope publications with the same potential problems associated with finger ratios </w:t>
      </w:r>
      <w:r w:rsidR="008F6E1B">
        <w:rPr>
          <w:bCs/>
          <w:lang w:val="en-US"/>
        </w:rPr>
        <w:t xml:space="preserve">have been </w:t>
      </w:r>
      <w:r w:rsidR="009169D2">
        <w:rPr>
          <w:bCs/>
          <w:lang w:val="en-US"/>
        </w:rPr>
        <w:t>continu</w:t>
      </w:r>
      <w:r w:rsidR="008F6E1B">
        <w:rPr>
          <w:bCs/>
          <w:lang w:val="en-US"/>
        </w:rPr>
        <w:t>ally</w:t>
      </w:r>
      <w:r>
        <w:rPr>
          <w:bCs/>
          <w:lang w:val="en-US"/>
        </w:rPr>
        <w:t xml:space="preserve"> produced</w:t>
      </w:r>
      <w:r w:rsidR="008F6E1B">
        <w:rPr>
          <w:bCs/>
          <w:lang w:val="en-US"/>
        </w:rPr>
        <w:t xml:space="preserve"> for over 7 decades</w:t>
      </w:r>
      <w:r w:rsidR="009169D2">
        <w:rPr>
          <w:bCs/>
          <w:lang w:val="en-US"/>
        </w:rPr>
        <w:t>.</w:t>
      </w:r>
      <w:r>
        <w:rPr>
          <w:bCs/>
          <w:lang w:val="en-US"/>
        </w:rPr>
        <w:t xml:space="preserve"> </w:t>
      </w:r>
    </w:p>
    <w:p w14:paraId="0DED99AE" w14:textId="77777777" w:rsidR="00352F8C" w:rsidRDefault="00352F8C" w:rsidP="002631CE">
      <w:pPr>
        <w:pStyle w:val="Heading1"/>
        <w:spacing w:before="0" w:after="3" w:line="473" w:lineRule="auto"/>
        <w:ind w:right="144"/>
        <w:jc w:val="both"/>
        <w:rPr>
          <w:lang w:val="en-US"/>
        </w:rPr>
      </w:pPr>
      <w:r>
        <w:rPr>
          <w:lang w:val="en-US"/>
        </w:rPr>
        <w:t xml:space="preserve">5. QUANTIFYING ISOTOPIC SOURCES </w:t>
      </w:r>
    </w:p>
    <w:p w14:paraId="6F2D6400" w14:textId="773B289E" w:rsidR="00352F8C" w:rsidRPr="00BC76FD" w:rsidRDefault="00352F8C" w:rsidP="002631CE">
      <w:pPr>
        <w:pStyle w:val="Paragraph"/>
        <w:spacing w:before="0" w:after="3" w:line="473" w:lineRule="auto"/>
        <w:ind w:right="144"/>
        <w:jc w:val="both"/>
        <w:rPr>
          <w:lang w:val="en-US"/>
        </w:rPr>
      </w:pPr>
      <w:r w:rsidRPr="00BC76FD">
        <w:rPr>
          <w:lang w:val="en-US"/>
        </w:rPr>
        <w:t>Keeling (1958) suggested that sources for carbon dioxide can be determined by plotting 1/CO</w:t>
      </w:r>
      <w:r w:rsidRPr="00BC76FD">
        <w:rPr>
          <w:vertAlign w:val="subscript"/>
          <w:lang w:val="en-US"/>
        </w:rPr>
        <w:t>2</w:t>
      </w:r>
      <w:r w:rsidRPr="00BC76FD">
        <w:rPr>
          <w:lang w:val="en-US"/>
        </w:rPr>
        <w:t xml:space="preserve"> concentration vs. δ</w:t>
      </w:r>
      <w:r w:rsidRPr="00BC76FD">
        <w:rPr>
          <w:vertAlign w:val="superscript"/>
          <w:lang w:val="en-US"/>
        </w:rPr>
        <w:t>13</w:t>
      </w:r>
      <w:r w:rsidRPr="00BC76FD">
        <w:rPr>
          <w:lang w:val="en-US"/>
        </w:rPr>
        <w:t xml:space="preserve">C values. The </w:t>
      </w:r>
      <w:r w:rsidRPr="00BC76FD">
        <w:rPr>
          <w:i/>
          <w:iCs/>
          <w:lang w:val="en-US"/>
        </w:rPr>
        <w:t>y</w:t>
      </w:r>
      <w:r w:rsidRPr="00BC76FD">
        <w:rPr>
          <w:lang w:val="en-US"/>
        </w:rPr>
        <w:t>-intercept of this plot identifies the δ</w:t>
      </w:r>
      <w:r w:rsidRPr="00BC76FD">
        <w:rPr>
          <w:vertAlign w:val="superscript"/>
          <w:lang w:val="en-US"/>
        </w:rPr>
        <w:t>13</w:t>
      </w:r>
      <w:r w:rsidRPr="00BC76FD">
        <w:rPr>
          <w:lang w:val="en-US"/>
        </w:rPr>
        <w:t>C (</w:t>
      </w:r>
      <w:r w:rsidRPr="00BC76FD">
        <w:rPr>
          <w:vertAlign w:val="superscript"/>
          <w:lang w:val="en-US"/>
        </w:rPr>
        <w:t>13</w:t>
      </w:r>
      <w:r w:rsidRPr="00BC76FD">
        <w:rPr>
          <w:lang w:val="en-US"/>
        </w:rPr>
        <w:t>C:</w:t>
      </w:r>
      <w:r w:rsidRPr="00BC76FD">
        <w:rPr>
          <w:vertAlign w:val="superscript"/>
          <w:lang w:val="en-US"/>
        </w:rPr>
        <w:t>12</w:t>
      </w:r>
      <w:r w:rsidRPr="00BC76FD">
        <w:rPr>
          <w:lang w:val="en-US"/>
        </w:rPr>
        <w:t xml:space="preserve">C ratio) of the source. Similar procedures, referred to as mixing diagrams, where 1/total element is plotted </w:t>
      </w:r>
      <w:r w:rsidRPr="00BC76FD">
        <w:rPr>
          <w:lang w:val="en-US"/>
        </w:rPr>
        <w:lastRenderedPageBreak/>
        <w:t>against isotopic ratios or ratio-based expressions for non-gas systems for other elements are also used (Goede et al. 199</w:t>
      </w:r>
      <w:r w:rsidR="00153DC8">
        <w:rPr>
          <w:lang w:val="en-US"/>
        </w:rPr>
        <w:t>8</w:t>
      </w:r>
      <w:r w:rsidRPr="00BC76FD">
        <w:rPr>
          <w:lang w:val="en-US"/>
        </w:rPr>
        <w:t xml:space="preserve">; Li et al. 2005; Montgomery et al. 2005; Bentley 2006; Montgomery and Evans 2006). However, as demonstrated in Table 1, source analyses are relatively rare in the isotopic literature. </w:t>
      </w:r>
    </w:p>
    <w:p w14:paraId="3B625241" w14:textId="4B4CC5EA" w:rsidR="00352F8C" w:rsidRPr="00BC76FD" w:rsidRDefault="00352F8C" w:rsidP="002631CE">
      <w:pPr>
        <w:pStyle w:val="Newparagraph"/>
        <w:spacing w:after="3" w:line="473" w:lineRule="auto"/>
        <w:ind w:right="144"/>
        <w:jc w:val="both"/>
        <w:rPr>
          <w:lang w:val="en-US"/>
        </w:rPr>
      </w:pPr>
      <w:r w:rsidRPr="00BC76FD">
        <w:rPr>
          <w:lang w:val="en-US"/>
        </w:rPr>
        <w:t>A hypothetical relationship of total C vs. δ</w:t>
      </w:r>
      <w:r w:rsidRPr="00BC76FD">
        <w:rPr>
          <w:vertAlign w:val="superscript"/>
          <w:lang w:val="en-US"/>
        </w:rPr>
        <w:t>13</w:t>
      </w:r>
      <w:r w:rsidRPr="00BC76FD">
        <w:rPr>
          <w:lang w:val="en-US"/>
        </w:rPr>
        <w:t xml:space="preserve">C from artificial data created by Pataki et al. (2003) in Figure </w:t>
      </w:r>
      <w:r>
        <w:rPr>
          <w:lang w:val="en-US"/>
        </w:rPr>
        <w:t>S</w:t>
      </w:r>
      <w:r w:rsidR="00C56579">
        <w:rPr>
          <w:lang w:val="en-US"/>
        </w:rPr>
        <w:t>2</w:t>
      </w:r>
      <w:r w:rsidRPr="00BC76FD">
        <w:rPr>
          <w:lang w:val="en-US"/>
        </w:rPr>
        <w:t>a demonstrates the utility of Keeling plots (1/total carbon vs. δ</w:t>
      </w:r>
      <w:r w:rsidRPr="00BC76FD">
        <w:rPr>
          <w:vertAlign w:val="superscript"/>
          <w:lang w:val="en-US"/>
        </w:rPr>
        <w:t>13</w:t>
      </w:r>
      <w:r w:rsidRPr="00BC76FD">
        <w:rPr>
          <w:lang w:val="en-US"/>
        </w:rPr>
        <w:t xml:space="preserve">C values). Keeling’s (1958) original explanation was that when total C increases as additional C is added from a source with less </w:t>
      </w:r>
      <w:r w:rsidRPr="00BC76FD">
        <w:rPr>
          <w:vertAlign w:val="superscript"/>
          <w:lang w:val="en-US"/>
        </w:rPr>
        <w:t>13</w:t>
      </w:r>
      <w:r w:rsidRPr="00BC76FD">
        <w:rPr>
          <w:lang w:val="en-US"/>
        </w:rPr>
        <w:t xml:space="preserve">C relative to </w:t>
      </w:r>
      <w:r w:rsidRPr="00BC76FD">
        <w:rPr>
          <w:vertAlign w:val="superscript"/>
          <w:lang w:val="en-US"/>
        </w:rPr>
        <w:t>12</w:t>
      </w:r>
      <w:r w:rsidRPr="00BC76FD">
        <w:rPr>
          <w:lang w:val="en-US"/>
        </w:rPr>
        <w:t>C, the δ</w:t>
      </w:r>
      <w:r w:rsidRPr="00BC76FD">
        <w:rPr>
          <w:vertAlign w:val="superscript"/>
          <w:lang w:val="en-US"/>
        </w:rPr>
        <w:t>13</w:t>
      </w:r>
      <w:r w:rsidRPr="00BC76FD">
        <w:rPr>
          <w:lang w:val="en-US"/>
        </w:rPr>
        <w:t xml:space="preserve">C in the mixture declines. This decline over the long term will approach the source after addition of copious amounts of new material. This is true </w:t>
      </w:r>
      <w:r w:rsidRPr="00BC76FD">
        <w:rPr>
          <w:lang w:val="en-US" w:eastAsia="ja-JP"/>
        </w:rPr>
        <w:t xml:space="preserve">because at an infinite elemental concentration (1/element concentration approaches zero) the effect of the original background has been diluted and the observed isotopic ratio (associated with new levels of total C) approaches the source of material being added as can be seen in Figure </w:t>
      </w:r>
      <w:r>
        <w:rPr>
          <w:lang w:val="en-US" w:eastAsia="ja-JP"/>
        </w:rPr>
        <w:t>S</w:t>
      </w:r>
      <w:r w:rsidR="00C56579">
        <w:rPr>
          <w:lang w:val="en-US" w:eastAsia="ja-JP"/>
        </w:rPr>
        <w:t>2</w:t>
      </w:r>
      <w:r>
        <w:rPr>
          <w:lang w:val="en-US" w:eastAsia="ja-JP"/>
        </w:rPr>
        <w:t>b</w:t>
      </w:r>
      <w:r w:rsidRPr="00BC76FD">
        <w:rPr>
          <w:lang w:val="en-US" w:eastAsia="ja-JP"/>
        </w:rPr>
        <w:t>.</w:t>
      </w:r>
      <w:r w:rsidRPr="00BC76FD">
        <w:rPr>
          <w:lang w:val="en-US"/>
        </w:rPr>
        <w:t xml:space="preserve"> </w:t>
      </w:r>
    </w:p>
    <w:p w14:paraId="45FA6400" w14:textId="0840E40D" w:rsidR="00352F8C" w:rsidRPr="004D5160" w:rsidRDefault="0052545B" w:rsidP="002631CE">
      <w:pPr>
        <w:pStyle w:val="NoSpacing"/>
        <w:spacing w:after="3" w:line="473" w:lineRule="auto"/>
        <w:ind w:right="144"/>
        <w:jc w:val="both"/>
        <w:rPr>
          <w:rFonts w:asciiTheme="majorBidi" w:hAnsiTheme="majorBidi" w:cstheme="majorBidi"/>
          <w:b/>
          <w:bCs/>
          <w:color w:val="4472C4" w:themeColor="accent1"/>
          <w:u w:val="single"/>
        </w:rPr>
      </w:pPr>
      <w:r w:rsidRPr="0052545B">
        <w:rPr>
          <w:noProof/>
        </w:rPr>
        <w:drawing>
          <wp:inline distT="0" distB="0" distL="0" distR="0" wp14:anchorId="3C79867D" wp14:editId="1D2932FE">
            <wp:extent cx="4571429" cy="3571429"/>
            <wp:effectExtent l="0" t="0" r="635" b="0"/>
            <wp:docPr id="17403513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0351313" name=""/>
                    <pic:cNvPicPr/>
                  </pic:nvPicPr>
                  <pic:blipFill>
                    <a:blip r:embed="rId12"/>
                    <a:stretch>
                      <a:fillRect/>
                    </a:stretch>
                  </pic:blipFill>
                  <pic:spPr>
                    <a:xfrm>
                      <a:off x="0" y="0"/>
                      <a:ext cx="4571429" cy="3571429"/>
                    </a:xfrm>
                    <a:prstGeom prst="rect">
                      <a:avLst/>
                    </a:prstGeom>
                  </pic:spPr>
                </pic:pic>
              </a:graphicData>
            </a:graphic>
          </wp:inline>
        </w:drawing>
      </w:r>
    </w:p>
    <w:p w14:paraId="31DB2C6B" w14:textId="5E42D9F0" w:rsidR="00352F8C" w:rsidRPr="00BC76FD" w:rsidRDefault="00352F8C" w:rsidP="002631CE">
      <w:pPr>
        <w:pStyle w:val="Figurecaption"/>
        <w:spacing w:before="0" w:after="3" w:line="473" w:lineRule="auto"/>
        <w:ind w:right="144"/>
        <w:jc w:val="both"/>
        <w:rPr>
          <w:u w:val="single"/>
          <w:lang w:val="en-US"/>
        </w:rPr>
      </w:pPr>
      <w:r w:rsidRPr="00BC76FD">
        <w:rPr>
          <w:lang w:val="en-US"/>
        </w:rPr>
        <w:lastRenderedPageBreak/>
        <w:t xml:space="preserve">Figure </w:t>
      </w:r>
      <w:r>
        <w:rPr>
          <w:lang w:val="en-US"/>
        </w:rPr>
        <w:t>S</w:t>
      </w:r>
      <w:r w:rsidR="00C56579">
        <w:rPr>
          <w:lang w:val="en-US"/>
        </w:rPr>
        <w:t>2</w:t>
      </w:r>
      <w:r w:rsidRPr="00BC76FD">
        <w:rPr>
          <w:lang w:val="en-US"/>
        </w:rPr>
        <w:t>a. A hypothetical relationship of total C vs. δ</w:t>
      </w:r>
      <w:r w:rsidRPr="00BC76FD">
        <w:rPr>
          <w:vertAlign w:val="superscript"/>
          <w:lang w:val="en-US"/>
        </w:rPr>
        <w:t>13</w:t>
      </w:r>
      <w:r w:rsidRPr="00BC76FD">
        <w:rPr>
          <w:lang w:val="en-US"/>
        </w:rPr>
        <w:t>C from artificial data created by Pataki et al. (2003) to demonstrate the utility of Keeling plots (1/total carbon vs. δ</w:t>
      </w:r>
      <w:r w:rsidRPr="00BC76FD">
        <w:rPr>
          <w:vertAlign w:val="superscript"/>
          <w:lang w:val="en-US"/>
        </w:rPr>
        <w:t>13</w:t>
      </w:r>
      <w:r w:rsidRPr="00BC76FD">
        <w:rPr>
          <w:lang w:val="en-US"/>
        </w:rPr>
        <w:t xml:space="preserve">C values). </w:t>
      </w:r>
    </w:p>
    <w:p w14:paraId="4043C53C" w14:textId="4CBC84EC" w:rsidR="00352F8C" w:rsidRPr="004D5160" w:rsidRDefault="0052545B" w:rsidP="002631CE">
      <w:pPr>
        <w:pStyle w:val="NoSpacing"/>
        <w:spacing w:after="3" w:line="473" w:lineRule="auto"/>
        <w:ind w:right="144"/>
        <w:jc w:val="both"/>
        <w:rPr>
          <w:rFonts w:asciiTheme="majorBidi" w:hAnsiTheme="majorBidi" w:cstheme="majorBidi"/>
          <w:b/>
          <w:bCs/>
          <w:color w:val="4472C4" w:themeColor="accent1"/>
          <w:u w:val="single"/>
        </w:rPr>
      </w:pPr>
      <w:r w:rsidRPr="0052545B">
        <w:rPr>
          <w:noProof/>
        </w:rPr>
        <w:drawing>
          <wp:inline distT="0" distB="0" distL="0" distR="0" wp14:anchorId="774430F7" wp14:editId="0E176EC4">
            <wp:extent cx="4723809" cy="3295238"/>
            <wp:effectExtent l="0" t="0" r="635" b="635"/>
            <wp:docPr id="950592802" name="Picture 1" descr="A picture containing text, line, diagram, fo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0592802" name="Picture 1" descr="A picture containing text, line, diagram, font&#10;&#10;Description automatically generated"/>
                    <pic:cNvPicPr/>
                  </pic:nvPicPr>
                  <pic:blipFill>
                    <a:blip r:embed="rId13"/>
                    <a:stretch>
                      <a:fillRect/>
                    </a:stretch>
                  </pic:blipFill>
                  <pic:spPr>
                    <a:xfrm>
                      <a:off x="0" y="0"/>
                      <a:ext cx="4723809" cy="3295238"/>
                    </a:xfrm>
                    <a:prstGeom prst="rect">
                      <a:avLst/>
                    </a:prstGeom>
                  </pic:spPr>
                </pic:pic>
              </a:graphicData>
            </a:graphic>
          </wp:inline>
        </w:drawing>
      </w:r>
    </w:p>
    <w:p w14:paraId="02F269C4" w14:textId="561FADC1" w:rsidR="00352F8C" w:rsidRDefault="00352F8C" w:rsidP="002631CE">
      <w:pPr>
        <w:pStyle w:val="Figurecaption"/>
        <w:spacing w:before="0" w:after="3" w:line="473" w:lineRule="auto"/>
        <w:ind w:right="144"/>
        <w:jc w:val="both"/>
        <w:rPr>
          <w:lang w:val="en-US"/>
        </w:rPr>
      </w:pPr>
      <w:r w:rsidRPr="00BC76FD">
        <w:rPr>
          <w:lang w:val="en-US"/>
        </w:rPr>
        <w:t xml:space="preserve">Figure </w:t>
      </w:r>
      <w:r>
        <w:rPr>
          <w:lang w:val="en-US"/>
        </w:rPr>
        <w:t>S</w:t>
      </w:r>
      <w:r w:rsidR="00C56579">
        <w:rPr>
          <w:lang w:val="en-US"/>
        </w:rPr>
        <w:t>2</w:t>
      </w:r>
      <w:r w:rsidRPr="00BC76FD">
        <w:rPr>
          <w:lang w:val="en-US"/>
        </w:rPr>
        <w:t xml:space="preserve">b. Graphical illustration of the Keeling plot method for the artificial data presented in Figure </w:t>
      </w:r>
      <w:r w:rsidR="0032095A">
        <w:rPr>
          <w:lang w:val="en-US"/>
        </w:rPr>
        <w:t>S</w:t>
      </w:r>
      <w:r w:rsidR="00C56579">
        <w:rPr>
          <w:lang w:val="en-US"/>
        </w:rPr>
        <w:t>2</w:t>
      </w:r>
      <w:r w:rsidRPr="00BC76FD">
        <w:rPr>
          <w:lang w:val="en-US"/>
        </w:rPr>
        <w:t>a. Solid circles show the carbon isotope composition (δ</w:t>
      </w:r>
      <w:r w:rsidRPr="00BC76FD">
        <w:rPr>
          <w:vertAlign w:val="superscript"/>
          <w:lang w:val="en-US"/>
        </w:rPr>
        <w:t>13</w:t>
      </w:r>
      <w:r w:rsidRPr="00BC76FD">
        <w:rPr>
          <w:lang w:val="en-US"/>
        </w:rPr>
        <w:t>C) for two endpoints (1) source CO</w:t>
      </w:r>
      <w:r w:rsidRPr="00BC76FD">
        <w:rPr>
          <w:vertAlign w:val="subscript"/>
          <w:lang w:val="en-US"/>
        </w:rPr>
        <w:t>2</w:t>
      </w:r>
      <w:r w:rsidRPr="00BC76FD">
        <w:rPr>
          <w:lang w:val="en-US"/>
        </w:rPr>
        <w:t xml:space="preserve"> (δ</w:t>
      </w:r>
      <w:r w:rsidRPr="00BC76FD">
        <w:rPr>
          <w:vertAlign w:val="superscript"/>
          <w:lang w:val="en-US"/>
        </w:rPr>
        <w:t>13</w:t>
      </w:r>
      <w:r w:rsidRPr="00BC76FD">
        <w:rPr>
          <w:lang w:val="en-US"/>
        </w:rPr>
        <w:t>C</w:t>
      </w:r>
      <w:r w:rsidRPr="00BC76FD">
        <w:rPr>
          <w:vertAlign w:val="subscript"/>
          <w:lang w:val="en-US"/>
        </w:rPr>
        <w:t>s</w:t>
      </w:r>
      <w:r w:rsidRPr="00BC76FD">
        <w:rPr>
          <w:lang w:val="en-US"/>
        </w:rPr>
        <w:t>) and (2) well mixed, background atmospheric CO</w:t>
      </w:r>
      <w:r w:rsidRPr="00BC76FD">
        <w:rPr>
          <w:vertAlign w:val="subscript"/>
          <w:lang w:val="en-US"/>
        </w:rPr>
        <w:t>2</w:t>
      </w:r>
      <w:r w:rsidRPr="00BC76FD">
        <w:rPr>
          <w:lang w:val="en-US"/>
        </w:rPr>
        <w:t xml:space="preserve"> (δ</w:t>
      </w:r>
      <w:r w:rsidRPr="00BC76FD">
        <w:rPr>
          <w:vertAlign w:val="superscript"/>
          <w:lang w:val="en-US"/>
        </w:rPr>
        <w:t>13</w:t>
      </w:r>
      <w:r w:rsidRPr="00BC76FD">
        <w:rPr>
          <w:lang w:val="en-US"/>
        </w:rPr>
        <w:t>C</w:t>
      </w:r>
      <w:r w:rsidRPr="00BC76FD">
        <w:rPr>
          <w:vertAlign w:val="subscript"/>
          <w:lang w:val="en-US"/>
        </w:rPr>
        <w:t>b</w:t>
      </w:r>
      <w:r w:rsidRPr="00BC76FD">
        <w:rPr>
          <w:lang w:val="en-US"/>
        </w:rPr>
        <w:t>). Open circles show the carbon isotope composition of sampled air (δ</w:t>
      </w:r>
      <w:r w:rsidRPr="00BC76FD">
        <w:rPr>
          <w:vertAlign w:val="superscript"/>
          <w:lang w:val="en-US"/>
        </w:rPr>
        <w:t>13</w:t>
      </w:r>
      <w:r w:rsidRPr="00BC76FD">
        <w:rPr>
          <w:lang w:val="en-US"/>
        </w:rPr>
        <w:t>C</w:t>
      </w:r>
      <w:r w:rsidRPr="00BC76FD">
        <w:rPr>
          <w:vertAlign w:val="subscript"/>
          <w:lang w:val="en-US"/>
        </w:rPr>
        <w:t>a</w:t>
      </w:r>
      <w:r w:rsidRPr="00BC76FD">
        <w:rPr>
          <w:lang w:val="en-US"/>
        </w:rPr>
        <w:t>). Isotopic ratios can be plotted against the inverse of CO</w:t>
      </w:r>
      <w:r w:rsidRPr="00BC76FD">
        <w:rPr>
          <w:vertAlign w:val="subscript"/>
          <w:lang w:val="en-US"/>
        </w:rPr>
        <w:t>2</w:t>
      </w:r>
      <w:r w:rsidRPr="00BC76FD">
        <w:rPr>
          <w:lang w:val="en-US"/>
        </w:rPr>
        <w:t xml:space="preserve"> concentration, or in this case, 1/total carbon. This figure matches Figure 1 in Pataki et al. (2003).</w:t>
      </w:r>
    </w:p>
    <w:p w14:paraId="30C30D30" w14:textId="45DDB73D" w:rsidR="00900459" w:rsidRPr="00900459" w:rsidRDefault="00900459" w:rsidP="002631CE">
      <w:pPr>
        <w:spacing w:after="3" w:line="473" w:lineRule="auto"/>
        <w:ind w:right="144"/>
        <w:jc w:val="both"/>
        <w:rPr>
          <w:lang w:val="en-US"/>
        </w:rPr>
      </w:pPr>
      <w:r>
        <w:rPr>
          <w:lang w:val="en-US"/>
        </w:rPr>
        <w:t>-</w:t>
      </w:r>
    </w:p>
    <w:p w14:paraId="28D024F3" w14:textId="117C49E4" w:rsidR="00352F8C" w:rsidRPr="00BC76FD" w:rsidRDefault="00352F8C" w:rsidP="002631CE">
      <w:pPr>
        <w:pStyle w:val="Newparagraph"/>
        <w:spacing w:after="3" w:line="473" w:lineRule="auto"/>
        <w:ind w:right="144"/>
        <w:jc w:val="both"/>
        <w:rPr>
          <w:u w:val="single"/>
          <w:lang w:val="en-US"/>
        </w:rPr>
      </w:pPr>
      <w:r w:rsidRPr="00BC76FD">
        <w:rPr>
          <w:lang w:val="en-US"/>
        </w:rPr>
        <w:t xml:space="preserve">Solid circles in Figure </w:t>
      </w:r>
      <w:r>
        <w:rPr>
          <w:lang w:val="en-US"/>
        </w:rPr>
        <w:t>S</w:t>
      </w:r>
      <w:r w:rsidR="00C56579">
        <w:rPr>
          <w:lang w:val="en-US"/>
        </w:rPr>
        <w:t>2</w:t>
      </w:r>
      <w:r w:rsidRPr="00BC76FD">
        <w:rPr>
          <w:lang w:val="en-US"/>
        </w:rPr>
        <w:t>b show the carbon isotope composition (δ</w:t>
      </w:r>
      <w:r w:rsidRPr="00BC76FD">
        <w:rPr>
          <w:vertAlign w:val="superscript"/>
          <w:lang w:val="en-US"/>
        </w:rPr>
        <w:t>13</w:t>
      </w:r>
      <w:r w:rsidRPr="00BC76FD">
        <w:rPr>
          <w:lang w:val="en-US"/>
        </w:rPr>
        <w:t>C) of two endpoints (1) the source of CO</w:t>
      </w:r>
      <w:r w:rsidRPr="00BC76FD">
        <w:rPr>
          <w:vertAlign w:val="subscript"/>
          <w:lang w:val="en-US"/>
        </w:rPr>
        <w:t>2</w:t>
      </w:r>
      <w:r w:rsidRPr="00BC76FD">
        <w:rPr>
          <w:lang w:val="en-US"/>
        </w:rPr>
        <w:t xml:space="preserve"> (δ</w:t>
      </w:r>
      <w:r w:rsidRPr="00BC76FD">
        <w:rPr>
          <w:vertAlign w:val="superscript"/>
          <w:lang w:val="en-US"/>
        </w:rPr>
        <w:t>13</w:t>
      </w:r>
      <w:r w:rsidRPr="00BC76FD">
        <w:rPr>
          <w:lang w:val="en-US"/>
        </w:rPr>
        <w:t>C</w:t>
      </w:r>
      <w:r w:rsidRPr="00BC76FD">
        <w:rPr>
          <w:vertAlign w:val="subscript"/>
          <w:lang w:val="en-US"/>
        </w:rPr>
        <w:t>s</w:t>
      </w:r>
      <w:r w:rsidRPr="00BC76FD">
        <w:rPr>
          <w:lang w:val="en-US"/>
        </w:rPr>
        <w:t>) and (2) a well-mixed, background of atmospheric CO</w:t>
      </w:r>
      <w:r w:rsidRPr="00BC76FD">
        <w:rPr>
          <w:vertAlign w:val="subscript"/>
          <w:lang w:val="en-US"/>
        </w:rPr>
        <w:t>2</w:t>
      </w:r>
      <w:r w:rsidRPr="00BC76FD">
        <w:rPr>
          <w:lang w:val="en-US"/>
        </w:rPr>
        <w:t xml:space="preserve"> (δ</w:t>
      </w:r>
      <w:r w:rsidRPr="00BC76FD">
        <w:rPr>
          <w:vertAlign w:val="superscript"/>
          <w:lang w:val="en-US"/>
        </w:rPr>
        <w:t>13</w:t>
      </w:r>
      <w:r w:rsidRPr="00BC76FD">
        <w:rPr>
          <w:lang w:val="en-US"/>
        </w:rPr>
        <w:t>C</w:t>
      </w:r>
      <w:r w:rsidRPr="00BC76FD">
        <w:rPr>
          <w:vertAlign w:val="subscript"/>
          <w:lang w:val="en-US"/>
        </w:rPr>
        <w:t>b</w:t>
      </w:r>
      <w:r w:rsidRPr="00BC76FD">
        <w:rPr>
          <w:lang w:val="en-US"/>
        </w:rPr>
        <w:t xml:space="preserve">). Open circles in Figure </w:t>
      </w:r>
      <w:r w:rsidR="0032095A">
        <w:rPr>
          <w:lang w:val="en-US"/>
        </w:rPr>
        <w:t>S</w:t>
      </w:r>
      <w:r w:rsidR="00C56579">
        <w:rPr>
          <w:lang w:val="en-US"/>
        </w:rPr>
        <w:t>2</w:t>
      </w:r>
      <w:r w:rsidRPr="00BC76FD">
        <w:rPr>
          <w:lang w:val="en-US"/>
        </w:rPr>
        <w:t>b show the carbon isotope composition of sampled air (δ</w:t>
      </w:r>
      <w:r w:rsidRPr="00BC76FD">
        <w:rPr>
          <w:vertAlign w:val="superscript"/>
          <w:lang w:val="en-US"/>
        </w:rPr>
        <w:t>13</w:t>
      </w:r>
      <w:r w:rsidRPr="00BC76FD">
        <w:rPr>
          <w:lang w:val="en-US"/>
        </w:rPr>
        <w:t>C</w:t>
      </w:r>
      <w:r w:rsidRPr="00BC76FD">
        <w:rPr>
          <w:vertAlign w:val="subscript"/>
          <w:lang w:val="en-US"/>
        </w:rPr>
        <w:t>a</w:t>
      </w:r>
      <w:r w:rsidRPr="00BC76FD">
        <w:rPr>
          <w:lang w:val="en-US"/>
        </w:rPr>
        <w:t>). Isotopic ratios can be plotted against the inverse of CO</w:t>
      </w:r>
      <w:r w:rsidRPr="00BC76FD">
        <w:rPr>
          <w:vertAlign w:val="subscript"/>
          <w:lang w:val="en-US"/>
        </w:rPr>
        <w:t>2</w:t>
      </w:r>
      <w:r w:rsidRPr="00BC76FD">
        <w:rPr>
          <w:lang w:val="en-US"/>
        </w:rPr>
        <w:t xml:space="preserve"> concentration, or in this case 1/total carbon. Note the distance of the samples from the intercept. A major point in this mathematical review of </w:t>
      </w:r>
      <w:r w:rsidRPr="00BC76FD">
        <w:rPr>
          <w:lang w:val="en-US"/>
        </w:rPr>
        <w:lastRenderedPageBreak/>
        <w:t xml:space="preserve">isotopic ratios is that observed ratios will only rarely be similar to a source. Keeling (1958) used the 1/C expression, because it made the </w:t>
      </w:r>
      <w:r w:rsidRPr="00BC76FD">
        <w:rPr>
          <w:i/>
          <w:iCs/>
          <w:lang w:val="en-US"/>
        </w:rPr>
        <w:t>x</w:t>
      </w:r>
      <w:r w:rsidRPr="00BC76FD">
        <w:rPr>
          <w:lang w:val="en-US"/>
        </w:rPr>
        <w:t>-</w:t>
      </w:r>
      <w:r w:rsidRPr="00BC76FD">
        <w:rPr>
          <w:i/>
          <w:iCs/>
          <w:lang w:val="en-US"/>
        </w:rPr>
        <w:t>y</w:t>
      </w:r>
      <w:r w:rsidRPr="00BC76FD">
        <w:rPr>
          <w:lang w:val="en-US"/>
        </w:rPr>
        <w:t xml:space="preserve"> relationship linear, thus the </w:t>
      </w:r>
      <w:r w:rsidRPr="00BC76FD">
        <w:rPr>
          <w:i/>
          <w:iCs/>
          <w:lang w:val="en-US"/>
        </w:rPr>
        <w:t>y</w:t>
      </w:r>
      <w:r w:rsidRPr="00BC76FD">
        <w:rPr>
          <w:lang w:val="en-US"/>
        </w:rPr>
        <w:t xml:space="preserve">-intercept (identified as the source) can be easily calculated. </w:t>
      </w:r>
    </w:p>
    <w:p w14:paraId="54264037" w14:textId="172CF090" w:rsidR="00352F8C" w:rsidRPr="00BC76FD" w:rsidRDefault="00352F8C" w:rsidP="002631CE">
      <w:pPr>
        <w:pStyle w:val="Newparagraph"/>
        <w:spacing w:after="3" w:line="473" w:lineRule="auto"/>
        <w:ind w:right="144"/>
        <w:jc w:val="both"/>
        <w:rPr>
          <w:u w:val="single"/>
          <w:lang w:val="en-US"/>
        </w:rPr>
      </w:pPr>
      <w:r w:rsidRPr="00BC76FD">
        <w:rPr>
          <w:lang w:val="en-US"/>
        </w:rPr>
        <w:t xml:space="preserve">However, as reemphasized, below a Keeling plot is a mathematically indirect way of calculating the slope of the original </w:t>
      </w:r>
      <w:r w:rsidRPr="00BC76FD">
        <w:rPr>
          <w:vertAlign w:val="superscript"/>
          <w:lang w:val="en-US"/>
        </w:rPr>
        <w:t>12</w:t>
      </w:r>
      <w:r w:rsidRPr="00BC76FD">
        <w:rPr>
          <w:lang w:val="en-US"/>
        </w:rPr>
        <w:t xml:space="preserve">C vs. </w:t>
      </w:r>
      <w:r w:rsidRPr="00BC76FD">
        <w:rPr>
          <w:vertAlign w:val="superscript"/>
          <w:lang w:val="en-US"/>
        </w:rPr>
        <w:t>13</w:t>
      </w:r>
      <w:r w:rsidRPr="00BC76FD">
        <w:rPr>
          <w:lang w:val="en-US"/>
        </w:rPr>
        <w:t>C regression line. For all linear functions (</w:t>
      </w:r>
      <w:r w:rsidRPr="00BC76FD">
        <w:rPr>
          <w:i/>
          <w:iCs/>
          <w:lang w:val="en-US"/>
        </w:rPr>
        <w:t xml:space="preserve">y </w:t>
      </w:r>
      <w:r w:rsidRPr="00BC76FD">
        <w:rPr>
          <w:lang w:val="en-US"/>
        </w:rPr>
        <w:t>= m</w:t>
      </w:r>
      <w:r w:rsidRPr="00BC76FD">
        <w:rPr>
          <w:i/>
          <w:iCs/>
          <w:lang w:val="en-US"/>
        </w:rPr>
        <w:t>x</w:t>
      </w:r>
      <w:r w:rsidRPr="00BC76FD">
        <w:rPr>
          <w:lang w:val="en-US"/>
        </w:rPr>
        <w:t xml:space="preserve"> +</w:t>
      </w:r>
      <w:r>
        <w:rPr>
          <w:lang w:val="en-US"/>
        </w:rPr>
        <w:t xml:space="preserve"> </w:t>
      </w:r>
      <w:r w:rsidRPr="00BC76FD">
        <w:rPr>
          <w:lang w:val="en-US"/>
        </w:rPr>
        <w:t>b), the related function (</w:t>
      </w:r>
      <w:r w:rsidRPr="00BC76FD">
        <w:rPr>
          <w:i/>
          <w:iCs/>
          <w:lang w:val="en-US"/>
        </w:rPr>
        <w:t>y</w:t>
      </w:r>
      <w:r w:rsidRPr="00BC76FD">
        <w:rPr>
          <w:lang w:val="en-US"/>
        </w:rPr>
        <w:t>/</w:t>
      </w:r>
      <w:r w:rsidRPr="00BC76FD">
        <w:rPr>
          <w:i/>
          <w:iCs/>
          <w:lang w:val="en-US"/>
        </w:rPr>
        <w:t xml:space="preserve">x </w:t>
      </w:r>
      <w:r w:rsidRPr="00BC76FD">
        <w:rPr>
          <w:lang w:val="en-US"/>
        </w:rPr>
        <w:t>= [1/</w:t>
      </w:r>
      <w:r w:rsidRPr="00BC76FD">
        <w:rPr>
          <w:i/>
          <w:iCs/>
          <w:lang w:val="en-US"/>
        </w:rPr>
        <w:t>x</w:t>
      </w:r>
      <w:r w:rsidRPr="00BC76FD">
        <w:rPr>
          <w:lang w:val="en-US"/>
        </w:rPr>
        <w:t xml:space="preserve">] b + m) is defined. Because the portion of </w:t>
      </w:r>
      <w:r w:rsidRPr="00BC76FD">
        <w:rPr>
          <w:vertAlign w:val="superscript"/>
          <w:lang w:val="en-US"/>
        </w:rPr>
        <w:t>12</w:t>
      </w:r>
      <w:r w:rsidRPr="00BC76FD">
        <w:rPr>
          <w:lang w:val="en-US"/>
        </w:rPr>
        <w:t xml:space="preserve">C is relatively constant (changes in portion </w:t>
      </w:r>
      <w:r w:rsidR="0055173C">
        <w:rPr>
          <w:lang w:val="en-US"/>
        </w:rPr>
        <w:t xml:space="preserve">is </w:t>
      </w:r>
      <w:r w:rsidRPr="00BC76FD">
        <w:rPr>
          <w:lang w:val="en-US"/>
        </w:rPr>
        <w:t>dwarfed by changes in total C), δ</w:t>
      </w:r>
      <w:r w:rsidRPr="00BC76FD">
        <w:rPr>
          <w:vertAlign w:val="superscript"/>
          <w:lang w:val="en-US"/>
        </w:rPr>
        <w:t>13</w:t>
      </w:r>
      <w:r w:rsidRPr="00BC76FD">
        <w:rPr>
          <w:lang w:val="en-US"/>
        </w:rPr>
        <w:t>C values plotted vs. 1/total C and 1/</w:t>
      </w:r>
      <w:r w:rsidRPr="00BC76FD">
        <w:rPr>
          <w:vertAlign w:val="superscript"/>
          <w:lang w:val="en-US"/>
        </w:rPr>
        <w:t>12</w:t>
      </w:r>
      <w:r w:rsidRPr="00BC76FD">
        <w:rPr>
          <w:lang w:val="en-US"/>
        </w:rPr>
        <w:t xml:space="preserve">C have similar </w:t>
      </w:r>
      <w:r w:rsidRPr="00BC76FD">
        <w:rPr>
          <w:i/>
          <w:iCs/>
          <w:lang w:val="en-US"/>
        </w:rPr>
        <w:t>y</w:t>
      </w:r>
      <w:r w:rsidRPr="00BC76FD">
        <w:rPr>
          <w:lang w:val="en-US"/>
        </w:rPr>
        <w:t xml:space="preserve">-intercepts. </w:t>
      </w:r>
    </w:p>
    <w:p w14:paraId="218F5504" w14:textId="13EFA2BA" w:rsidR="00900459" w:rsidRPr="003C2937" w:rsidRDefault="00F1255F" w:rsidP="002631CE">
      <w:pPr>
        <w:pStyle w:val="Newparagraph"/>
        <w:spacing w:after="3" w:line="473" w:lineRule="auto"/>
        <w:ind w:right="144" w:firstLine="0"/>
        <w:jc w:val="both"/>
        <w:rPr>
          <w:lang w:val="en-US"/>
        </w:rPr>
      </w:pPr>
      <w:r>
        <w:rPr>
          <w:lang w:val="en-US"/>
        </w:rPr>
        <w:tab/>
      </w:r>
      <w:r w:rsidR="00352F8C" w:rsidRPr="00BC76FD">
        <w:rPr>
          <w:lang w:val="en-US"/>
        </w:rPr>
        <w:t>A</w:t>
      </w:r>
      <w:r w:rsidR="00352F8C" w:rsidRPr="00BC76FD">
        <w:rPr>
          <w:b/>
          <w:bCs/>
          <w:lang w:val="en-US"/>
        </w:rPr>
        <w:t xml:space="preserve"> </w:t>
      </w:r>
      <w:r w:rsidR="00352F8C" w:rsidRPr="00BC76FD">
        <w:rPr>
          <w:lang w:val="en-US"/>
        </w:rPr>
        <w:t>sediment mixing diagram is presented in Figure S</w:t>
      </w:r>
      <w:r w:rsidR="00C56579">
        <w:rPr>
          <w:lang w:val="en-US"/>
        </w:rPr>
        <w:t>2</w:t>
      </w:r>
      <w:r w:rsidR="00352F8C">
        <w:rPr>
          <w:lang w:val="en-US"/>
        </w:rPr>
        <w:t xml:space="preserve">c. </w:t>
      </w:r>
      <w:r w:rsidR="00352F8C" w:rsidRPr="00BC76FD">
        <w:rPr>
          <w:lang w:val="en-US"/>
        </w:rPr>
        <w:t xml:space="preserve">This figure is an exact copy from Figure 2 in Li et al. (2005) redrawn from </w:t>
      </w:r>
      <w:r w:rsidR="008B5041">
        <w:rPr>
          <w:lang w:val="en-US"/>
        </w:rPr>
        <w:t>Jahn</w:t>
      </w:r>
      <w:r w:rsidR="00352F8C" w:rsidRPr="00BC76FD">
        <w:rPr>
          <w:lang w:val="en-US"/>
        </w:rPr>
        <w:t xml:space="preserve"> et al. (2001). The mixing diagram presents strontium concentrations 1/Sr (ug/g)</w:t>
      </w:r>
      <w:r w:rsidR="00352F8C" w:rsidRPr="00BC76FD">
        <w:rPr>
          <w:vertAlign w:val="superscript"/>
          <w:lang w:val="en-US"/>
        </w:rPr>
        <w:t xml:space="preserve">-1 </w:t>
      </w:r>
      <w:r w:rsidR="00352F8C" w:rsidRPr="00BC76FD">
        <w:rPr>
          <w:lang w:val="en-US"/>
        </w:rPr>
        <w:t>(</w:t>
      </w:r>
      <w:r w:rsidR="00352F8C" w:rsidRPr="00BC76FD">
        <w:rPr>
          <w:i/>
          <w:iCs/>
          <w:lang w:val="en-US"/>
        </w:rPr>
        <w:t>x</w:t>
      </w:r>
      <w:r w:rsidR="00352F8C" w:rsidRPr="00BC76FD">
        <w:rPr>
          <w:lang w:val="en-US"/>
        </w:rPr>
        <w:t xml:space="preserve">-axis) plotted against </w:t>
      </w:r>
      <w:r w:rsidR="00352F8C" w:rsidRPr="00BC76FD">
        <w:rPr>
          <w:vertAlign w:val="superscript"/>
          <w:lang w:val="en-US"/>
        </w:rPr>
        <w:t>87</w:t>
      </w:r>
      <w:r w:rsidR="00352F8C" w:rsidRPr="00BC76FD">
        <w:rPr>
          <w:lang w:val="en-US"/>
        </w:rPr>
        <w:t>Sr:</w:t>
      </w:r>
      <w:r w:rsidR="00352F8C" w:rsidRPr="00BC76FD">
        <w:rPr>
          <w:vertAlign w:val="superscript"/>
          <w:lang w:val="en-US"/>
        </w:rPr>
        <w:t>86</w:t>
      </w:r>
      <w:r w:rsidR="00352F8C" w:rsidRPr="00BC76FD">
        <w:rPr>
          <w:lang w:val="en-US"/>
        </w:rPr>
        <w:t>Sr ratios</w:t>
      </w:r>
      <w:r w:rsidR="000D30CC">
        <w:rPr>
          <w:lang w:val="en-US"/>
        </w:rPr>
        <w:t xml:space="preserve"> (molar units)</w:t>
      </w:r>
      <w:r w:rsidR="00352F8C" w:rsidRPr="00BC76FD">
        <w:rPr>
          <w:lang w:val="en-US"/>
        </w:rPr>
        <w:t xml:space="preserve"> (</w:t>
      </w:r>
      <w:r w:rsidR="00352F8C" w:rsidRPr="00BC76FD">
        <w:rPr>
          <w:i/>
          <w:iCs/>
          <w:lang w:val="en-US"/>
        </w:rPr>
        <w:t>y</w:t>
      </w:r>
      <w:r w:rsidR="00352F8C" w:rsidRPr="00BC76FD">
        <w:rPr>
          <w:lang w:val="en-US"/>
        </w:rPr>
        <w:t xml:space="preserve">-axis); revealing a positive correlation between the two variables with the data falling into two distinct groups. Extrapolation of the relationship to 1/Sr = 0 indicates a strontium isotope ratio of ~0.7091 for the minimum end member source (approximate value of modern seawater). The strontium ratio for the largest 1/Sr values approaches a silicate </w:t>
      </w:r>
      <w:r w:rsidR="00900459">
        <w:rPr>
          <w:lang w:val="en-US"/>
        </w:rPr>
        <w:t>s</w:t>
      </w:r>
      <w:r w:rsidR="00900459" w:rsidRPr="00BC76FD">
        <w:rPr>
          <w:lang w:val="en-US"/>
        </w:rPr>
        <w:t>ource of ~0.7200. Values for the Lochmann paleosols (an old and well weathered soil type) that depart from the mixing line were interpreted by the original authors to possibly reflect influence of intense pedogenesis and/or a third component such as soil carbonate. Many sediment</w:t>
      </w:r>
      <w:r w:rsidR="00141BBB">
        <w:rPr>
          <w:lang w:val="en-US"/>
        </w:rPr>
        <w:t>-</w:t>
      </w:r>
      <w:r w:rsidR="00900459" w:rsidRPr="00BC76FD">
        <w:rPr>
          <w:lang w:val="en-US"/>
        </w:rPr>
        <w:t xml:space="preserve">related mixing diagrams use this format. The positive slope is related to positive </w:t>
      </w:r>
      <w:r w:rsidR="00900459" w:rsidRPr="00BC76FD">
        <w:rPr>
          <w:i/>
          <w:iCs/>
          <w:lang w:val="en-US"/>
        </w:rPr>
        <w:t>y</w:t>
      </w:r>
      <w:r w:rsidR="00900459" w:rsidRPr="00BC76FD">
        <w:rPr>
          <w:lang w:val="en-US"/>
        </w:rPr>
        <w:t xml:space="preserve">-intercepts for </w:t>
      </w:r>
      <w:r w:rsidR="00900459" w:rsidRPr="00BC76FD">
        <w:rPr>
          <w:vertAlign w:val="superscript"/>
          <w:lang w:val="en-US"/>
        </w:rPr>
        <w:t>86</w:t>
      </w:r>
      <w:r w:rsidR="00900459" w:rsidRPr="00BC76FD">
        <w:rPr>
          <w:lang w:val="en-US"/>
        </w:rPr>
        <w:t xml:space="preserve">Sr vs. </w:t>
      </w:r>
      <w:r w:rsidR="00900459" w:rsidRPr="00BC76FD">
        <w:rPr>
          <w:vertAlign w:val="superscript"/>
          <w:lang w:val="en-US"/>
        </w:rPr>
        <w:t>87</w:t>
      </w:r>
      <w:r w:rsidR="00900459" w:rsidRPr="00BC76FD">
        <w:rPr>
          <w:lang w:val="en-US"/>
        </w:rPr>
        <w:t>Sr relationships which suggest that backgrounds are greater than sources.</w:t>
      </w:r>
    </w:p>
    <w:p w14:paraId="5A7A68D4" w14:textId="12BD484F" w:rsidR="00352F8C" w:rsidRPr="00E255E3" w:rsidRDefault="00352F8C" w:rsidP="002631CE">
      <w:pPr>
        <w:pStyle w:val="Newparagraph"/>
        <w:spacing w:after="3" w:line="473" w:lineRule="auto"/>
        <w:ind w:right="144"/>
        <w:jc w:val="both"/>
        <w:rPr>
          <w:lang w:val="en-US"/>
        </w:rPr>
      </w:pPr>
    </w:p>
    <w:p w14:paraId="2514679B" w14:textId="77777777" w:rsidR="00352F8C" w:rsidRPr="00E255E3" w:rsidRDefault="00352F8C" w:rsidP="002631CE">
      <w:pPr>
        <w:spacing w:after="3" w:line="473" w:lineRule="auto"/>
        <w:ind w:right="144"/>
        <w:jc w:val="both"/>
        <w:rPr>
          <w:rFonts w:asciiTheme="majorBidi" w:hAnsiTheme="majorBidi" w:cstheme="majorBidi"/>
          <w:color w:val="4472C4" w:themeColor="accent1"/>
          <w:lang w:val="en-US"/>
        </w:rPr>
      </w:pPr>
      <w:r w:rsidRPr="00E255E3">
        <w:rPr>
          <w:rFonts w:asciiTheme="majorBidi" w:hAnsiTheme="majorBidi" w:cstheme="majorBidi"/>
          <w:noProof/>
          <w:color w:val="4472C4" w:themeColor="accent1"/>
          <w:lang w:val="en-US" w:eastAsia="en-IN" w:bidi="he-IL"/>
        </w:rPr>
        <w:lastRenderedPageBreak/>
        <w:drawing>
          <wp:inline distT="0" distB="0" distL="0" distR="0" wp14:anchorId="144ED8E8" wp14:editId="2FE3EDBC">
            <wp:extent cx="5943600" cy="3617595"/>
            <wp:effectExtent l="0" t="0" r="0" b="1905"/>
            <wp:docPr id="13" name="Picture 13"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3" descr="A close up of text on a white background&#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t="6772" b="15286"/>
                    <a:stretch>
                      <a:fillRect/>
                    </a:stretch>
                  </pic:blipFill>
                  <pic:spPr bwMode="auto">
                    <a:xfrm>
                      <a:off x="0" y="0"/>
                      <a:ext cx="5943600" cy="3617595"/>
                    </a:xfrm>
                    <a:prstGeom prst="rect">
                      <a:avLst/>
                    </a:prstGeom>
                    <a:noFill/>
                    <a:ln>
                      <a:noFill/>
                    </a:ln>
                    <a:extLst>
                      <a:ext uri="{53640926-AAD7-44D8-BBD7-CCE9431645EC}">
                        <a14:shadowObscured xmlns:a14="http://schemas.microsoft.com/office/drawing/2010/main"/>
                      </a:ext>
                    </a:extLst>
                  </pic:spPr>
                </pic:pic>
              </a:graphicData>
            </a:graphic>
          </wp:inline>
        </w:drawing>
      </w:r>
    </w:p>
    <w:p w14:paraId="1AD76FF1" w14:textId="3607C305" w:rsidR="00352F8C" w:rsidRPr="00E97165" w:rsidRDefault="00352F8C" w:rsidP="002631CE">
      <w:pPr>
        <w:pStyle w:val="Figurecaption"/>
        <w:spacing w:before="0" w:after="3" w:line="473" w:lineRule="auto"/>
        <w:ind w:right="144"/>
        <w:jc w:val="both"/>
        <w:rPr>
          <w:u w:val="single"/>
          <w:lang w:val="en-US"/>
        </w:rPr>
      </w:pPr>
      <w:r w:rsidRPr="00E255E3">
        <w:rPr>
          <w:lang w:val="en-US"/>
        </w:rPr>
        <w:t>Figure S</w:t>
      </w:r>
      <w:r w:rsidR="00C56579">
        <w:rPr>
          <w:lang w:val="en-US"/>
        </w:rPr>
        <w:t>2</w:t>
      </w:r>
      <w:r>
        <w:rPr>
          <w:lang w:val="en-US"/>
        </w:rPr>
        <w:t>c</w:t>
      </w:r>
      <w:r w:rsidRPr="00E255E3">
        <w:rPr>
          <w:lang w:val="en-US"/>
        </w:rPr>
        <w:t>. Sediment mixing diagram. The mixing diagram presents strontium concentrations 1/Sr (ug/g)</w:t>
      </w:r>
      <w:r w:rsidRPr="004A569C">
        <w:rPr>
          <w:vertAlign w:val="superscript"/>
          <w:lang w:val="en-US"/>
        </w:rPr>
        <w:t>-1</w:t>
      </w:r>
      <w:r w:rsidRPr="00E255E3">
        <w:rPr>
          <w:lang w:val="en-US"/>
        </w:rPr>
        <w:t xml:space="preserve"> (</w:t>
      </w:r>
      <w:r w:rsidRPr="004A569C">
        <w:rPr>
          <w:i/>
          <w:iCs/>
          <w:lang w:val="en-US"/>
        </w:rPr>
        <w:t>x</w:t>
      </w:r>
      <w:r w:rsidRPr="00E255E3">
        <w:rPr>
          <w:lang w:val="en-US"/>
        </w:rPr>
        <w:t xml:space="preserve">-axis) plotted against </w:t>
      </w:r>
      <w:r w:rsidRPr="00071747">
        <w:rPr>
          <w:vertAlign w:val="superscript"/>
          <w:lang w:val="en-US"/>
        </w:rPr>
        <w:t>87</w:t>
      </w:r>
      <w:r w:rsidRPr="00E255E3">
        <w:rPr>
          <w:lang w:val="en-US"/>
        </w:rPr>
        <w:t>Sr:</w:t>
      </w:r>
      <w:r w:rsidRPr="00071747">
        <w:rPr>
          <w:vertAlign w:val="superscript"/>
          <w:lang w:val="en-US"/>
        </w:rPr>
        <w:t>86</w:t>
      </w:r>
      <w:r w:rsidRPr="00E255E3">
        <w:rPr>
          <w:lang w:val="en-US"/>
        </w:rPr>
        <w:t xml:space="preserve">Sr </w:t>
      </w:r>
      <w:r w:rsidR="00513207">
        <w:rPr>
          <w:lang w:val="en-US"/>
        </w:rPr>
        <w:t xml:space="preserve">(molar units) </w:t>
      </w:r>
      <w:r w:rsidRPr="00E255E3">
        <w:rPr>
          <w:lang w:val="en-US"/>
        </w:rPr>
        <w:t>ratios. Extrapolation of the relationship to 1/Sr = 0 indicates a strontium isotope ratio of ~0.7091 for the minimum end member source (approximate value of modern seawater).</w:t>
      </w:r>
      <w:r>
        <w:rPr>
          <w:lang w:val="en-US"/>
        </w:rPr>
        <w:t xml:space="preserve"> </w:t>
      </w:r>
      <w:r w:rsidRPr="00AF63E0">
        <w:rPr>
          <w:rFonts w:cstheme="minorHAnsi"/>
          <w:color w:val="000000" w:themeColor="text1"/>
        </w:rPr>
        <w:t>This figure is an exact copy from Figure 2 in Li et al. (2005) redrawn from Jahn et al. (2001).</w:t>
      </w:r>
      <w:r w:rsidRPr="00AF63E0">
        <w:rPr>
          <w:lang w:val="en-US"/>
        </w:rPr>
        <w:t xml:space="preserve"> </w:t>
      </w:r>
    </w:p>
    <w:p w14:paraId="55EE20BB" w14:textId="77777777" w:rsidR="00352F8C" w:rsidRDefault="00352F8C" w:rsidP="002631CE">
      <w:pPr>
        <w:pStyle w:val="Newparagraph"/>
        <w:spacing w:after="3" w:line="473" w:lineRule="auto"/>
        <w:ind w:right="144" w:firstLine="0"/>
        <w:jc w:val="both"/>
        <w:rPr>
          <w:lang w:val="en-US"/>
        </w:rPr>
      </w:pPr>
      <w:r>
        <w:rPr>
          <w:lang w:val="en-US"/>
        </w:rPr>
        <w:t>-</w:t>
      </w:r>
    </w:p>
    <w:p w14:paraId="2E86CE2F" w14:textId="079E4F0C" w:rsidR="00352F8C" w:rsidRDefault="00352F8C" w:rsidP="002631CE">
      <w:pPr>
        <w:pStyle w:val="Newparagraph"/>
        <w:spacing w:after="3" w:line="473" w:lineRule="auto"/>
        <w:ind w:right="144" w:firstLine="0"/>
        <w:jc w:val="both"/>
        <w:rPr>
          <w:lang w:val="en-US"/>
        </w:rPr>
      </w:pPr>
      <w:r w:rsidRPr="00BC76FD">
        <w:rPr>
          <w:lang w:val="en-US"/>
        </w:rPr>
        <w:t>Speleothem (stalactite</w:t>
      </w:r>
      <w:r w:rsidR="001D5826">
        <w:rPr>
          <w:lang w:val="en-US"/>
        </w:rPr>
        <w:t xml:space="preserve"> and stalagmite</w:t>
      </w:r>
      <w:r w:rsidRPr="00BC76FD">
        <w:rPr>
          <w:lang w:val="en-US"/>
        </w:rPr>
        <w:t>) mixing diagrams for Sr isotopes are often presented in a slightly different form (reversed axes) than what is presented in Figure S</w:t>
      </w:r>
      <w:r w:rsidR="00C56579">
        <w:rPr>
          <w:lang w:val="en-US"/>
        </w:rPr>
        <w:t>2</w:t>
      </w:r>
      <w:r>
        <w:rPr>
          <w:lang w:val="en-US"/>
        </w:rPr>
        <w:t>c</w:t>
      </w:r>
      <w:r w:rsidRPr="00BC76FD">
        <w:rPr>
          <w:lang w:val="en-US"/>
        </w:rPr>
        <w:t xml:space="preserve"> for sediments. An example from Goede et al. (199</w:t>
      </w:r>
      <w:r w:rsidR="00153DC8">
        <w:rPr>
          <w:lang w:val="en-US"/>
        </w:rPr>
        <w:t>8</w:t>
      </w:r>
      <w:r w:rsidRPr="00BC76FD">
        <w:rPr>
          <w:lang w:val="en-US"/>
        </w:rPr>
        <w:t>), is presented in Figure S</w:t>
      </w:r>
      <w:r w:rsidR="00C56579">
        <w:rPr>
          <w:lang w:val="en-US"/>
        </w:rPr>
        <w:t>2</w:t>
      </w:r>
      <w:r>
        <w:rPr>
          <w:lang w:val="en-US"/>
        </w:rPr>
        <w:t xml:space="preserve">d. </w:t>
      </w:r>
      <w:r w:rsidRPr="00BC76FD">
        <w:rPr>
          <w:lang w:val="en-US"/>
        </w:rPr>
        <w:t xml:space="preserve">The mixing diagram presents </w:t>
      </w:r>
      <w:r w:rsidR="00251C2C" w:rsidRPr="00BC76FD">
        <w:rPr>
          <w:vertAlign w:val="superscript"/>
          <w:lang w:val="en-US"/>
        </w:rPr>
        <w:t>87</w:t>
      </w:r>
      <w:r w:rsidR="00251C2C" w:rsidRPr="00BC76FD">
        <w:rPr>
          <w:lang w:val="en-US"/>
        </w:rPr>
        <w:t>Sr:</w:t>
      </w:r>
      <w:r w:rsidR="00251C2C" w:rsidRPr="00BC76FD">
        <w:rPr>
          <w:vertAlign w:val="superscript"/>
          <w:lang w:val="en-US"/>
        </w:rPr>
        <w:t>86</w:t>
      </w:r>
      <w:r w:rsidR="00251C2C" w:rsidRPr="00BC76FD">
        <w:rPr>
          <w:lang w:val="en-US"/>
        </w:rPr>
        <w:t>Sr ratios (</w:t>
      </w:r>
      <w:r w:rsidR="00251C2C" w:rsidRPr="00BC76FD">
        <w:rPr>
          <w:i/>
          <w:iCs/>
          <w:lang w:val="en-US"/>
        </w:rPr>
        <w:t>x</w:t>
      </w:r>
      <w:r w:rsidR="00251C2C" w:rsidRPr="00BC76FD">
        <w:rPr>
          <w:lang w:val="en-US"/>
        </w:rPr>
        <w:t>-axis) plotted against 1/Sr (ug/g)</w:t>
      </w:r>
      <w:r w:rsidR="00251C2C" w:rsidRPr="00BC76FD">
        <w:rPr>
          <w:vertAlign w:val="superscript"/>
          <w:lang w:val="en-US"/>
        </w:rPr>
        <w:t xml:space="preserve">-1 </w:t>
      </w:r>
      <w:r w:rsidR="00251C2C" w:rsidRPr="00BC76FD">
        <w:rPr>
          <w:lang w:val="en-US"/>
        </w:rPr>
        <w:t>(</w:t>
      </w:r>
      <w:r w:rsidR="00251C2C" w:rsidRPr="00BC76FD">
        <w:rPr>
          <w:i/>
          <w:iCs/>
          <w:lang w:val="en-US"/>
        </w:rPr>
        <w:t>y</w:t>
      </w:r>
      <w:r w:rsidR="00251C2C" w:rsidRPr="00BC76FD">
        <w:rPr>
          <w:lang w:val="en-US"/>
        </w:rPr>
        <w:t xml:space="preserve">-axis); revealing a negative correlation between the two variables with the data falling into two distinct groups. Extrapolation of the relationship to 1/Sr = 0 indicates a strontium isotope ratio of ~0.7091 (an </w:t>
      </w:r>
      <w:r w:rsidR="00251C2C" w:rsidRPr="00BC76FD">
        <w:rPr>
          <w:i/>
          <w:iCs/>
          <w:lang w:val="en-US"/>
        </w:rPr>
        <w:t>x</w:t>
      </w:r>
      <w:r w:rsidR="00251C2C" w:rsidRPr="00BC76FD">
        <w:rPr>
          <w:lang w:val="en-US"/>
        </w:rPr>
        <w:t>-axis intercept) for the exogenic source (approximate value of modern seawater).</w:t>
      </w:r>
      <w:r w:rsidR="00251C2C" w:rsidRPr="00251C2C">
        <w:rPr>
          <w:lang w:val="en-US"/>
        </w:rPr>
        <w:t xml:space="preserve"> </w:t>
      </w:r>
      <w:r w:rsidR="00251C2C" w:rsidRPr="00BC76FD">
        <w:rPr>
          <w:lang w:val="en-US"/>
        </w:rPr>
        <w:t xml:space="preserve">The strontium ratio of the local </w:t>
      </w:r>
      <w:r w:rsidR="00251C2C" w:rsidRPr="00BC76FD">
        <w:rPr>
          <w:lang w:val="en-US"/>
        </w:rPr>
        <w:lastRenderedPageBreak/>
        <w:t xml:space="preserve">limestone is represented by a value of 0.7086. The negative slope is related to negative </w:t>
      </w:r>
      <w:r w:rsidR="00251C2C" w:rsidRPr="00BC76FD">
        <w:rPr>
          <w:i/>
          <w:iCs/>
          <w:lang w:val="en-US"/>
        </w:rPr>
        <w:t>y</w:t>
      </w:r>
      <w:r w:rsidR="00251C2C" w:rsidRPr="00BC76FD">
        <w:rPr>
          <w:lang w:val="en-US"/>
        </w:rPr>
        <w:t xml:space="preserve">-intercepts for </w:t>
      </w:r>
      <w:r w:rsidR="00251C2C" w:rsidRPr="00BC76FD">
        <w:rPr>
          <w:vertAlign w:val="superscript"/>
          <w:lang w:val="en-US"/>
        </w:rPr>
        <w:t>86</w:t>
      </w:r>
      <w:r w:rsidR="00251C2C" w:rsidRPr="00BC76FD">
        <w:rPr>
          <w:lang w:val="en-US"/>
        </w:rPr>
        <w:t xml:space="preserve">Sr vs. </w:t>
      </w:r>
      <w:r w:rsidR="00251C2C" w:rsidRPr="00BC76FD">
        <w:rPr>
          <w:vertAlign w:val="superscript"/>
          <w:lang w:val="en-US"/>
        </w:rPr>
        <w:t>87</w:t>
      </w:r>
      <w:r w:rsidR="00251C2C" w:rsidRPr="00BC76FD">
        <w:rPr>
          <w:lang w:val="en-US"/>
        </w:rPr>
        <w:t xml:space="preserve">Sr relationships which suggests that backgrounds are less than sources. </w:t>
      </w:r>
      <w:r w:rsidR="00251C2C">
        <w:rPr>
          <w:lang w:val="en-US"/>
        </w:rPr>
        <w:t xml:space="preserve">As total Sr increases the </w:t>
      </w:r>
      <w:r w:rsidR="00251C2C" w:rsidRPr="00B67575">
        <w:rPr>
          <w:vertAlign w:val="superscript"/>
          <w:lang w:val="en-US"/>
        </w:rPr>
        <w:t>87</w:t>
      </w:r>
      <w:r w:rsidR="00251C2C">
        <w:rPr>
          <w:lang w:val="en-US"/>
        </w:rPr>
        <w:t>Sr:</w:t>
      </w:r>
      <w:r w:rsidR="00251C2C" w:rsidRPr="00B67575">
        <w:rPr>
          <w:vertAlign w:val="superscript"/>
          <w:lang w:val="en-US"/>
        </w:rPr>
        <w:t>86</w:t>
      </w:r>
      <w:r w:rsidR="00251C2C">
        <w:rPr>
          <w:lang w:val="en-US"/>
        </w:rPr>
        <w:t xml:space="preserve">Sr ratio also increases. </w:t>
      </w:r>
      <w:r w:rsidR="00251C2C" w:rsidRPr="00BC76FD">
        <w:rPr>
          <w:lang w:val="en-US"/>
        </w:rPr>
        <w:t xml:space="preserve">A </w:t>
      </w:r>
      <w:r w:rsidR="00251C2C" w:rsidRPr="00BC76FD">
        <w:rPr>
          <w:i/>
          <w:iCs/>
          <w:lang w:val="en-US"/>
        </w:rPr>
        <w:t>y</w:t>
      </w:r>
      <w:r w:rsidR="00251C2C" w:rsidRPr="00BC76FD">
        <w:rPr>
          <w:lang w:val="en-US"/>
        </w:rPr>
        <w:t xml:space="preserve">-intercept in this form of mixing line is generally viewed as unimportant because it only refers to the theoretical minimum Sr levels </w:t>
      </w:r>
      <w:r w:rsidR="00251C2C">
        <w:rPr>
          <w:lang w:val="en-US"/>
        </w:rPr>
        <w:t xml:space="preserve">(maximum 1/Sr levels) </w:t>
      </w:r>
      <w:r w:rsidR="00251C2C" w:rsidRPr="00BC76FD">
        <w:rPr>
          <w:lang w:val="en-US"/>
        </w:rPr>
        <w:t xml:space="preserve">for the dataset. Many datasets with varying </w:t>
      </w:r>
      <w:r w:rsidR="00251C2C" w:rsidRPr="00BC76FD">
        <w:rPr>
          <w:vertAlign w:val="superscript"/>
          <w:lang w:val="en-US"/>
        </w:rPr>
        <w:t>87</w:t>
      </w:r>
      <w:r w:rsidR="00251C2C" w:rsidRPr="00BC76FD">
        <w:rPr>
          <w:lang w:val="en-US"/>
        </w:rPr>
        <w:t>Sr:</w:t>
      </w:r>
      <w:r w:rsidR="00251C2C" w:rsidRPr="00BC76FD">
        <w:rPr>
          <w:vertAlign w:val="superscript"/>
          <w:lang w:val="en-US"/>
        </w:rPr>
        <w:t>86</w:t>
      </w:r>
      <w:r w:rsidR="00251C2C" w:rsidRPr="00BC76FD">
        <w:rPr>
          <w:lang w:val="en-US"/>
        </w:rPr>
        <w:t xml:space="preserve">Sr ratios for different total Sr values can all have the same source. </w:t>
      </w:r>
    </w:p>
    <w:p w14:paraId="04A09ED2" w14:textId="77777777" w:rsidR="00352F8C" w:rsidRPr="00E255E3" w:rsidRDefault="00352F8C" w:rsidP="002631CE">
      <w:pPr>
        <w:pStyle w:val="Caption"/>
        <w:suppressLineNumbers/>
        <w:spacing w:after="3" w:line="473" w:lineRule="auto"/>
        <w:ind w:right="144"/>
        <w:jc w:val="both"/>
        <w:rPr>
          <w:rFonts w:asciiTheme="majorBidi" w:hAnsiTheme="majorBidi" w:cstheme="majorBidi"/>
          <w:b w:val="0"/>
          <w:bCs w:val="0"/>
          <w:sz w:val="24"/>
          <w:szCs w:val="24"/>
          <w:lang w:val="en-US"/>
        </w:rPr>
      </w:pPr>
      <w:r w:rsidRPr="00E255E3">
        <w:rPr>
          <w:rFonts w:asciiTheme="majorBidi" w:hAnsiTheme="majorBidi" w:cstheme="majorBidi"/>
          <w:b w:val="0"/>
          <w:bCs w:val="0"/>
          <w:noProof/>
          <w:sz w:val="24"/>
          <w:szCs w:val="24"/>
          <w:lang w:val="en-US" w:eastAsia="en-IN" w:bidi="he-IL"/>
        </w:rPr>
        <w:drawing>
          <wp:inline distT="0" distB="0" distL="0" distR="0" wp14:anchorId="56241AA4" wp14:editId="421EDB25">
            <wp:extent cx="5943600" cy="3535680"/>
            <wp:effectExtent l="0" t="0" r="0" b="7620"/>
            <wp:docPr id="14" name="Picture 14"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4" descr="A close up of a map&#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tretch>
                      <a:fillRect/>
                    </a:stretch>
                  </pic:blipFill>
                  <pic:spPr bwMode="auto">
                    <a:xfrm>
                      <a:off x="0" y="0"/>
                      <a:ext cx="5943600" cy="3535680"/>
                    </a:xfrm>
                    <a:prstGeom prst="rect">
                      <a:avLst/>
                    </a:prstGeom>
                    <a:noFill/>
                    <a:ln>
                      <a:noFill/>
                    </a:ln>
                  </pic:spPr>
                </pic:pic>
              </a:graphicData>
            </a:graphic>
          </wp:inline>
        </w:drawing>
      </w:r>
    </w:p>
    <w:p w14:paraId="20F9852E" w14:textId="611B423C" w:rsidR="00352F8C" w:rsidRPr="00E255E3" w:rsidRDefault="00352F8C" w:rsidP="002631CE">
      <w:pPr>
        <w:pStyle w:val="Figurecaption"/>
        <w:spacing w:before="0" w:after="3" w:line="473" w:lineRule="auto"/>
        <w:ind w:right="144"/>
        <w:jc w:val="both"/>
        <w:rPr>
          <w:lang w:val="en-US"/>
        </w:rPr>
      </w:pPr>
      <w:r w:rsidRPr="00E255E3">
        <w:rPr>
          <w:lang w:val="en-US"/>
        </w:rPr>
        <w:t>Figure S</w:t>
      </w:r>
      <w:r w:rsidR="00C56579">
        <w:rPr>
          <w:lang w:val="en-US"/>
        </w:rPr>
        <w:t>2</w:t>
      </w:r>
      <w:r>
        <w:rPr>
          <w:lang w:val="en-US"/>
        </w:rPr>
        <w:t>d</w:t>
      </w:r>
      <w:r w:rsidRPr="00E255E3">
        <w:rPr>
          <w:lang w:val="en-US"/>
        </w:rPr>
        <w:t xml:space="preserve">. Speleothem mixing diagram. The mixing diagram presents </w:t>
      </w:r>
      <w:r w:rsidRPr="00E255E3">
        <w:rPr>
          <w:vertAlign w:val="superscript"/>
          <w:lang w:val="en-US"/>
        </w:rPr>
        <w:t>87</w:t>
      </w:r>
      <w:r w:rsidRPr="00E255E3">
        <w:rPr>
          <w:lang w:val="en-US"/>
        </w:rPr>
        <w:t>Sr:</w:t>
      </w:r>
      <w:r w:rsidRPr="00E255E3">
        <w:rPr>
          <w:vertAlign w:val="superscript"/>
          <w:lang w:val="en-US"/>
        </w:rPr>
        <w:t>86</w:t>
      </w:r>
      <w:r w:rsidRPr="00E255E3">
        <w:rPr>
          <w:lang w:val="en-US"/>
        </w:rPr>
        <w:t xml:space="preserve">Sr ratios </w:t>
      </w:r>
      <w:r w:rsidR="00513207">
        <w:rPr>
          <w:lang w:val="en-US"/>
        </w:rPr>
        <w:t xml:space="preserve">(molar units) </w:t>
      </w:r>
      <w:r w:rsidRPr="00E255E3">
        <w:rPr>
          <w:lang w:val="en-US"/>
        </w:rPr>
        <w:t>(</w:t>
      </w:r>
      <w:r w:rsidRPr="00251C2C">
        <w:rPr>
          <w:i/>
          <w:iCs/>
          <w:lang w:val="en-US"/>
        </w:rPr>
        <w:t>x</w:t>
      </w:r>
      <w:r w:rsidRPr="00E255E3">
        <w:rPr>
          <w:lang w:val="en-US"/>
        </w:rPr>
        <w:t>-axis) plotted against 1/Sr (ug/g)</w:t>
      </w:r>
      <w:r w:rsidRPr="00E255E3">
        <w:rPr>
          <w:vertAlign w:val="superscript"/>
          <w:lang w:val="en-US"/>
        </w:rPr>
        <w:t xml:space="preserve">-1 </w:t>
      </w:r>
      <w:r w:rsidRPr="00E255E3">
        <w:rPr>
          <w:lang w:val="en-US"/>
        </w:rPr>
        <w:t>(</w:t>
      </w:r>
      <w:r w:rsidRPr="00E255E3">
        <w:rPr>
          <w:i/>
          <w:iCs/>
          <w:lang w:val="en-US"/>
        </w:rPr>
        <w:t>y</w:t>
      </w:r>
      <w:r w:rsidRPr="00E255E3">
        <w:rPr>
          <w:lang w:val="en-US"/>
        </w:rPr>
        <w:t xml:space="preserve">-axis). This reveals a negative correlation between the two variables with the data falling into two distinct groups. Extrapolation of the relationship to 1/Sr = 0 indicates a strontium isotope ratio of ~0.7091 (an </w:t>
      </w:r>
      <w:r w:rsidRPr="00E255E3">
        <w:rPr>
          <w:i/>
          <w:iCs/>
          <w:lang w:val="en-US"/>
        </w:rPr>
        <w:t>x</w:t>
      </w:r>
      <w:r w:rsidRPr="00E255E3">
        <w:rPr>
          <w:lang w:val="en-US"/>
        </w:rPr>
        <w:t xml:space="preserve">-axis intercept) for the exogenic source (approximate value of modern seawater). </w:t>
      </w:r>
      <w:r w:rsidRPr="00AF63E0">
        <w:rPr>
          <w:rFonts w:cstheme="minorHAnsi"/>
          <w:color w:val="000000" w:themeColor="text1"/>
        </w:rPr>
        <w:t xml:space="preserve">This figure is an exact copy from Figure </w:t>
      </w:r>
      <w:r>
        <w:rPr>
          <w:rFonts w:cstheme="minorHAnsi"/>
          <w:color w:val="000000" w:themeColor="text1"/>
        </w:rPr>
        <w:t>5</w:t>
      </w:r>
      <w:r w:rsidRPr="00AF63E0">
        <w:rPr>
          <w:rFonts w:cstheme="minorHAnsi"/>
          <w:color w:val="000000" w:themeColor="text1"/>
        </w:rPr>
        <w:t xml:space="preserve"> in </w:t>
      </w:r>
      <w:r>
        <w:rPr>
          <w:rFonts w:cstheme="minorHAnsi"/>
          <w:color w:val="000000" w:themeColor="text1"/>
        </w:rPr>
        <w:t>Goede</w:t>
      </w:r>
      <w:r w:rsidRPr="00AF63E0">
        <w:rPr>
          <w:rFonts w:cstheme="minorHAnsi"/>
          <w:color w:val="000000" w:themeColor="text1"/>
        </w:rPr>
        <w:t xml:space="preserve"> et al. (</w:t>
      </w:r>
      <w:r>
        <w:rPr>
          <w:rFonts w:cstheme="minorHAnsi"/>
          <w:color w:val="000000" w:themeColor="text1"/>
        </w:rPr>
        <w:t>199</w:t>
      </w:r>
      <w:r w:rsidR="00153DC8">
        <w:rPr>
          <w:rFonts w:cstheme="minorHAnsi"/>
          <w:color w:val="000000" w:themeColor="text1"/>
        </w:rPr>
        <w:t>8</w:t>
      </w:r>
      <w:r w:rsidRPr="00AF63E0">
        <w:rPr>
          <w:rFonts w:cstheme="minorHAnsi"/>
          <w:color w:val="000000" w:themeColor="text1"/>
        </w:rPr>
        <w:t>)</w:t>
      </w:r>
      <w:r>
        <w:rPr>
          <w:rFonts w:cstheme="minorHAnsi"/>
          <w:color w:val="000000" w:themeColor="text1"/>
        </w:rPr>
        <w:t>.</w:t>
      </w:r>
    </w:p>
    <w:p w14:paraId="1F76F39B" w14:textId="77777777" w:rsidR="00352F8C" w:rsidRDefault="00352F8C" w:rsidP="002631CE">
      <w:pPr>
        <w:pStyle w:val="Newparagraph"/>
        <w:spacing w:after="3" w:line="473" w:lineRule="auto"/>
        <w:ind w:right="144" w:firstLine="0"/>
        <w:jc w:val="both"/>
        <w:rPr>
          <w:lang w:val="en-US"/>
        </w:rPr>
      </w:pPr>
      <w:r>
        <w:rPr>
          <w:lang w:val="en-US"/>
        </w:rPr>
        <w:t>-</w:t>
      </w:r>
    </w:p>
    <w:p w14:paraId="1F65925E" w14:textId="4109E6FC" w:rsidR="00352F8C" w:rsidRPr="0072310C" w:rsidRDefault="00352F8C" w:rsidP="002631CE">
      <w:pPr>
        <w:pStyle w:val="Newparagraph"/>
        <w:spacing w:after="3" w:line="473" w:lineRule="auto"/>
        <w:ind w:right="144"/>
        <w:jc w:val="both"/>
        <w:rPr>
          <w:lang w:val="en-US"/>
        </w:rPr>
      </w:pPr>
      <w:r w:rsidRPr="00BC76FD">
        <w:rPr>
          <w:lang w:val="en-US"/>
        </w:rPr>
        <w:lastRenderedPageBreak/>
        <w:t xml:space="preserve">Any of the thousands of linear Keeling plots or mixing diagrams in the literature (that do indeed correctly identify a source) can be converted into denominator vs. numerator plots. The resulting linear functions will have small non-zero </w:t>
      </w:r>
      <w:r w:rsidRPr="00BC76FD">
        <w:rPr>
          <w:i/>
          <w:iCs/>
          <w:lang w:val="en-US"/>
        </w:rPr>
        <w:t>y</w:t>
      </w:r>
      <w:r w:rsidRPr="00BC76FD">
        <w:rPr>
          <w:lang w:val="en-US"/>
        </w:rPr>
        <w:t xml:space="preserve"> intercepts. As stated above, mixing diagrams and denominator vs. numerator relationships are mathematically linked. Few scientists in the isotopic research community, however, believe that such small non-zero </w:t>
      </w:r>
      <w:r w:rsidRPr="00BC76FD">
        <w:rPr>
          <w:i/>
          <w:iCs/>
          <w:lang w:val="en-US"/>
        </w:rPr>
        <w:t>y</w:t>
      </w:r>
      <w:r w:rsidRPr="00BC76FD">
        <w:rPr>
          <w:lang w:val="en-US"/>
        </w:rPr>
        <w:t xml:space="preserve">-intercept values could be important. Researchers need to know that even the smallest </w:t>
      </w:r>
      <w:r w:rsidR="00037E4E">
        <w:rPr>
          <w:lang w:val="en-US"/>
        </w:rPr>
        <w:t xml:space="preserve">non-zero </w:t>
      </w:r>
      <w:r w:rsidR="00037E4E" w:rsidRPr="00037E4E">
        <w:rPr>
          <w:i/>
          <w:iCs/>
          <w:lang w:val="en-US"/>
        </w:rPr>
        <w:t>y</w:t>
      </w:r>
      <w:r w:rsidR="00037E4E">
        <w:rPr>
          <w:lang w:val="en-US"/>
        </w:rPr>
        <w:t xml:space="preserve">-intercept </w:t>
      </w:r>
      <w:r w:rsidRPr="00BC76FD">
        <w:rPr>
          <w:lang w:val="en-US"/>
        </w:rPr>
        <w:t>values hold importance. Variations in isotopic ratios for these datasets can be almost entirely explained by differences in total element.</w:t>
      </w:r>
    </w:p>
    <w:p w14:paraId="16ACD5BA" w14:textId="77777777" w:rsidR="00352F8C" w:rsidRPr="00E255E3" w:rsidRDefault="00352F8C" w:rsidP="002631CE">
      <w:pPr>
        <w:pStyle w:val="Heading1"/>
        <w:spacing w:before="0" w:after="3" w:line="473" w:lineRule="auto"/>
        <w:ind w:right="144"/>
        <w:jc w:val="both"/>
        <w:rPr>
          <w:lang w:val="en-US"/>
        </w:rPr>
      </w:pPr>
      <w:r>
        <w:rPr>
          <w:lang w:val="en-US"/>
        </w:rPr>
        <w:t>6</w:t>
      </w:r>
      <w:r w:rsidRPr="00E255E3">
        <w:rPr>
          <w:lang w:val="en-US"/>
        </w:rPr>
        <w:t xml:space="preserve">. </w:t>
      </w:r>
      <w:r>
        <w:rPr>
          <w:lang w:val="en-US"/>
        </w:rPr>
        <w:t>MORE NUANCES OF KEELING PLOTS AND MIXING DIAGRAMS</w:t>
      </w:r>
      <w:r w:rsidRPr="00E255E3">
        <w:rPr>
          <w:lang w:val="en-US"/>
        </w:rPr>
        <w:t xml:space="preserve"> </w:t>
      </w:r>
    </w:p>
    <w:p w14:paraId="7F8FEF2C" w14:textId="5CCAE518" w:rsidR="00352F8C" w:rsidRDefault="00352F8C" w:rsidP="002631CE">
      <w:pPr>
        <w:pStyle w:val="Newparagraph"/>
        <w:spacing w:after="3" w:line="473" w:lineRule="auto"/>
        <w:ind w:right="144" w:firstLine="0"/>
        <w:jc w:val="both"/>
        <w:rPr>
          <w:lang w:val="en-US"/>
        </w:rPr>
      </w:pPr>
      <w:r>
        <w:rPr>
          <w:lang w:val="en-US"/>
        </w:rPr>
        <w:t xml:space="preserve">Conventional Sr mixing diagrams use 1/total Sr (in ug/ml or ug/g) plotted against umole/ml or umole/g-based </w:t>
      </w:r>
      <w:r w:rsidRPr="00E570B4">
        <w:rPr>
          <w:vertAlign w:val="superscript"/>
          <w:lang w:val="en-US"/>
        </w:rPr>
        <w:t>87</w:t>
      </w:r>
      <w:r>
        <w:rPr>
          <w:lang w:val="en-US"/>
        </w:rPr>
        <w:t>Sr:</w:t>
      </w:r>
      <w:r w:rsidRPr="00E570B4">
        <w:rPr>
          <w:vertAlign w:val="superscript"/>
          <w:lang w:val="en-US"/>
        </w:rPr>
        <w:t>86</w:t>
      </w:r>
      <w:r>
        <w:rPr>
          <w:lang w:val="en-US"/>
        </w:rPr>
        <w:t xml:space="preserve">Sr ratios. These inverse 1/total Sr values could also be plotted against mass-based </w:t>
      </w:r>
      <w:r w:rsidRPr="00F0098A">
        <w:rPr>
          <w:vertAlign w:val="superscript"/>
          <w:lang w:val="en-US"/>
        </w:rPr>
        <w:t>87</w:t>
      </w:r>
      <w:r>
        <w:rPr>
          <w:lang w:val="en-US"/>
        </w:rPr>
        <w:t>Sr:</w:t>
      </w:r>
      <w:r w:rsidRPr="00F0098A">
        <w:rPr>
          <w:vertAlign w:val="superscript"/>
          <w:lang w:val="en-US"/>
        </w:rPr>
        <w:t>86</w:t>
      </w:r>
      <w:r>
        <w:rPr>
          <w:lang w:val="en-US"/>
        </w:rPr>
        <w:t>Sr ratios. Both types of plots accurately predict sources but with different values and units (Figure S</w:t>
      </w:r>
      <w:r w:rsidR="00C56579">
        <w:rPr>
          <w:lang w:val="en-US"/>
        </w:rPr>
        <w:t>3</w:t>
      </w:r>
      <w:r w:rsidR="001D5826">
        <w:rPr>
          <w:lang w:val="en-US"/>
        </w:rPr>
        <w:t>a</w:t>
      </w:r>
      <w:r>
        <w:rPr>
          <w:lang w:val="en-US"/>
        </w:rPr>
        <w:t xml:space="preserve">). As stated in Section 1, </w:t>
      </w:r>
      <w:r>
        <w:t xml:space="preserve">although a ug/ml-based expression for the </w:t>
      </w:r>
      <w:r w:rsidRPr="00D87DD3">
        <w:rPr>
          <w:vertAlign w:val="superscript"/>
        </w:rPr>
        <w:t>87</w:t>
      </w:r>
      <w:r>
        <w:t>Sr:</w:t>
      </w:r>
      <w:r w:rsidRPr="00D87DD3">
        <w:rPr>
          <w:vertAlign w:val="superscript"/>
        </w:rPr>
        <w:t>86</w:t>
      </w:r>
      <w:r>
        <w:t>Sr ratio of a modern seawater source (</w:t>
      </w:r>
      <w:r w:rsidRPr="000F447A">
        <w:rPr>
          <w:i/>
          <w:iCs/>
        </w:rPr>
        <w:t>y</w:t>
      </w:r>
      <w:r>
        <w:t>-intercept = 0.717345) in Figure S</w:t>
      </w:r>
      <w:r w:rsidR="00C56579">
        <w:t>3</w:t>
      </w:r>
      <w:r w:rsidR="001D5826">
        <w:t>a</w:t>
      </w:r>
      <w:r>
        <w:t xml:space="preserve"> is technically correct, this can create confusion for those familiar with the conventional (0.7091) value</w:t>
      </w:r>
      <w:r w:rsidR="00D15DB4">
        <w:t xml:space="preserve"> derived from molar units</w:t>
      </w:r>
      <w:r>
        <w:t xml:space="preserve">. </w:t>
      </w:r>
      <w:r>
        <w:rPr>
          <w:lang w:val="en-US"/>
        </w:rPr>
        <w:t xml:space="preserve">The </w:t>
      </w:r>
      <w:r w:rsidRPr="00DC242F">
        <w:rPr>
          <w:i/>
          <w:iCs/>
          <w:lang w:val="en-US"/>
        </w:rPr>
        <w:t>y</w:t>
      </w:r>
      <w:r>
        <w:rPr>
          <w:lang w:val="en-US"/>
        </w:rPr>
        <w:t xml:space="preserve">-intercepts for the </w:t>
      </w:r>
      <w:r w:rsidR="001D5826">
        <w:rPr>
          <w:lang w:val="en-US"/>
        </w:rPr>
        <w:t xml:space="preserve">two </w:t>
      </w:r>
      <w:r>
        <w:rPr>
          <w:lang w:val="en-US"/>
        </w:rPr>
        <w:t>mixing lines in Figure S</w:t>
      </w:r>
      <w:r w:rsidR="00C56579">
        <w:rPr>
          <w:lang w:val="en-US"/>
        </w:rPr>
        <w:t>3</w:t>
      </w:r>
      <w:r w:rsidR="001D5826">
        <w:rPr>
          <w:lang w:val="en-US"/>
        </w:rPr>
        <w:t>a</w:t>
      </w:r>
      <w:r>
        <w:rPr>
          <w:lang w:val="en-US"/>
        </w:rPr>
        <w:t xml:space="preserve"> closely match the </w:t>
      </w:r>
      <w:r w:rsidR="001D5826">
        <w:rPr>
          <w:lang w:val="en-US"/>
        </w:rPr>
        <w:t xml:space="preserve">respective </w:t>
      </w:r>
      <w:r>
        <w:rPr>
          <w:lang w:val="en-US"/>
        </w:rPr>
        <w:t>denominator vs. numerator slopes in Figures 1a and S</w:t>
      </w:r>
      <w:r w:rsidR="00E60E38">
        <w:rPr>
          <w:lang w:val="en-US"/>
        </w:rPr>
        <w:t>2</w:t>
      </w:r>
      <w:r w:rsidR="001D5826">
        <w:rPr>
          <w:lang w:val="en-US"/>
        </w:rPr>
        <w:t>a</w:t>
      </w:r>
      <w:r>
        <w:rPr>
          <w:lang w:val="en-US"/>
        </w:rPr>
        <w:t xml:space="preserve">. </w:t>
      </w:r>
    </w:p>
    <w:p w14:paraId="4FD76A70" w14:textId="68387060" w:rsidR="00352F8C" w:rsidRDefault="00352F8C" w:rsidP="002631CE">
      <w:pPr>
        <w:pStyle w:val="Newparagraph"/>
        <w:spacing w:after="3" w:line="473" w:lineRule="auto"/>
        <w:ind w:right="144"/>
        <w:jc w:val="both"/>
        <w:rPr>
          <w:lang w:val="en-US"/>
        </w:rPr>
      </w:pPr>
      <w:r>
        <w:rPr>
          <w:lang w:val="en-US"/>
        </w:rPr>
        <w:t xml:space="preserve">It is at first surprising that a ug/ml expression of total Sr predicts a umole/ml-based ratio. This occurs because total Sr in ug/ml units are always </w:t>
      </w:r>
      <w:r w:rsidR="001D5826">
        <w:rPr>
          <w:lang w:val="en-US"/>
        </w:rPr>
        <w:t xml:space="preserve">strongly </w:t>
      </w:r>
      <w:r>
        <w:rPr>
          <w:lang w:val="en-US"/>
        </w:rPr>
        <w:t xml:space="preserve">related to </w:t>
      </w:r>
      <w:r w:rsidRPr="00E570B4">
        <w:rPr>
          <w:vertAlign w:val="superscript"/>
          <w:lang w:val="en-US"/>
        </w:rPr>
        <w:t>86</w:t>
      </w:r>
      <w:r>
        <w:rPr>
          <w:lang w:val="en-US"/>
        </w:rPr>
        <w:t xml:space="preserve">Sr values whether the </w:t>
      </w:r>
      <w:r w:rsidRPr="00AC75BE">
        <w:rPr>
          <w:vertAlign w:val="superscript"/>
          <w:lang w:val="en-US"/>
        </w:rPr>
        <w:t>86</w:t>
      </w:r>
      <w:r>
        <w:rPr>
          <w:lang w:val="en-US"/>
        </w:rPr>
        <w:t>Sr values are expressed in either ug/ml or umole/ml forms</w:t>
      </w:r>
      <w:r w:rsidR="00141BBB">
        <w:rPr>
          <w:lang w:val="en-US"/>
        </w:rPr>
        <w:t>.</w:t>
      </w:r>
      <w:r>
        <w:rPr>
          <w:lang w:val="en-US"/>
        </w:rPr>
        <w:t xml:space="preserve"> The reason Keeling plots or mixing diagrams work is that 1/total Sr in (1/ug/ml or ug/g units) is a surrogate for 1/total </w:t>
      </w:r>
      <w:r w:rsidRPr="007344A5">
        <w:rPr>
          <w:vertAlign w:val="superscript"/>
          <w:lang w:val="en-US"/>
        </w:rPr>
        <w:t>86</w:t>
      </w:r>
      <w:r>
        <w:rPr>
          <w:lang w:val="en-US"/>
        </w:rPr>
        <w:t xml:space="preserve">Sr expressions in either ug/ml or umole/ml forms. </w:t>
      </w:r>
      <w:r w:rsidR="001D5826">
        <w:rPr>
          <w:lang w:val="en-US"/>
        </w:rPr>
        <w:t>The respective total Sr (ug/ml) vs.</w:t>
      </w:r>
      <w:r w:rsidR="001D5826" w:rsidRPr="001D5826">
        <w:rPr>
          <w:vertAlign w:val="superscript"/>
          <w:lang w:val="en-US"/>
        </w:rPr>
        <w:t>86</w:t>
      </w:r>
      <w:r w:rsidR="001D5826">
        <w:rPr>
          <w:lang w:val="en-US"/>
        </w:rPr>
        <w:t>Sr relationships in both ug/ml and umole/ml units are presented in Figures S</w:t>
      </w:r>
      <w:r w:rsidR="00037E4E">
        <w:rPr>
          <w:lang w:val="en-US"/>
        </w:rPr>
        <w:t>3</w:t>
      </w:r>
      <w:r w:rsidR="001D5826">
        <w:rPr>
          <w:lang w:val="en-US"/>
        </w:rPr>
        <w:t>b and S</w:t>
      </w:r>
      <w:r w:rsidR="00037E4E">
        <w:rPr>
          <w:lang w:val="en-US"/>
        </w:rPr>
        <w:t>3</w:t>
      </w:r>
      <w:r w:rsidR="001D5826">
        <w:rPr>
          <w:lang w:val="en-US"/>
        </w:rPr>
        <w:t>c.</w:t>
      </w:r>
    </w:p>
    <w:p w14:paraId="161B237B" w14:textId="77777777" w:rsidR="00352F8C" w:rsidRDefault="00352F8C" w:rsidP="002631CE">
      <w:pPr>
        <w:pStyle w:val="Newparagraph"/>
        <w:spacing w:after="3" w:line="473" w:lineRule="auto"/>
        <w:ind w:right="144" w:firstLine="0"/>
        <w:jc w:val="both"/>
        <w:rPr>
          <w:lang w:val="en-US"/>
        </w:rPr>
      </w:pPr>
      <w:r w:rsidRPr="00C75EF3">
        <w:rPr>
          <w:noProof/>
        </w:rPr>
        <w:lastRenderedPageBreak/>
        <w:drawing>
          <wp:inline distT="0" distB="0" distL="0" distR="0" wp14:anchorId="34CA04EA" wp14:editId="452B631E">
            <wp:extent cx="4580952" cy="2752381"/>
            <wp:effectExtent l="0" t="0" r="0" b="0"/>
            <wp:docPr id="2" name="Picture 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10;&#10;Description automatically generated"/>
                    <pic:cNvPicPr/>
                  </pic:nvPicPr>
                  <pic:blipFill>
                    <a:blip r:embed="rId16"/>
                    <a:stretch>
                      <a:fillRect/>
                    </a:stretch>
                  </pic:blipFill>
                  <pic:spPr>
                    <a:xfrm>
                      <a:off x="0" y="0"/>
                      <a:ext cx="4580952" cy="2752381"/>
                    </a:xfrm>
                    <a:prstGeom prst="rect">
                      <a:avLst/>
                    </a:prstGeom>
                  </pic:spPr>
                </pic:pic>
              </a:graphicData>
            </a:graphic>
          </wp:inline>
        </w:drawing>
      </w:r>
    </w:p>
    <w:p w14:paraId="2A2CE287" w14:textId="0329CBDC" w:rsidR="00352F8C" w:rsidRDefault="00352F8C" w:rsidP="002631CE">
      <w:pPr>
        <w:pStyle w:val="Newparagraph"/>
        <w:spacing w:after="3" w:line="473" w:lineRule="auto"/>
        <w:ind w:right="144" w:firstLine="0"/>
        <w:jc w:val="both"/>
        <w:rPr>
          <w:lang w:val="en-US"/>
        </w:rPr>
      </w:pPr>
      <w:r>
        <w:rPr>
          <w:lang w:val="en-US"/>
        </w:rPr>
        <w:t>Figure S</w:t>
      </w:r>
      <w:r w:rsidR="00C56579">
        <w:rPr>
          <w:lang w:val="en-US"/>
        </w:rPr>
        <w:t>3</w:t>
      </w:r>
      <w:r>
        <w:rPr>
          <w:lang w:val="en-US"/>
        </w:rPr>
        <w:t>a.</w:t>
      </w:r>
      <w:r w:rsidRPr="00A118CE">
        <w:rPr>
          <w:lang w:val="en-US"/>
        </w:rPr>
        <w:t xml:space="preserve"> </w:t>
      </w:r>
      <w:r w:rsidRPr="00BC76FD">
        <w:rPr>
          <w:lang w:val="en-US"/>
        </w:rPr>
        <w:t xml:space="preserve">Graphical illustration of the </w:t>
      </w:r>
      <w:r>
        <w:rPr>
          <w:lang w:val="en-US"/>
        </w:rPr>
        <w:t xml:space="preserve">conventional </w:t>
      </w:r>
      <w:r w:rsidRPr="00BC76FD">
        <w:rPr>
          <w:lang w:val="en-US"/>
        </w:rPr>
        <w:t xml:space="preserve">Keeling plot method (referred to as a mixing diagram for non-gas samples) using </w:t>
      </w:r>
      <w:r>
        <w:rPr>
          <w:lang w:val="en-US"/>
        </w:rPr>
        <w:t>an estimate of 1/total Sr (ug/ml)</w:t>
      </w:r>
      <w:r w:rsidRPr="00BC76FD">
        <w:rPr>
          <w:lang w:val="en-US"/>
        </w:rPr>
        <w:t xml:space="preserve"> on the </w:t>
      </w:r>
      <w:r w:rsidRPr="00442D30">
        <w:rPr>
          <w:i/>
          <w:iCs/>
          <w:lang w:val="en-US"/>
        </w:rPr>
        <w:t>x</w:t>
      </w:r>
      <w:r w:rsidRPr="00BC76FD">
        <w:rPr>
          <w:lang w:val="en-US"/>
        </w:rPr>
        <w:t xml:space="preserve">-axis </w:t>
      </w:r>
      <w:r>
        <w:rPr>
          <w:lang w:val="en-US"/>
        </w:rPr>
        <w:t xml:space="preserve">and </w:t>
      </w:r>
      <w:r w:rsidRPr="00442D30">
        <w:rPr>
          <w:vertAlign w:val="superscript"/>
          <w:lang w:val="en-US"/>
        </w:rPr>
        <w:t>87</w:t>
      </w:r>
      <w:r>
        <w:rPr>
          <w:lang w:val="en-US"/>
        </w:rPr>
        <w:t>Sr:</w:t>
      </w:r>
      <w:r w:rsidRPr="00442D30">
        <w:rPr>
          <w:vertAlign w:val="superscript"/>
          <w:lang w:val="en-US"/>
        </w:rPr>
        <w:t>86</w:t>
      </w:r>
      <w:r>
        <w:rPr>
          <w:lang w:val="en-US"/>
        </w:rPr>
        <w:t>Sr ratios on both ug/ml and umole/ml bases for the ratio data derived from Figures 1a and S</w:t>
      </w:r>
      <w:r w:rsidR="00E60E38">
        <w:rPr>
          <w:lang w:val="en-US"/>
        </w:rPr>
        <w:t>2a</w:t>
      </w:r>
      <w:r>
        <w:rPr>
          <w:lang w:val="en-US"/>
        </w:rPr>
        <w:t xml:space="preserve">. The total Sr estimate was calculated by assuming the sum of </w:t>
      </w:r>
      <w:r w:rsidRPr="00C75EF3">
        <w:rPr>
          <w:vertAlign w:val="superscript"/>
          <w:lang w:val="en-US"/>
        </w:rPr>
        <w:t>86</w:t>
      </w:r>
      <w:r>
        <w:rPr>
          <w:lang w:val="en-US"/>
        </w:rPr>
        <w:t xml:space="preserve">Sr and </w:t>
      </w:r>
      <w:r w:rsidRPr="00C75EF3">
        <w:rPr>
          <w:vertAlign w:val="superscript"/>
          <w:lang w:val="en-US"/>
        </w:rPr>
        <w:t>87</w:t>
      </w:r>
      <w:r>
        <w:rPr>
          <w:lang w:val="en-US"/>
        </w:rPr>
        <w:t>Sr on a umole/ml basis was 0.168581 (</w:t>
      </w:r>
      <w:r w:rsidRPr="00023D70">
        <w:rPr>
          <w:lang w:val="en-US"/>
        </w:rPr>
        <w:t>value for the commonly used SRM 987 Strontium Carbonate reference standard</w:t>
      </w:r>
      <w:r>
        <w:rPr>
          <w:lang w:val="en-US"/>
        </w:rPr>
        <w:t>) of the umole/ml total. Once the umole/ml total was known it was multiplied by the Molecular Weight of combined Sr isotopes (87.62) to determine the ug/ml total Sr.</w:t>
      </w:r>
    </w:p>
    <w:p w14:paraId="16FB1B67" w14:textId="77777777" w:rsidR="00352F8C" w:rsidRDefault="00352F8C" w:rsidP="002631CE">
      <w:pPr>
        <w:pStyle w:val="Newparagraph"/>
        <w:spacing w:after="3" w:line="473" w:lineRule="auto"/>
        <w:ind w:right="144" w:firstLine="0"/>
        <w:jc w:val="both"/>
        <w:rPr>
          <w:lang w:val="en-US"/>
        </w:rPr>
      </w:pPr>
    </w:p>
    <w:p w14:paraId="3A570766" w14:textId="77777777" w:rsidR="00352F8C" w:rsidRDefault="00352F8C" w:rsidP="002631CE">
      <w:pPr>
        <w:pStyle w:val="Newparagraph"/>
        <w:spacing w:after="3" w:line="473" w:lineRule="auto"/>
        <w:ind w:right="144" w:firstLine="0"/>
        <w:jc w:val="both"/>
        <w:rPr>
          <w:lang w:val="en-US"/>
        </w:rPr>
      </w:pPr>
      <w:r w:rsidRPr="00C75EF3">
        <w:rPr>
          <w:noProof/>
        </w:rPr>
        <w:lastRenderedPageBreak/>
        <w:drawing>
          <wp:inline distT="0" distB="0" distL="0" distR="0" wp14:anchorId="2C865522" wp14:editId="387CCE05">
            <wp:extent cx="4580952" cy="2752381"/>
            <wp:effectExtent l="0" t="0" r="0" b="0"/>
            <wp:docPr id="5" name="Picture 5" descr="Chart, line 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line chart, scatter chart&#10;&#10;Description automatically generated"/>
                    <pic:cNvPicPr/>
                  </pic:nvPicPr>
                  <pic:blipFill>
                    <a:blip r:embed="rId17"/>
                    <a:stretch>
                      <a:fillRect/>
                    </a:stretch>
                  </pic:blipFill>
                  <pic:spPr>
                    <a:xfrm>
                      <a:off x="0" y="0"/>
                      <a:ext cx="4580952" cy="2752381"/>
                    </a:xfrm>
                    <a:prstGeom prst="rect">
                      <a:avLst/>
                    </a:prstGeom>
                  </pic:spPr>
                </pic:pic>
              </a:graphicData>
            </a:graphic>
          </wp:inline>
        </w:drawing>
      </w:r>
    </w:p>
    <w:p w14:paraId="37C3AABF" w14:textId="0E2EF7F2" w:rsidR="00352F8C" w:rsidRDefault="00352F8C" w:rsidP="002631CE">
      <w:pPr>
        <w:pStyle w:val="Newparagraph"/>
        <w:spacing w:after="3" w:line="473" w:lineRule="auto"/>
        <w:ind w:right="144" w:firstLine="0"/>
        <w:jc w:val="both"/>
        <w:rPr>
          <w:lang w:val="en-US"/>
        </w:rPr>
      </w:pPr>
      <w:r>
        <w:rPr>
          <w:lang w:val="en-US"/>
        </w:rPr>
        <w:t>Figure S</w:t>
      </w:r>
      <w:r w:rsidR="00C56579">
        <w:rPr>
          <w:lang w:val="en-US"/>
        </w:rPr>
        <w:t>3</w:t>
      </w:r>
      <w:r>
        <w:rPr>
          <w:lang w:val="en-US"/>
        </w:rPr>
        <w:t xml:space="preserve">b. The relationship between an estimate of total Sr (ug/ml) and </w:t>
      </w:r>
      <w:r w:rsidRPr="00442D30">
        <w:rPr>
          <w:vertAlign w:val="superscript"/>
          <w:lang w:val="en-US"/>
        </w:rPr>
        <w:t>86</w:t>
      </w:r>
      <w:r>
        <w:rPr>
          <w:lang w:val="en-US"/>
        </w:rPr>
        <w:t>Sr (ug/ml) values from the same data presented in Figure S</w:t>
      </w:r>
      <w:r w:rsidR="00AB1BF0">
        <w:rPr>
          <w:lang w:val="en-US"/>
        </w:rPr>
        <w:t>1</w:t>
      </w:r>
      <w:r w:rsidR="001D5826">
        <w:rPr>
          <w:lang w:val="en-US"/>
        </w:rPr>
        <w:t>a</w:t>
      </w:r>
      <w:r>
        <w:rPr>
          <w:lang w:val="en-US"/>
        </w:rPr>
        <w:t>.</w:t>
      </w:r>
      <w:r w:rsidRPr="00C75EF3">
        <w:rPr>
          <w:lang w:val="en-US"/>
        </w:rPr>
        <w:t xml:space="preserve"> </w:t>
      </w:r>
      <w:r>
        <w:rPr>
          <w:lang w:val="en-US"/>
        </w:rPr>
        <w:t xml:space="preserve">The total Sr estimate was calculated by assuming the sum of </w:t>
      </w:r>
      <w:r w:rsidRPr="00942708">
        <w:rPr>
          <w:vertAlign w:val="superscript"/>
          <w:lang w:val="en-US"/>
        </w:rPr>
        <w:t>86</w:t>
      </w:r>
      <w:r>
        <w:rPr>
          <w:lang w:val="en-US"/>
        </w:rPr>
        <w:t xml:space="preserve">Sr and </w:t>
      </w:r>
      <w:r w:rsidRPr="00942708">
        <w:rPr>
          <w:vertAlign w:val="superscript"/>
          <w:lang w:val="en-US"/>
        </w:rPr>
        <w:t>87</w:t>
      </w:r>
      <w:r>
        <w:rPr>
          <w:lang w:val="en-US"/>
        </w:rPr>
        <w:t>Sr on a umole/ml basis was 0.168581 (</w:t>
      </w:r>
      <w:r w:rsidRPr="00023D70">
        <w:rPr>
          <w:lang w:val="en-US"/>
        </w:rPr>
        <w:t>value for the commonly used SRM 987 Strontium Carbonate reference standard</w:t>
      </w:r>
      <w:r>
        <w:rPr>
          <w:lang w:val="en-US"/>
        </w:rPr>
        <w:t>) of the umole/ml total. Once the umole/ml total was known it was multiplied by the Molecular Weight of combined Sr isotopes (87.62) to determine the ug/ml total Sr.</w:t>
      </w:r>
    </w:p>
    <w:p w14:paraId="687A414B" w14:textId="77777777" w:rsidR="00352F8C" w:rsidRDefault="00352F8C" w:rsidP="002631CE">
      <w:pPr>
        <w:pStyle w:val="Newparagraph"/>
        <w:spacing w:after="3" w:line="473" w:lineRule="auto"/>
        <w:ind w:right="144" w:firstLine="0"/>
        <w:jc w:val="both"/>
        <w:rPr>
          <w:lang w:val="en-US"/>
        </w:rPr>
      </w:pPr>
    </w:p>
    <w:p w14:paraId="3527C745" w14:textId="77777777" w:rsidR="00352F8C" w:rsidRDefault="00352F8C" w:rsidP="002631CE">
      <w:pPr>
        <w:pStyle w:val="Newparagraph"/>
        <w:spacing w:after="3" w:line="473" w:lineRule="auto"/>
        <w:ind w:right="144" w:firstLine="0"/>
        <w:jc w:val="both"/>
        <w:rPr>
          <w:lang w:val="en-US"/>
        </w:rPr>
      </w:pPr>
      <w:r w:rsidRPr="00C75EF3">
        <w:rPr>
          <w:noProof/>
        </w:rPr>
        <w:drawing>
          <wp:inline distT="0" distB="0" distL="0" distR="0" wp14:anchorId="26F87966" wp14:editId="255600E5">
            <wp:extent cx="4571429" cy="2752381"/>
            <wp:effectExtent l="0" t="0" r="635" b="0"/>
            <wp:docPr id="7" name="Picture 7"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line chart&#10;&#10;Description automatically generated"/>
                    <pic:cNvPicPr/>
                  </pic:nvPicPr>
                  <pic:blipFill>
                    <a:blip r:embed="rId18"/>
                    <a:stretch>
                      <a:fillRect/>
                    </a:stretch>
                  </pic:blipFill>
                  <pic:spPr>
                    <a:xfrm>
                      <a:off x="0" y="0"/>
                      <a:ext cx="4571429" cy="2752381"/>
                    </a:xfrm>
                    <a:prstGeom prst="rect">
                      <a:avLst/>
                    </a:prstGeom>
                  </pic:spPr>
                </pic:pic>
              </a:graphicData>
            </a:graphic>
          </wp:inline>
        </w:drawing>
      </w:r>
    </w:p>
    <w:p w14:paraId="5214608E" w14:textId="5C510F64" w:rsidR="00352F8C" w:rsidRDefault="00352F8C" w:rsidP="002631CE">
      <w:pPr>
        <w:pStyle w:val="Newparagraph"/>
        <w:spacing w:after="3" w:line="473" w:lineRule="auto"/>
        <w:ind w:right="144" w:firstLine="0"/>
        <w:jc w:val="both"/>
        <w:rPr>
          <w:lang w:val="en-US"/>
        </w:rPr>
      </w:pPr>
      <w:r>
        <w:rPr>
          <w:lang w:val="en-US"/>
        </w:rPr>
        <w:lastRenderedPageBreak/>
        <w:t>Figure S</w:t>
      </w:r>
      <w:r w:rsidR="00C56579">
        <w:rPr>
          <w:lang w:val="en-US"/>
        </w:rPr>
        <w:t>3</w:t>
      </w:r>
      <w:r>
        <w:rPr>
          <w:lang w:val="en-US"/>
        </w:rPr>
        <w:t xml:space="preserve">c. The relationship between an estimate of total Sr (ug/ml) and </w:t>
      </w:r>
      <w:r w:rsidRPr="00442D30">
        <w:rPr>
          <w:vertAlign w:val="superscript"/>
          <w:lang w:val="en-US"/>
        </w:rPr>
        <w:t>86</w:t>
      </w:r>
      <w:r>
        <w:rPr>
          <w:lang w:val="en-US"/>
        </w:rPr>
        <w:t xml:space="preserve">Sr (umole/ml) values from the same data presented in Figure 1a. The total Sr estimate was calculated by assuming the sum of </w:t>
      </w:r>
      <w:r w:rsidRPr="00436116">
        <w:rPr>
          <w:vertAlign w:val="superscript"/>
          <w:lang w:val="en-US"/>
        </w:rPr>
        <w:t>86</w:t>
      </w:r>
      <w:r>
        <w:rPr>
          <w:lang w:val="en-US"/>
        </w:rPr>
        <w:t xml:space="preserve">Sr and </w:t>
      </w:r>
      <w:r w:rsidRPr="00436116">
        <w:rPr>
          <w:vertAlign w:val="superscript"/>
          <w:lang w:val="en-US"/>
        </w:rPr>
        <w:t>87</w:t>
      </w:r>
      <w:r>
        <w:rPr>
          <w:lang w:val="en-US"/>
        </w:rPr>
        <w:t>Sr on a umole/ml basis was 0.168581 (</w:t>
      </w:r>
      <w:r w:rsidRPr="00023D70">
        <w:rPr>
          <w:lang w:val="en-US"/>
        </w:rPr>
        <w:t>value for the commonly used SRM 987 Strontium Carbonate reference standard</w:t>
      </w:r>
      <w:r>
        <w:rPr>
          <w:lang w:val="en-US"/>
        </w:rPr>
        <w:t>) of the umole/ml total. Once the umole/ml total was known it was multiplied by the Molecular Weight of combined Sr isotopes (87.62) to determine the ug/ml total Sr.</w:t>
      </w:r>
    </w:p>
    <w:p w14:paraId="65392B40" w14:textId="5D3D2A8A" w:rsidR="006A23DB" w:rsidRDefault="006A23DB" w:rsidP="002631CE">
      <w:pPr>
        <w:pStyle w:val="Newparagraph"/>
        <w:spacing w:after="3" w:line="473" w:lineRule="auto"/>
        <w:ind w:right="144" w:firstLine="0"/>
        <w:jc w:val="both"/>
        <w:rPr>
          <w:lang w:val="en-US"/>
        </w:rPr>
      </w:pPr>
      <w:r>
        <w:rPr>
          <w:lang w:val="en-US"/>
        </w:rPr>
        <w:t>-</w:t>
      </w:r>
    </w:p>
    <w:p w14:paraId="2BD4632E" w14:textId="68FAA9F5" w:rsidR="00352F8C" w:rsidRDefault="00352F8C" w:rsidP="002631CE">
      <w:pPr>
        <w:pStyle w:val="Newparagraph"/>
        <w:spacing w:after="3" w:line="473" w:lineRule="auto"/>
        <w:ind w:right="144"/>
        <w:jc w:val="both"/>
        <w:rPr>
          <w:lang w:val="en-US" w:eastAsia="ja-JP"/>
        </w:rPr>
      </w:pPr>
      <w:r>
        <w:rPr>
          <w:lang w:val="en-US" w:eastAsia="ja-JP"/>
        </w:rPr>
        <w:t xml:space="preserve">Traditional Keeling plots or mixing diagrams </w:t>
      </w:r>
      <w:r w:rsidR="00037E4E">
        <w:rPr>
          <w:lang w:val="en-US" w:eastAsia="ja-JP"/>
        </w:rPr>
        <w:t xml:space="preserve">(orange points in Figure S3a) </w:t>
      </w:r>
      <w:r>
        <w:rPr>
          <w:lang w:val="en-US" w:eastAsia="ja-JP"/>
        </w:rPr>
        <w:t>are simply a</w:t>
      </w:r>
      <w:r w:rsidR="002416ED">
        <w:rPr>
          <w:lang w:val="en-US" w:eastAsia="ja-JP"/>
        </w:rPr>
        <w:t>n indirect</w:t>
      </w:r>
      <w:r>
        <w:rPr>
          <w:lang w:val="en-US" w:eastAsia="ja-JP"/>
        </w:rPr>
        <w:t xml:space="preserve"> way of estimating the slope of linear numerator vs. denominator plots. An exact match of sources (</w:t>
      </w:r>
      <w:r w:rsidRPr="00F31F5A">
        <w:rPr>
          <w:vertAlign w:val="superscript"/>
          <w:lang w:val="en-US" w:eastAsia="ja-JP"/>
        </w:rPr>
        <w:t>86</w:t>
      </w:r>
      <w:r>
        <w:rPr>
          <w:lang w:val="en-US" w:eastAsia="ja-JP"/>
        </w:rPr>
        <w:t xml:space="preserve">Sr vs. </w:t>
      </w:r>
      <w:r w:rsidRPr="00F31F5A">
        <w:rPr>
          <w:vertAlign w:val="superscript"/>
          <w:lang w:val="en-US" w:eastAsia="ja-JP"/>
        </w:rPr>
        <w:t>87</w:t>
      </w:r>
      <w:r>
        <w:rPr>
          <w:lang w:val="en-US" w:eastAsia="ja-JP"/>
        </w:rPr>
        <w:t>Sr slope and 1/</w:t>
      </w:r>
      <w:r w:rsidRPr="00F31F5A">
        <w:rPr>
          <w:vertAlign w:val="superscript"/>
          <w:lang w:val="en-US" w:eastAsia="ja-JP"/>
        </w:rPr>
        <w:t>86</w:t>
      </w:r>
      <w:r>
        <w:rPr>
          <w:lang w:val="en-US" w:eastAsia="ja-JP"/>
        </w:rPr>
        <w:t xml:space="preserve">Sr vs </w:t>
      </w:r>
      <w:r w:rsidRPr="00F31F5A">
        <w:rPr>
          <w:vertAlign w:val="superscript"/>
          <w:lang w:val="en-US" w:eastAsia="ja-JP"/>
        </w:rPr>
        <w:t>87</w:t>
      </w:r>
      <w:r>
        <w:rPr>
          <w:lang w:val="en-US" w:eastAsia="ja-JP"/>
        </w:rPr>
        <w:t>Sr:</w:t>
      </w:r>
      <w:r w:rsidRPr="00F31F5A">
        <w:rPr>
          <w:vertAlign w:val="superscript"/>
          <w:lang w:val="en-US" w:eastAsia="ja-JP"/>
        </w:rPr>
        <w:t>86</w:t>
      </w:r>
      <w:r>
        <w:rPr>
          <w:lang w:val="en-US" w:eastAsia="ja-JP"/>
        </w:rPr>
        <w:t xml:space="preserve">Sr ratio </w:t>
      </w:r>
      <w:r w:rsidRPr="00F31F5A">
        <w:rPr>
          <w:i/>
          <w:iCs/>
          <w:lang w:val="en-US" w:eastAsia="ja-JP"/>
        </w:rPr>
        <w:t>y</w:t>
      </w:r>
      <w:r>
        <w:rPr>
          <w:lang w:val="en-US" w:eastAsia="ja-JP"/>
        </w:rPr>
        <w:t>-intercept) and backgrounds (</w:t>
      </w:r>
      <w:r w:rsidRPr="00F31F5A">
        <w:rPr>
          <w:vertAlign w:val="superscript"/>
          <w:lang w:val="en-US" w:eastAsia="ja-JP"/>
        </w:rPr>
        <w:t>86</w:t>
      </w:r>
      <w:r>
        <w:rPr>
          <w:lang w:val="en-US" w:eastAsia="ja-JP"/>
        </w:rPr>
        <w:t xml:space="preserve">Sr vs. </w:t>
      </w:r>
      <w:r w:rsidRPr="00F31F5A">
        <w:rPr>
          <w:vertAlign w:val="superscript"/>
          <w:lang w:val="en-US" w:eastAsia="ja-JP"/>
        </w:rPr>
        <w:t>87</w:t>
      </w:r>
      <w:r>
        <w:rPr>
          <w:lang w:val="en-US" w:eastAsia="ja-JP"/>
        </w:rPr>
        <w:t>Sr</w:t>
      </w:r>
      <w:r w:rsidRPr="00F62291">
        <w:rPr>
          <w:i/>
          <w:iCs/>
          <w:lang w:val="en-US" w:eastAsia="ja-JP"/>
        </w:rPr>
        <w:t xml:space="preserve"> y</w:t>
      </w:r>
      <w:r>
        <w:rPr>
          <w:lang w:val="en-US" w:eastAsia="ja-JP"/>
        </w:rPr>
        <w:t>-intercept and 1/</w:t>
      </w:r>
      <w:r w:rsidRPr="00F31F5A">
        <w:rPr>
          <w:vertAlign w:val="superscript"/>
          <w:lang w:val="en-US" w:eastAsia="ja-JP"/>
        </w:rPr>
        <w:t>86</w:t>
      </w:r>
      <w:r>
        <w:rPr>
          <w:lang w:val="en-US" w:eastAsia="ja-JP"/>
        </w:rPr>
        <w:t xml:space="preserve">Sr vs. </w:t>
      </w:r>
      <w:r w:rsidRPr="00F31F5A">
        <w:rPr>
          <w:vertAlign w:val="superscript"/>
          <w:lang w:val="en-US" w:eastAsia="ja-JP"/>
        </w:rPr>
        <w:t>87</w:t>
      </w:r>
      <w:r>
        <w:rPr>
          <w:lang w:val="en-US" w:eastAsia="ja-JP"/>
        </w:rPr>
        <w:t>Sr:</w:t>
      </w:r>
      <w:r w:rsidRPr="00F31F5A">
        <w:rPr>
          <w:vertAlign w:val="superscript"/>
          <w:lang w:val="en-US" w:eastAsia="ja-JP"/>
        </w:rPr>
        <w:t>86</w:t>
      </w:r>
      <w:r>
        <w:rPr>
          <w:lang w:val="en-US" w:eastAsia="ja-JP"/>
        </w:rPr>
        <w:t>Sr ratio slope) will occur when all Sr values are expressed in molar units.</w:t>
      </w:r>
    </w:p>
    <w:p w14:paraId="2C53193A" w14:textId="77BD14D0" w:rsidR="001C683F" w:rsidRPr="00E255E3" w:rsidRDefault="00352F8C" w:rsidP="002631CE">
      <w:pPr>
        <w:pStyle w:val="Heading1"/>
        <w:spacing w:before="0" w:after="3" w:line="473" w:lineRule="auto"/>
        <w:ind w:right="144"/>
        <w:jc w:val="both"/>
        <w:rPr>
          <w:szCs w:val="24"/>
          <w:lang w:val="en-US" w:eastAsia="ja-JP"/>
        </w:rPr>
      </w:pPr>
      <w:r>
        <w:rPr>
          <w:szCs w:val="24"/>
          <w:lang w:val="en-US" w:eastAsia="ja-JP"/>
        </w:rPr>
        <w:t>7</w:t>
      </w:r>
      <w:r w:rsidR="00B81204" w:rsidRPr="00E255E3">
        <w:rPr>
          <w:szCs w:val="24"/>
          <w:lang w:val="en-US" w:eastAsia="ja-JP"/>
        </w:rPr>
        <w:t>. MATERIALS AND METHODS USED TO PRODUCE TABLE 1</w:t>
      </w:r>
    </w:p>
    <w:p w14:paraId="0AFB962C" w14:textId="77777777" w:rsidR="001C683F" w:rsidRPr="00E255E3" w:rsidRDefault="00B81204" w:rsidP="002631CE">
      <w:pPr>
        <w:pStyle w:val="Paragraph"/>
        <w:spacing w:before="0" w:after="3" w:line="473" w:lineRule="auto"/>
        <w:ind w:right="144"/>
        <w:jc w:val="both"/>
        <w:rPr>
          <w:rFonts w:asciiTheme="majorBidi" w:hAnsiTheme="majorBidi" w:cstheme="majorBidi"/>
          <w:lang w:val="en-US"/>
        </w:rPr>
      </w:pPr>
      <w:r w:rsidRPr="00E255E3">
        <w:rPr>
          <w:lang w:val="en-US"/>
        </w:rPr>
        <w:t xml:space="preserve">Google was used to find Sr isotope papers by searching for </w:t>
      </w:r>
      <w:r w:rsidRPr="00071747">
        <w:rPr>
          <w:vertAlign w:val="superscript"/>
          <w:lang w:val="en-US"/>
        </w:rPr>
        <w:t>86</w:t>
      </w:r>
      <w:r w:rsidRPr="00E255E3">
        <w:rPr>
          <w:lang w:val="en-US"/>
        </w:rPr>
        <w:t>Sr:</w:t>
      </w:r>
      <w:r w:rsidRPr="00071747">
        <w:rPr>
          <w:vertAlign w:val="superscript"/>
          <w:lang w:val="en-US"/>
        </w:rPr>
        <w:t>87</w:t>
      </w:r>
      <w:r w:rsidRPr="00E255E3">
        <w:rPr>
          <w:lang w:val="en-US"/>
        </w:rPr>
        <w:t>Sr ratios pdf. The first ten pages of this Google search were evaluated. A second Google search for Sr isotopes pdf was conducted and the first ten pages of this search were evaluated to select papers not found in the first search. After culling papers that did not evaluate treatments (mostly methods papers) 100 Sr publications were selected for analysis based on the alphabetic order of the first author. This produced a selection of 100 publications. A similar procedure was used for C and N isotope papers. Since this process produced less than 100 papers for C</w:t>
      </w:r>
      <w:r w:rsidRPr="00E255E3">
        <w:rPr>
          <w:rFonts w:asciiTheme="majorBidi" w:hAnsiTheme="majorBidi" w:cstheme="majorBidi"/>
          <w:lang w:val="en-US"/>
        </w:rPr>
        <w:t xml:space="preserve"> and N analyses, additional publications were added to the lists by evaluating the N and Sr papers to determine if they had </w:t>
      </w:r>
      <w:r w:rsidRPr="00E255E3">
        <w:rPr>
          <w:rFonts w:asciiTheme="majorBidi" w:hAnsiTheme="majorBidi" w:cstheme="majorBidi"/>
          <w:vertAlign w:val="superscript"/>
          <w:lang w:val="en-US"/>
        </w:rPr>
        <w:t>13</w:t>
      </w:r>
      <w:r w:rsidRPr="00E255E3">
        <w:rPr>
          <w:rFonts w:asciiTheme="majorBidi" w:hAnsiTheme="majorBidi" w:cstheme="majorBidi"/>
          <w:lang w:val="en-US"/>
        </w:rPr>
        <w:t xml:space="preserve">C data and the Sr and C papers to determine if they had </w:t>
      </w:r>
      <w:r w:rsidRPr="00E255E3">
        <w:rPr>
          <w:rFonts w:asciiTheme="majorBidi" w:hAnsiTheme="majorBidi" w:cstheme="majorBidi"/>
          <w:vertAlign w:val="superscript"/>
          <w:lang w:val="en-US"/>
        </w:rPr>
        <w:t>15</w:t>
      </w:r>
      <w:r w:rsidRPr="00E255E3">
        <w:rPr>
          <w:rFonts w:asciiTheme="majorBidi" w:hAnsiTheme="majorBidi" w:cstheme="majorBidi"/>
          <w:lang w:val="en-US"/>
        </w:rPr>
        <w:t xml:space="preserve">N data. Eventually, 100 C and N isotope papers were selected for analysis based on the alphabetic order of the first author. Papers were placed into three categories: </w:t>
      </w:r>
      <w:r w:rsidR="00E3614A" w:rsidRPr="00E255E3">
        <w:rPr>
          <w:rFonts w:asciiTheme="majorBidi" w:hAnsiTheme="majorBidi" w:cstheme="majorBidi"/>
          <w:lang w:val="en-US"/>
        </w:rPr>
        <w:t>(</w:t>
      </w:r>
      <w:r w:rsidRPr="00E255E3">
        <w:rPr>
          <w:rFonts w:asciiTheme="majorBidi" w:hAnsiTheme="majorBidi" w:cstheme="majorBidi"/>
          <w:lang w:val="en-US"/>
        </w:rPr>
        <w:t xml:space="preserve">1) data that could be used to determine total element, which could then be </w:t>
      </w:r>
      <w:r w:rsidRPr="00E255E3">
        <w:rPr>
          <w:rFonts w:asciiTheme="majorBidi" w:hAnsiTheme="majorBidi" w:cstheme="majorBidi"/>
          <w:lang w:val="en-US"/>
        </w:rPr>
        <w:lastRenderedPageBreak/>
        <w:t xml:space="preserve">matched to isotopic ratios was not available </w:t>
      </w:r>
      <w:r w:rsidR="00E3614A" w:rsidRPr="00E255E3">
        <w:rPr>
          <w:rFonts w:asciiTheme="majorBidi" w:hAnsiTheme="majorBidi" w:cstheme="majorBidi"/>
          <w:lang w:val="en-US"/>
        </w:rPr>
        <w:t>(</w:t>
      </w:r>
      <w:r w:rsidRPr="00E255E3">
        <w:rPr>
          <w:rFonts w:asciiTheme="majorBidi" w:hAnsiTheme="majorBidi" w:cstheme="majorBidi"/>
          <w:lang w:val="en-US"/>
        </w:rPr>
        <w:t xml:space="preserve">2) data that could be used to determine total element, which could then be matched to isotopic ratios was available, but not used to evaluate sources </w:t>
      </w:r>
      <w:r w:rsidR="00E3614A" w:rsidRPr="00E255E3">
        <w:rPr>
          <w:rFonts w:asciiTheme="majorBidi" w:hAnsiTheme="majorBidi" w:cstheme="majorBidi"/>
          <w:lang w:val="en-US"/>
        </w:rPr>
        <w:t>(</w:t>
      </w:r>
      <w:r w:rsidRPr="00E255E3">
        <w:rPr>
          <w:rFonts w:asciiTheme="majorBidi" w:hAnsiTheme="majorBidi" w:cstheme="majorBidi"/>
          <w:lang w:val="en-US"/>
        </w:rPr>
        <w:t>3) data that could be used to determine total element, which could then be matched to isotopic ratios was available, and this data was used to evaluate sources (mixing diagrams or Keeling plots).</w:t>
      </w:r>
    </w:p>
    <w:p w14:paraId="077A350D" w14:textId="13CBB6E8" w:rsidR="00B90C66" w:rsidRPr="00E255E3" w:rsidRDefault="00B81204" w:rsidP="002631CE">
      <w:pPr>
        <w:pStyle w:val="Newparagraph"/>
        <w:spacing w:after="3" w:line="473" w:lineRule="auto"/>
        <w:ind w:right="144"/>
        <w:jc w:val="both"/>
        <w:rPr>
          <w:lang w:val="en-US"/>
        </w:rPr>
      </w:pPr>
      <w:r w:rsidRPr="00E255E3">
        <w:rPr>
          <w:lang w:val="en-US"/>
        </w:rPr>
        <w:t xml:space="preserve">The use of a single search engine may lead to bias. It is possible that other search engines such as the Web of Science </w:t>
      </w:r>
      <w:r w:rsidR="000E66DD" w:rsidRPr="00E255E3">
        <w:rPr>
          <w:lang w:val="en-US"/>
        </w:rPr>
        <w:t>or</w:t>
      </w:r>
      <w:r w:rsidRPr="00E255E3">
        <w:rPr>
          <w:lang w:val="en-US"/>
        </w:rPr>
        <w:t xml:space="preserve"> SciFinder might produce different results. However</w:t>
      </w:r>
      <w:r w:rsidR="00141BBB">
        <w:rPr>
          <w:lang w:val="en-US"/>
        </w:rPr>
        <w:t>,</w:t>
      </w:r>
      <w:r w:rsidRPr="00E255E3">
        <w:rPr>
          <w:lang w:val="en-US"/>
        </w:rPr>
        <w:t xml:space="preserve"> our goal was to demonstrate that the use of source analyses is rare, rather than to define the exact portion of publications that may fall into a particular category. We suspect that other search engines will provide a similar conclusion.</w:t>
      </w:r>
    </w:p>
    <w:p w14:paraId="3ED7846F" w14:textId="77777777" w:rsidR="00B90C66" w:rsidRPr="00E255E3" w:rsidRDefault="00B90C66" w:rsidP="002631CE">
      <w:pPr>
        <w:pStyle w:val="Heading1"/>
        <w:spacing w:before="0" w:after="3" w:line="473" w:lineRule="auto"/>
        <w:ind w:right="144"/>
        <w:jc w:val="both"/>
        <w:rPr>
          <w:b w:val="0"/>
          <w:bCs w:val="0"/>
          <w:lang w:val="en-US" w:eastAsia="ja-JP"/>
        </w:rPr>
      </w:pPr>
      <w:r>
        <w:rPr>
          <w:lang w:val="en-US" w:eastAsia="ja-JP"/>
        </w:rPr>
        <w:t>8</w:t>
      </w:r>
      <w:r w:rsidRPr="00EC1453">
        <w:rPr>
          <w:lang w:val="en-US" w:eastAsia="ja-JP"/>
        </w:rPr>
        <w:t>.</w:t>
      </w:r>
      <w:r w:rsidRPr="00E255E3">
        <w:rPr>
          <w:b w:val="0"/>
          <w:bCs w:val="0"/>
          <w:lang w:val="en-US" w:eastAsia="ja-JP"/>
        </w:rPr>
        <w:t xml:space="preserve"> </w:t>
      </w:r>
      <w:r w:rsidRPr="00E255E3">
        <w:rPr>
          <w:lang w:val="en-US" w:eastAsia="ja-JP"/>
        </w:rPr>
        <w:t>NOTE ON ADJUSTING RATIOS TO ACCOUNT FOR NON-ZERO Y-INTERCEPTS FOR POLYNOMIAL FUNCTIONS</w:t>
      </w:r>
    </w:p>
    <w:p w14:paraId="6D0063B9" w14:textId="1D8CC47A" w:rsidR="00B90C66" w:rsidRPr="00E255E3" w:rsidRDefault="00B90C66" w:rsidP="002631CE">
      <w:pPr>
        <w:pStyle w:val="Paragraph"/>
        <w:spacing w:before="0" w:after="3" w:line="473" w:lineRule="auto"/>
        <w:ind w:right="144"/>
        <w:jc w:val="both"/>
        <w:rPr>
          <w:lang w:val="en-US"/>
        </w:rPr>
      </w:pPr>
      <w:r w:rsidRPr="00E255E3">
        <w:rPr>
          <w:lang w:val="en-US"/>
        </w:rPr>
        <w:t xml:space="preserve">A function </w:t>
      </w:r>
      <w:r w:rsidR="00226B73">
        <w:rPr>
          <w:lang w:val="en-US"/>
        </w:rPr>
        <w:t xml:space="preserve">that identifies </w:t>
      </w:r>
      <w:r w:rsidR="00226B73" w:rsidRPr="00226B73">
        <w:rPr>
          <w:i/>
          <w:iCs/>
          <w:lang w:val="en-US"/>
        </w:rPr>
        <w:t>y</w:t>
      </w:r>
      <w:r w:rsidR="00226B73">
        <w:rPr>
          <w:lang w:val="en-US"/>
        </w:rPr>
        <w:t xml:space="preserve">-intercept corrected ratios </w:t>
      </w:r>
      <w:r w:rsidRPr="00E255E3">
        <w:rPr>
          <w:lang w:val="en-US"/>
        </w:rPr>
        <w:t>can be calculated by maintaining the coefficients of a polynomial equation and reducing the exponents by a factor of one. For example:</w:t>
      </w:r>
    </w:p>
    <w:p w14:paraId="42FEA266" w14:textId="77777777" w:rsidR="00B90C66" w:rsidRPr="00E255E3" w:rsidRDefault="00B90C66" w:rsidP="002631CE">
      <w:pPr>
        <w:pStyle w:val="Displayedequation"/>
        <w:spacing w:before="0" w:after="3" w:line="473" w:lineRule="auto"/>
        <w:ind w:right="144"/>
        <w:jc w:val="both"/>
        <w:rPr>
          <w:lang w:val="en-US"/>
        </w:rPr>
      </w:pPr>
      <w:r w:rsidRPr="00E255E3">
        <w:rPr>
          <w:lang w:val="en-US"/>
        </w:rPr>
        <w:tab/>
        <w:t>y = 0.0000000089x</w:t>
      </w:r>
      <w:r w:rsidRPr="00E255E3">
        <w:rPr>
          <w:vertAlign w:val="superscript"/>
          <w:lang w:val="en-US"/>
        </w:rPr>
        <w:t>3</w:t>
      </w:r>
      <w:r w:rsidRPr="00E255E3">
        <w:rPr>
          <w:lang w:val="en-US"/>
        </w:rPr>
        <w:t xml:space="preserve"> - 0.0000039211x</w:t>
      </w:r>
      <w:r w:rsidRPr="00E255E3">
        <w:rPr>
          <w:vertAlign w:val="superscript"/>
          <w:lang w:val="en-US"/>
        </w:rPr>
        <w:t>2</w:t>
      </w:r>
      <w:r w:rsidRPr="00E255E3">
        <w:rPr>
          <w:lang w:val="en-US"/>
        </w:rPr>
        <w:t xml:space="preserve"> + 0.7096379729x</w:t>
      </w:r>
    </w:p>
    <w:p w14:paraId="3DA8F600" w14:textId="77777777" w:rsidR="00B90C66" w:rsidRPr="00E255E3" w:rsidRDefault="00B90C66" w:rsidP="002631CE">
      <w:pPr>
        <w:pStyle w:val="Paragraph"/>
        <w:spacing w:before="0" w:after="3" w:line="473" w:lineRule="auto"/>
        <w:ind w:right="144"/>
        <w:jc w:val="both"/>
        <w:rPr>
          <w:lang w:val="en-US"/>
        </w:rPr>
      </w:pPr>
      <w:r w:rsidRPr="00E255E3">
        <w:rPr>
          <w:lang w:val="en-US"/>
        </w:rPr>
        <w:t>becomes</w:t>
      </w:r>
    </w:p>
    <w:p w14:paraId="15F23AC4" w14:textId="77777777" w:rsidR="00B90C66" w:rsidRPr="00E255E3" w:rsidRDefault="00B90C66" w:rsidP="002631CE">
      <w:pPr>
        <w:pStyle w:val="Displayedequation"/>
        <w:spacing w:before="0" w:after="3" w:line="473" w:lineRule="auto"/>
        <w:ind w:right="144"/>
        <w:jc w:val="both"/>
        <w:rPr>
          <w:lang w:val="en-US"/>
        </w:rPr>
      </w:pPr>
      <w:r w:rsidRPr="00E255E3">
        <w:rPr>
          <w:lang w:val="en-US"/>
        </w:rPr>
        <w:tab/>
        <w:t>y/x = 0.0000000089x</w:t>
      </w:r>
      <w:r w:rsidRPr="0049149A">
        <w:rPr>
          <w:vertAlign w:val="superscript"/>
          <w:lang w:val="en-US"/>
        </w:rPr>
        <w:t>2</w:t>
      </w:r>
      <w:r w:rsidRPr="00E255E3">
        <w:rPr>
          <w:lang w:val="en-US"/>
        </w:rPr>
        <w:t xml:space="preserve"> - 0.0000039211x + 0.7096379729</w:t>
      </w:r>
    </w:p>
    <w:p w14:paraId="08C51FBD" w14:textId="4D001B54" w:rsidR="00B90C66" w:rsidRPr="00E255E3" w:rsidRDefault="004775C8" w:rsidP="002631CE">
      <w:pPr>
        <w:pStyle w:val="Paragraph"/>
        <w:spacing w:before="0" w:after="3" w:line="473" w:lineRule="auto"/>
        <w:ind w:right="144"/>
        <w:jc w:val="both"/>
        <w:rPr>
          <w:rFonts w:asciiTheme="majorBidi" w:hAnsiTheme="majorBidi" w:cstheme="majorBidi"/>
          <w:lang w:val="en-US"/>
        </w:rPr>
      </w:pPr>
      <w:r>
        <w:rPr>
          <w:lang w:val="en-US"/>
        </w:rPr>
        <w:t>P</w:t>
      </w:r>
      <w:r w:rsidR="00B90C66">
        <w:rPr>
          <w:lang w:val="en-US"/>
        </w:rPr>
        <w:t>olynomial function e</w:t>
      </w:r>
      <w:r w:rsidR="00B90C66" w:rsidRPr="00E255E3">
        <w:rPr>
          <w:lang w:val="en-US"/>
        </w:rPr>
        <w:t>quation</w:t>
      </w:r>
      <w:r w:rsidR="0038295D">
        <w:rPr>
          <w:lang w:val="en-US"/>
        </w:rPr>
        <w:t>-</w:t>
      </w:r>
      <w:r w:rsidR="00B90C66" w:rsidRPr="00E255E3">
        <w:rPr>
          <w:lang w:val="en-US"/>
        </w:rPr>
        <w:t xml:space="preserve">derived </w:t>
      </w:r>
      <w:r w:rsidR="00B90C66" w:rsidRPr="00BF5BE7">
        <w:rPr>
          <w:i/>
          <w:iCs/>
          <w:lang w:val="en-US"/>
        </w:rPr>
        <w:t>y</w:t>
      </w:r>
      <w:r w:rsidR="00B90C66">
        <w:rPr>
          <w:lang w:val="en-US"/>
        </w:rPr>
        <w:t xml:space="preserve">-intercept </w:t>
      </w:r>
      <w:r w:rsidR="00B90C66" w:rsidRPr="00E255E3">
        <w:rPr>
          <w:lang w:val="en-US"/>
        </w:rPr>
        <w:t xml:space="preserve">modified data and </w:t>
      </w:r>
      <w:r w:rsidR="00B90C66" w:rsidRPr="00AC75BE">
        <w:rPr>
          <w:i/>
          <w:iCs/>
          <w:lang w:val="en-US"/>
        </w:rPr>
        <w:t>y</w:t>
      </w:r>
      <w:r w:rsidR="00B90C66" w:rsidRPr="00E255E3">
        <w:rPr>
          <w:lang w:val="en-US"/>
        </w:rPr>
        <w:t>-intercept modified data created by adding or subtracting a constant to existing numerator values are identical. Intercept modified data removes</w:t>
      </w:r>
      <w:r w:rsidR="00B90C66" w:rsidRPr="00E255E3">
        <w:rPr>
          <w:rFonts w:asciiTheme="majorBidi" w:hAnsiTheme="majorBidi" w:cstheme="majorBidi"/>
          <w:lang w:val="en-US"/>
        </w:rPr>
        <w:t xml:space="preserve"> the </w:t>
      </w:r>
      <w:r w:rsidR="00B90C66" w:rsidRPr="00E255E3">
        <w:rPr>
          <w:rFonts w:asciiTheme="majorBidi" w:hAnsiTheme="majorBidi" w:cstheme="majorBidi"/>
          <w:i/>
          <w:iCs/>
          <w:lang w:val="en-US"/>
        </w:rPr>
        <w:t>y</w:t>
      </w:r>
      <w:r w:rsidR="00B90C66" w:rsidRPr="00E255E3">
        <w:rPr>
          <w:rFonts w:asciiTheme="majorBidi" w:hAnsiTheme="majorBidi" w:cstheme="majorBidi"/>
          <w:lang w:val="en-US"/>
        </w:rPr>
        <w:t xml:space="preserve">-intercept and total element effects on ratio values. For linear functions this creates a flat mixing diagram. Mean derivatives, slope and the mean </w:t>
      </w:r>
      <w:r w:rsidR="00B90C66" w:rsidRPr="005600C8">
        <w:rPr>
          <w:rFonts w:asciiTheme="majorBidi" w:hAnsiTheme="majorBidi" w:cstheme="majorBidi"/>
          <w:i/>
          <w:iCs/>
          <w:lang w:val="en-US"/>
        </w:rPr>
        <w:t>y</w:t>
      </w:r>
      <w:r w:rsidR="00B90C66">
        <w:rPr>
          <w:rFonts w:asciiTheme="majorBidi" w:hAnsiTheme="majorBidi" w:cstheme="majorBidi"/>
          <w:lang w:val="en-US"/>
        </w:rPr>
        <w:t xml:space="preserve">-intercept </w:t>
      </w:r>
      <w:r w:rsidR="00B90C66" w:rsidRPr="00E255E3">
        <w:rPr>
          <w:rFonts w:asciiTheme="majorBidi" w:hAnsiTheme="majorBidi" w:cstheme="majorBidi"/>
          <w:lang w:val="en-US"/>
        </w:rPr>
        <w:t xml:space="preserve">corrected ratios produce the same values and are indicative of a constant source for linear functions. Plotting intercept modified data </w:t>
      </w:r>
      <w:r w:rsidR="005A338D">
        <w:rPr>
          <w:rFonts w:asciiTheme="majorBidi" w:hAnsiTheme="majorBidi" w:cstheme="majorBidi"/>
          <w:lang w:val="en-US"/>
        </w:rPr>
        <w:t xml:space="preserve">for linear denominator vs. numerator functions </w:t>
      </w:r>
      <w:r w:rsidR="00B90C66" w:rsidRPr="00E255E3">
        <w:rPr>
          <w:rFonts w:asciiTheme="majorBidi" w:hAnsiTheme="majorBidi" w:cstheme="majorBidi"/>
          <w:lang w:val="en-US"/>
        </w:rPr>
        <w:t>reveals the slight changes in source for different times depths or other variables.</w:t>
      </w:r>
    </w:p>
    <w:p w14:paraId="0D5F416C" w14:textId="77777777" w:rsidR="00B90C66" w:rsidRDefault="00B90C66" w:rsidP="002631CE">
      <w:pPr>
        <w:pStyle w:val="Newparagraph"/>
        <w:spacing w:after="3" w:line="473" w:lineRule="auto"/>
        <w:ind w:right="144"/>
        <w:jc w:val="both"/>
        <w:rPr>
          <w:lang w:val="en-US"/>
        </w:rPr>
      </w:pPr>
      <w:r w:rsidRPr="00E255E3">
        <w:rPr>
          <w:lang w:val="en-US"/>
        </w:rPr>
        <w:lastRenderedPageBreak/>
        <w:t xml:space="preserve">Intercept corrections for curvilinear functions present what the relationship would be if </w:t>
      </w:r>
      <w:r w:rsidRPr="00E255E3">
        <w:rPr>
          <w:i/>
          <w:iCs/>
          <w:lang w:val="en-US"/>
        </w:rPr>
        <w:t>y</w:t>
      </w:r>
      <w:r w:rsidRPr="00E255E3">
        <w:rPr>
          <w:lang w:val="en-US"/>
        </w:rPr>
        <w:t xml:space="preserve">-intercept and total element effects did not occur. This can be useful in visualizing the magnitude of these effects. However, </w:t>
      </w:r>
      <w:r w:rsidRPr="00E255E3">
        <w:rPr>
          <w:i/>
          <w:iCs/>
          <w:lang w:val="en-US"/>
        </w:rPr>
        <w:t>y</w:t>
      </w:r>
      <w:r w:rsidRPr="00E255E3">
        <w:rPr>
          <w:lang w:val="en-US"/>
        </w:rPr>
        <w:t>-intercept corrected mixing diagrams for curvilinear polynomial functions do not directly reveal source changes for curvilinear functions. Quantifying source changes requires derivatives for these non-linear functions</w:t>
      </w:r>
      <w:r>
        <w:rPr>
          <w:lang w:val="en-US"/>
        </w:rPr>
        <w:t>.</w:t>
      </w:r>
    </w:p>
    <w:p w14:paraId="16895A08" w14:textId="1E0C33A0" w:rsidR="001C683F" w:rsidRPr="00E255E3" w:rsidRDefault="00B90C66" w:rsidP="002631CE">
      <w:pPr>
        <w:pStyle w:val="Heading1"/>
        <w:spacing w:before="0" w:after="3" w:line="473" w:lineRule="auto"/>
        <w:ind w:right="144"/>
        <w:jc w:val="both"/>
        <w:rPr>
          <w:lang w:val="en-US" w:eastAsia="ja-JP"/>
        </w:rPr>
      </w:pPr>
      <w:r>
        <w:rPr>
          <w:lang w:val="en-US" w:eastAsia="ja-JP"/>
        </w:rPr>
        <w:t>9</w:t>
      </w:r>
      <w:r w:rsidR="00B81204" w:rsidRPr="00E255E3">
        <w:rPr>
          <w:lang w:val="en-US" w:eastAsia="ja-JP"/>
        </w:rPr>
        <w:t>. NOTE ON THE MAGNITUDE OF NON-ZERO Y-INTERCEPTS</w:t>
      </w:r>
    </w:p>
    <w:p w14:paraId="2E4FA8DE" w14:textId="77777777" w:rsidR="001C683F" w:rsidRPr="00E255E3" w:rsidRDefault="00B81204" w:rsidP="002631CE">
      <w:pPr>
        <w:pStyle w:val="Paragraph"/>
        <w:spacing w:before="0" w:after="3" w:line="473" w:lineRule="auto"/>
        <w:ind w:right="144"/>
        <w:jc w:val="both"/>
        <w:rPr>
          <w:lang w:val="en-US" w:eastAsia="ja-JP"/>
        </w:rPr>
      </w:pPr>
      <w:r w:rsidRPr="00E255E3">
        <w:rPr>
          <w:lang w:val="en-US"/>
        </w:rPr>
        <w:t xml:space="preserve">The math-derived non-zero </w:t>
      </w:r>
      <w:r w:rsidRPr="00116DBA">
        <w:rPr>
          <w:i/>
          <w:iCs/>
          <w:lang w:val="en-US"/>
        </w:rPr>
        <w:t>y</w:t>
      </w:r>
      <w:r w:rsidRPr="00E255E3">
        <w:rPr>
          <w:lang w:val="en-US"/>
        </w:rPr>
        <w:t xml:space="preserve">-intercepts that represent isotopic backgrounds presented here for denominator isotope vs. numerator isotope plots are small, but important. For the carbon examples, the non-zero y-intercepts represent from 1.4% to 2.5% of the simulated data range for </w:t>
      </w:r>
      <w:r w:rsidRPr="00071747">
        <w:rPr>
          <w:vertAlign w:val="superscript"/>
          <w:lang w:val="en-US"/>
        </w:rPr>
        <w:t>13</w:t>
      </w:r>
      <w:r w:rsidRPr="00E255E3">
        <w:rPr>
          <w:lang w:val="en-US"/>
        </w:rPr>
        <w:t>C. For the strontium examples, the non-zero y-intercepts represent from 0.12% to 1.22% of the</w:t>
      </w:r>
      <w:r w:rsidRPr="00E255E3">
        <w:rPr>
          <w:lang w:val="en-US" w:eastAsia="ja-JP"/>
        </w:rPr>
        <w:t xml:space="preserve"> simulated data range for </w:t>
      </w:r>
      <w:r w:rsidRPr="00E255E3">
        <w:rPr>
          <w:vertAlign w:val="superscript"/>
          <w:lang w:val="en-US" w:eastAsia="ja-JP"/>
        </w:rPr>
        <w:t>87</w:t>
      </w:r>
      <w:r w:rsidRPr="00E255E3">
        <w:rPr>
          <w:lang w:val="en-US" w:eastAsia="ja-JP"/>
        </w:rPr>
        <w:t xml:space="preserve">Sr. Superimposed on small but real math-driven non-zero </w:t>
      </w:r>
      <w:r w:rsidRPr="00E255E3">
        <w:rPr>
          <w:i/>
          <w:iCs/>
          <w:lang w:val="en-US" w:eastAsia="ja-JP"/>
        </w:rPr>
        <w:t>y</w:t>
      </w:r>
      <w:r w:rsidRPr="00E255E3">
        <w:rPr>
          <w:lang w:val="en-US" w:eastAsia="ja-JP"/>
        </w:rPr>
        <w:t>-intercepts are other potential causes of allometric relationships.</w:t>
      </w:r>
    </w:p>
    <w:p w14:paraId="410E1CD2" w14:textId="2465A55B" w:rsidR="001C683F" w:rsidRDefault="00B81204" w:rsidP="002631CE">
      <w:pPr>
        <w:pStyle w:val="Newparagraph"/>
        <w:spacing w:after="3" w:line="473" w:lineRule="auto"/>
        <w:ind w:right="144"/>
        <w:jc w:val="both"/>
        <w:rPr>
          <w:lang w:val="en-US"/>
        </w:rPr>
      </w:pPr>
      <w:r w:rsidRPr="00E255E3">
        <w:rPr>
          <w:lang w:val="en-US"/>
        </w:rPr>
        <w:t xml:space="preserve">The many possible reasons for non-zero </w:t>
      </w:r>
      <w:r w:rsidRPr="00E255E3">
        <w:rPr>
          <w:i/>
          <w:iCs/>
          <w:lang w:val="en-US"/>
        </w:rPr>
        <w:t>y</w:t>
      </w:r>
      <w:r w:rsidRPr="00E255E3">
        <w:rPr>
          <w:lang w:val="en-US"/>
        </w:rPr>
        <w:t>-intercepts are addressed elsewhere (Righetti et al. 2007</w:t>
      </w:r>
      <w:r w:rsidR="00AF10EA">
        <w:rPr>
          <w:lang w:val="en-US"/>
        </w:rPr>
        <w:t>a</w:t>
      </w:r>
      <w:r w:rsidRPr="00E255E3">
        <w:rPr>
          <w:lang w:val="en-US"/>
        </w:rPr>
        <w:t>;</w:t>
      </w:r>
      <w:r w:rsidR="00AF10EA">
        <w:rPr>
          <w:lang w:val="en-US"/>
        </w:rPr>
        <w:t xml:space="preserve"> </w:t>
      </w:r>
      <w:r w:rsidR="00AF10EA" w:rsidRPr="00E255E3">
        <w:rPr>
          <w:lang w:val="en-US"/>
        </w:rPr>
        <w:t>Righetti et al. 2007</w:t>
      </w:r>
      <w:r w:rsidR="00AF10EA">
        <w:rPr>
          <w:lang w:val="en-US"/>
        </w:rPr>
        <w:t>b;</w:t>
      </w:r>
      <w:r w:rsidRPr="00E255E3">
        <w:rPr>
          <w:lang w:val="en-US"/>
        </w:rPr>
        <w:t xml:space="preserve"> Righetti et al. 201</w:t>
      </w:r>
      <w:r w:rsidR="006B2A54" w:rsidRPr="00E255E3">
        <w:rPr>
          <w:lang w:val="en-US"/>
        </w:rPr>
        <w:t>2</w:t>
      </w:r>
      <w:r w:rsidRPr="00E255E3">
        <w:rPr>
          <w:lang w:val="en-US"/>
        </w:rPr>
        <w:t>). Systematic measurement error, interrupted equilibriums and hysteresis effects as systems gain and lose the numerator isotope have been proposed. For isotopic studies, even the slightest deviation from an isometric relationship has interpretive consequences. A small over or under estimation of</w:t>
      </w:r>
      <w:r w:rsidR="002D161E">
        <w:rPr>
          <w:lang w:val="en-US"/>
        </w:rPr>
        <w:t xml:space="preserve"> </w:t>
      </w:r>
      <w:r w:rsidR="002D161E" w:rsidRPr="002D161E">
        <w:rPr>
          <w:vertAlign w:val="superscript"/>
          <w:lang w:val="en-US"/>
        </w:rPr>
        <w:t>87</w:t>
      </w:r>
      <w:r w:rsidRPr="00E255E3">
        <w:rPr>
          <w:lang w:val="en-US"/>
        </w:rPr>
        <w:t>Sr in a dataset (for example a 0</w:t>
      </w:r>
      <w:r w:rsidR="00116DBA">
        <w:rPr>
          <w:lang w:val="en-US"/>
        </w:rPr>
        <w:t>.</w:t>
      </w:r>
      <w:r w:rsidRPr="00E255E3">
        <w:rPr>
          <w:lang w:val="en-US"/>
        </w:rPr>
        <w:t>1</w:t>
      </w:r>
      <w:r w:rsidR="00116DBA">
        <w:rPr>
          <w:lang w:val="en-US"/>
        </w:rPr>
        <w:t>2</w:t>
      </w:r>
      <w:r w:rsidRPr="00E255E3">
        <w:rPr>
          <w:lang w:val="en-US"/>
        </w:rPr>
        <w:t>% systematic over or under estimation, (as demonstrated above) is enough to alter results. Almost all researchers would be pleased with this level of error, but for isotopic studies, this is not trivial. It is counterintuitive but true; tiny deviations from an isometric relationship have interpretive consequences.</w:t>
      </w:r>
      <w:r w:rsidR="006B01BB" w:rsidRPr="00E255E3">
        <w:rPr>
          <w:lang w:val="en-US"/>
        </w:rPr>
        <w:t xml:space="preserve"> </w:t>
      </w:r>
    </w:p>
    <w:p w14:paraId="25AC8A48" w14:textId="77777777" w:rsidR="00546A36" w:rsidRDefault="00546A36" w:rsidP="00546A36">
      <w:pPr>
        <w:pStyle w:val="Newparagraph"/>
        <w:spacing w:after="3" w:line="473" w:lineRule="auto"/>
        <w:ind w:right="144" w:firstLine="0"/>
        <w:jc w:val="both"/>
        <w:rPr>
          <w:b/>
          <w:bCs/>
          <w:lang w:val="en-US" w:eastAsia="ja-JP"/>
        </w:rPr>
      </w:pPr>
      <w:r>
        <w:rPr>
          <w:b/>
          <w:bCs/>
          <w:lang w:val="en-US" w:eastAsia="ja-JP"/>
        </w:rPr>
        <w:t>10. SIMULATIONS DEMONSTRATING SOURCE, BACKGROUND AND Y-INTERCEPT EFFECTS ON ISOTOPIC RATIOS FOR CURVILINEAR DENOMINATOR VS. NUMERATOR FUNCTIONS</w:t>
      </w:r>
    </w:p>
    <w:p w14:paraId="6741A83F" w14:textId="77777777" w:rsidR="00546A36" w:rsidRDefault="00546A36" w:rsidP="00546A36">
      <w:pPr>
        <w:pStyle w:val="Paragraph"/>
        <w:spacing w:before="0" w:after="3" w:line="473" w:lineRule="auto"/>
        <w:ind w:right="144"/>
        <w:jc w:val="both"/>
        <w:rPr>
          <w:lang w:val="en-US" w:eastAsia="ja-JP"/>
        </w:rPr>
      </w:pPr>
      <w:r>
        <w:rPr>
          <w:lang w:val="en-US" w:eastAsia="ja-JP"/>
        </w:rPr>
        <w:lastRenderedPageBreak/>
        <w:t xml:space="preserve">The following simulation </w:t>
      </w:r>
      <w:r w:rsidRPr="00023D70">
        <w:rPr>
          <w:lang w:val="en-US" w:eastAsia="ja-JP"/>
        </w:rPr>
        <w:t>reiterate</w:t>
      </w:r>
      <w:r>
        <w:rPr>
          <w:lang w:val="en-US" w:eastAsia="ja-JP"/>
        </w:rPr>
        <w:t>s</w:t>
      </w:r>
      <w:r w:rsidRPr="00023D70">
        <w:rPr>
          <w:lang w:val="en-US" w:eastAsia="ja-JP"/>
        </w:rPr>
        <w:t xml:space="preserve"> the fact that changing observed isotopic ratios are not necessarily related to changing sources. A second simulation goal is to demonstrate that interpreting a nonlinear mixing diagram, although difficult, can theoretically be </w:t>
      </w:r>
      <w:r>
        <w:rPr>
          <w:lang w:val="en-US" w:eastAsia="ja-JP"/>
        </w:rPr>
        <w:t xml:space="preserve">accomplished </w:t>
      </w:r>
      <w:r w:rsidRPr="00023D70">
        <w:rPr>
          <w:lang w:val="en-US" w:eastAsia="ja-JP"/>
        </w:rPr>
        <w:t xml:space="preserve">to define a changing source. A third goal was to demonstrate that even though </w:t>
      </w:r>
      <w:r w:rsidRPr="00023D70">
        <w:rPr>
          <w:i/>
          <w:iCs/>
          <w:lang w:val="en-US" w:eastAsia="ja-JP"/>
        </w:rPr>
        <w:t>y</w:t>
      </w:r>
      <w:r w:rsidRPr="00023D70">
        <w:rPr>
          <w:lang w:val="en-US" w:eastAsia="ja-JP"/>
        </w:rPr>
        <w:t xml:space="preserve">-intercepts for curvilinear </w:t>
      </w:r>
      <w:r w:rsidRPr="00023D70">
        <w:rPr>
          <w:vertAlign w:val="superscript"/>
          <w:lang w:val="en-US" w:eastAsia="ja-JP"/>
        </w:rPr>
        <w:t>86</w:t>
      </w:r>
      <w:r w:rsidRPr="00023D70">
        <w:rPr>
          <w:lang w:val="en-US" w:eastAsia="ja-JP"/>
        </w:rPr>
        <w:t xml:space="preserve">Sr vs. </w:t>
      </w:r>
      <w:r w:rsidRPr="00023D70">
        <w:rPr>
          <w:vertAlign w:val="superscript"/>
          <w:lang w:val="en-US" w:eastAsia="ja-JP"/>
        </w:rPr>
        <w:t>87</w:t>
      </w:r>
      <w:r w:rsidRPr="00023D70">
        <w:rPr>
          <w:lang w:val="en-US" w:eastAsia="ja-JP"/>
        </w:rPr>
        <w:t xml:space="preserve">Sr relationships in real datasets may be difficult to evaluate, they are mathematically related to system backgrounds. </w:t>
      </w:r>
    </w:p>
    <w:p w14:paraId="5CE06CA6" w14:textId="77777777" w:rsidR="00546A36" w:rsidRPr="00E34706" w:rsidRDefault="00546A36" w:rsidP="00546A36">
      <w:pPr>
        <w:pStyle w:val="Heading1"/>
        <w:spacing w:after="0" w:line="480" w:lineRule="auto"/>
        <w:rPr>
          <w:rFonts w:cs="Times New Roman"/>
          <w:szCs w:val="24"/>
        </w:rPr>
      </w:pPr>
      <w:r>
        <w:rPr>
          <w:rFonts w:cs="Times New Roman"/>
          <w:szCs w:val="24"/>
        </w:rPr>
        <w:t>10</w:t>
      </w:r>
      <w:r w:rsidRPr="00E34706">
        <w:rPr>
          <w:rFonts w:cs="Times New Roman"/>
          <w:szCs w:val="24"/>
        </w:rPr>
        <w:t>.1 Simulation</w:t>
      </w:r>
      <w:r>
        <w:rPr>
          <w:rFonts w:cs="Times New Roman"/>
          <w:szCs w:val="24"/>
        </w:rPr>
        <w:t xml:space="preserve"> Method</w:t>
      </w:r>
      <w:r w:rsidRPr="00E34706">
        <w:rPr>
          <w:rFonts w:cs="Times New Roman"/>
          <w:szCs w:val="24"/>
        </w:rPr>
        <w:t>s</w:t>
      </w:r>
    </w:p>
    <w:p w14:paraId="28B50E7F" w14:textId="23D070B7" w:rsidR="00546A36" w:rsidRPr="00023D70" w:rsidRDefault="00546A36" w:rsidP="00546A36">
      <w:pPr>
        <w:pStyle w:val="Paragraph"/>
        <w:spacing w:before="0"/>
        <w:rPr>
          <w:lang w:val="en-US"/>
        </w:rPr>
      </w:pPr>
      <w:r w:rsidRPr="00023D70">
        <w:rPr>
          <w:lang w:val="en-US"/>
        </w:rPr>
        <w:t>Two simulations were conducted to verify and better illustrate mathematical predictions</w:t>
      </w:r>
      <w:r>
        <w:rPr>
          <w:lang w:val="en-US"/>
        </w:rPr>
        <w:t>.</w:t>
      </w:r>
      <w:r w:rsidRPr="00023D70">
        <w:rPr>
          <w:lang w:val="en-US"/>
        </w:rPr>
        <w:t xml:space="preserve"> The first simulation (Figures </w:t>
      </w:r>
      <w:r>
        <w:rPr>
          <w:lang w:val="en-US"/>
        </w:rPr>
        <w:t>S</w:t>
      </w:r>
      <w:r w:rsidR="00750054">
        <w:rPr>
          <w:lang w:val="en-US"/>
        </w:rPr>
        <w:t>4</w:t>
      </w:r>
      <w:r w:rsidRPr="00023D70">
        <w:rPr>
          <w:lang w:val="en-US"/>
        </w:rPr>
        <w:t>a-</w:t>
      </w:r>
      <w:r>
        <w:rPr>
          <w:lang w:val="en-US"/>
        </w:rPr>
        <w:t>S</w:t>
      </w:r>
      <w:r w:rsidR="00750054">
        <w:rPr>
          <w:lang w:val="en-US"/>
        </w:rPr>
        <w:t>4</w:t>
      </w:r>
      <w:r w:rsidRPr="00023D70">
        <w:rPr>
          <w:lang w:val="en-US"/>
        </w:rPr>
        <w:t xml:space="preserve">d) provides a detailed explanation on how observed </w:t>
      </w:r>
      <w:r w:rsidRPr="00023D70">
        <w:rPr>
          <w:vertAlign w:val="superscript"/>
          <w:lang w:val="en-US"/>
        </w:rPr>
        <w:t>87</w:t>
      </w:r>
      <w:r w:rsidRPr="00023D70">
        <w:rPr>
          <w:lang w:val="en-US"/>
        </w:rPr>
        <w:t>Sr:</w:t>
      </w:r>
      <w:r w:rsidRPr="00023D70">
        <w:rPr>
          <w:vertAlign w:val="superscript"/>
          <w:lang w:val="en-US"/>
        </w:rPr>
        <w:t>86</w:t>
      </w:r>
      <w:r w:rsidRPr="00023D70">
        <w:rPr>
          <w:lang w:val="en-US"/>
        </w:rPr>
        <w:t xml:space="preserve">Sr ratios change as an </w:t>
      </w:r>
      <w:r w:rsidRPr="00023D70">
        <w:rPr>
          <w:vertAlign w:val="superscript"/>
          <w:lang w:val="en-US"/>
        </w:rPr>
        <w:t>87</w:t>
      </w:r>
      <w:r w:rsidRPr="00023D70">
        <w:rPr>
          <w:lang w:val="en-US"/>
        </w:rPr>
        <w:t>Sr:</w:t>
      </w:r>
      <w:r w:rsidRPr="00023D70">
        <w:rPr>
          <w:vertAlign w:val="superscript"/>
          <w:lang w:val="en-US"/>
        </w:rPr>
        <w:t>86</w:t>
      </w:r>
      <w:r w:rsidRPr="00023D70">
        <w:rPr>
          <w:lang w:val="en-US"/>
        </w:rPr>
        <w:t xml:space="preserve">S source becomes more enriched. The second simulation (Figure </w:t>
      </w:r>
      <w:r>
        <w:rPr>
          <w:lang w:val="en-US"/>
        </w:rPr>
        <w:t>S</w:t>
      </w:r>
      <w:r w:rsidR="00750054">
        <w:rPr>
          <w:lang w:val="en-US"/>
        </w:rPr>
        <w:t>4</w:t>
      </w:r>
      <w:r w:rsidRPr="00023D70">
        <w:rPr>
          <w:lang w:val="en-US"/>
        </w:rPr>
        <w:t xml:space="preserve">e) demonstrates how different backgrounds affect the changing </w:t>
      </w:r>
      <w:r w:rsidRPr="00023D70">
        <w:rPr>
          <w:vertAlign w:val="superscript"/>
          <w:lang w:val="en-US"/>
        </w:rPr>
        <w:t>87</w:t>
      </w:r>
      <w:r w:rsidRPr="00023D70">
        <w:rPr>
          <w:lang w:val="en-US"/>
        </w:rPr>
        <w:t>Sr:</w:t>
      </w:r>
      <w:r w:rsidRPr="00023D70">
        <w:rPr>
          <w:vertAlign w:val="superscript"/>
          <w:lang w:val="en-US"/>
        </w:rPr>
        <w:t>86</w:t>
      </w:r>
      <w:r w:rsidRPr="00023D70">
        <w:rPr>
          <w:lang w:val="en-US"/>
        </w:rPr>
        <w:t>Sr ratios that are observed. Both simulations are described below:</w:t>
      </w:r>
    </w:p>
    <w:p w14:paraId="44F9F115" w14:textId="7FBF2FC6" w:rsidR="00546A36" w:rsidRPr="00AB4A63" w:rsidRDefault="00546A36" w:rsidP="00546A36">
      <w:pPr>
        <w:pStyle w:val="Newparagraph"/>
        <w:numPr>
          <w:ilvl w:val="0"/>
          <w:numId w:val="25"/>
        </w:numPr>
        <w:ind w:left="360"/>
        <w:rPr>
          <w:lang w:val="en-US"/>
        </w:rPr>
      </w:pPr>
      <w:r w:rsidRPr="00023D70">
        <w:rPr>
          <w:rFonts w:asciiTheme="majorBidi" w:hAnsiTheme="majorBidi" w:cstheme="majorBidi"/>
          <w:bCs/>
          <w:lang w:val="en-US"/>
        </w:rPr>
        <w:t xml:space="preserve">This simulation produced one dataset. A 3-liter vessel was visualized as containing 500 </w:t>
      </w:r>
      <w:proofErr w:type="spellStart"/>
      <w:r w:rsidRPr="00023D70">
        <w:rPr>
          <w:rFonts w:asciiTheme="majorBidi" w:hAnsiTheme="majorBidi" w:cstheme="majorBidi"/>
          <w:bCs/>
          <w:lang w:val="en-US"/>
        </w:rPr>
        <w:t>mls</w:t>
      </w:r>
      <w:proofErr w:type="spellEnd"/>
      <w:r w:rsidRPr="00023D70">
        <w:rPr>
          <w:rFonts w:asciiTheme="majorBidi" w:hAnsiTheme="majorBidi" w:cstheme="majorBidi"/>
          <w:bCs/>
          <w:lang w:val="en-US"/>
        </w:rPr>
        <w:t xml:space="preserve"> water. This imaginary water had a Sr concentration of 995 ug/g </w:t>
      </w:r>
      <w:r>
        <w:rPr>
          <w:rFonts w:asciiTheme="majorBidi" w:hAnsiTheme="majorBidi" w:cstheme="majorBidi"/>
          <w:bCs/>
          <w:lang w:val="en-US"/>
        </w:rPr>
        <w:t xml:space="preserve">(11.3558548 </w:t>
      </w:r>
      <w:proofErr w:type="spellStart"/>
      <w:r>
        <w:rPr>
          <w:rFonts w:asciiTheme="majorBidi" w:hAnsiTheme="majorBidi" w:cstheme="majorBidi"/>
          <w:bCs/>
          <w:lang w:val="en-US"/>
        </w:rPr>
        <w:t>umoles</w:t>
      </w:r>
      <w:proofErr w:type="spellEnd"/>
      <w:r>
        <w:rPr>
          <w:rFonts w:asciiTheme="majorBidi" w:hAnsiTheme="majorBidi" w:cstheme="majorBidi"/>
          <w:bCs/>
          <w:lang w:val="en-US"/>
        </w:rPr>
        <w:t xml:space="preserve">/g) </w:t>
      </w:r>
      <w:r w:rsidRPr="00023D70">
        <w:rPr>
          <w:rFonts w:asciiTheme="majorBidi" w:hAnsiTheme="majorBidi" w:cstheme="majorBidi"/>
          <w:bCs/>
          <w:lang w:val="en-US"/>
        </w:rPr>
        <w:t xml:space="preserve">with an initial background </w:t>
      </w:r>
      <w:r w:rsidRPr="00023D70">
        <w:rPr>
          <w:rFonts w:asciiTheme="majorBidi" w:hAnsiTheme="majorBidi" w:cstheme="majorBidi"/>
          <w:bCs/>
          <w:vertAlign w:val="superscript"/>
          <w:lang w:val="en-US"/>
        </w:rPr>
        <w:t>87</w:t>
      </w:r>
      <w:r w:rsidRPr="00023D70">
        <w:rPr>
          <w:rFonts w:asciiTheme="majorBidi" w:hAnsiTheme="majorBidi" w:cstheme="majorBidi"/>
          <w:bCs/>
          <w:lang w:val="en-US"/>
        </w:rPr>
        <w:t>Sr:</w:t>
      </w:r>
      <w:r w:rsidRPr="00023D70">
        <w:rPr>
          <w:rFonts w:asciiTheme="majorBidi" w:hAnsiTheme="majorBidi" w:cstheme="majorBidi"/>
          <w:bCs/>
          <w:vertAlign w:val="superscript"/>
          <w:lang w:val="en-US"/>
        </w:rPr>
        <w:t>86</w:t>
      </w:r>
      <w:r w:rsidRPr="00023D70">
        <w:rPr>
          <w:rFonts w:asciiTheme="majorBidi" w:hAnsiTheme="majorBidi" w:cstheme="majorBidi"/>
          <w:bCs/>
          <w:lang w:val="en-US"/>
        </w:rPr>
        <w:t xml:space="preserve">Sr ratio of 0.7121. </w:t>
      </w:r>
      <w:r>
        <w:rPr>
          <w:rFonts w:asciiTheme="majorBidi" w:hAnsiTheme="majorBidi" w:cstheme="majorBidi"/>
          <w:bCs/>
          <w:lang w:val="en-US"/>
        </w:rPr>
        <w:t xml:space="preserve">Assuming the combined </w:t>
      </w:r>
      <w:r>
        <w:rPr>
          <w:lang w:val="en-US"/>
        </w:rPr>
        <w:t xml:space="preserve">portion of </w:t>
      </w:r>
      <w:r w:rsidRPr="00A23AC8">
        <w:rPr>
          <w:vertAlign w:val="superscript"/>
          <w:lang w:val="en-US"/>
        </w:rPr>
        <w:t>86</w:t>
      </w:r>
      <w:r>
        <w:rPr>
          <w:lang w:val="en-US"/>
        </w:rPr>
        <w:t xml:space="preserve">Sr and </w:t>
      </w:r>
      <w:r w:rsidRPr="00A23AC8">
        <w:rPr>
          <w:vertAlign w:val="superscript"/>
          <w:lang w:val="en-US"/>
        </w:rPr>
        <w:t>87</w:t>
      </w:r>
      <w:r>
        <w:rPr>
          <w:lang w:val="en-US"/>
        </w:rPr>
        <w:t>Sr was 16.8581% (</w:t>
      </w:r>
      <w:r w:rsidRPr="00023D70">
        <w:rPr>
          <w:lang w:val="en-US"/>
        </w:rPr>
        <w:t xml:space="preserve">the </w:t>
      </w:r>
      <w:r>
        <w:rPr>
          <w:lang w:val="en-US"/>
        </w:rPr>
        <w:t xml:space="preserve">value for the NBS </w:t>
      </w:r>
      <w:r w:rsidRPr="00023D70">
        <w:rPr>
          <w:lang w:val="en-US"/>
        </w:rPr>
        <w:t>SRM 987 Strontium Carbonate reference standard</w:t>
      </w:r>
      <w:r>
        <w:rPr>
          <w:lang w:val="en-US"/>
        </w:rPr>
        <w:t xml:space="preserve">), initial values of </w:t>
      </w:r>
      <w:r w:rsidRPr="000B50B9">
        <w:rPr>
          <w:vertAlign w:val="superscript"/>
          <w:lang w:val="en-US"/>
        </w:rPr>
        <w:t>86</w:t>
      </w:r>
      <w:r>
        <w:rPr>
          <w:lang w:val="en-US"/>
        </w:rPr>
        <w:t xml:space="preserve">Sr and </w:t>
      </w:r>
      <w:r w:rsidRPr="000B50B9">
        <w:rPr>
          <w:vertAlign w:val="superscript"/>
          <w:lang w:val="en-US"/>
        </w:rPr>
        <w:t>87</w:t>
      </w:r>
      <w:r>
        <w:rPr>
          <w:lang w:val="en-US"/>
        </w:rPr>
        <w:t xml:space="preserve">Sr were 1.1181481 and 0.79623326 </w:t>
      </w:r>
      <w:proofErr w:type="spellStart"/>
      <w:r>
        <w:rPr>
          <w:lang w:val="en-US"/>
        </w:rPr>
        <w:t>umoles</w:t>
      </w:r>
      <w:proofErr w:type="spellEnd"/>
      <w:r>
        <w:rPr>
          <w:lang w:val="en-US"/>
        </w:rPr>
        <w:t xml:space="preserve">/g respectively. The </w:t>
      </w:r>
      <w:r>
        <w:rPr>
          <w:rFonts w:asciiTheme="majorBidi" w:hAnsiTheme="majorBidi" w:cstheme="majorBidi"/>
          <w:bCs/>
          <w:lang w:val="en-US"/>
        </w:rPr>
        <w:t>a</w:t>
      </w:r>
      <w:r w:rsidRPr="00AB4A63">
        <w:rPr>
          <w:rFonts w:asciiTheme="majorBidi" w:hAnsiTheme="majorBidi" w:cstheme="majorBidi"/>
          <w:bCs/>
          <w:lang w:val="en-US"/>
        </w:rPr>
        <w:t xml:space="preserve">dditional imaginary water added to the system had an initial </w:t>
      </w:r>
      <w:r w:rsidRPr="00AB4A63">
        <w:rPr>
          <w:rFonts w:asciiTheme="majorBidi" w:hAnsiTheme="majorBidi" w:cstheme="majorBidi"/>
          <w:bCs/>
          <w:vertAlign w:val="superscript"/>
          <w:lang w:val="en-US"/>
        </w:rPr>
        <w:t>87</w:t>
      </w:r>
      <w:r w:rsidRPr="00AB4A63">
        <w:rPr>
          <w:rFonts w:asciiTheme="majorBidi" w:hAnsiTheme="majorBidi" w:cstheme="majorBidi"/>
          <w:bCs/>
          <w:lang w:val="en-US"/>
        </w:rPr>
        <w:t>Sr:</w:t>
      </w:r>
      <w:r w:rsidRPr="00AB4A63">
        <w:rPr>
          <w:rFonts w:asciiTheme="majorBidi" w:hAnsiTheme="majorBidi" w:cstheme="majorBidi"/>
          <w:bCs/>
          <w:vertAlign w:val="superscript"/>
          <w:lang w:val="en-US"/>
        </w:rPr>
        <w:t>86</w:t>
      </w:r>
      <w:r w:rsidRPr="00AB4A63">
        <w:rPr>
          <w:rFonts w:asciiTheme="majorBidi" w:hAnsiTheme="majorBidi" w:cstheme="majorBidi"/>
          <w:bCs/>
          <w:lang w:val="en-US"/>
        </w:rPr>
        <w:t xml:space="preserve">Sr ratio of 0.7090 with increasing source </w:t>
      </w:r>
      <w:r w:rsidRPr="00AB4A63">
        <w:rPr>
          <w:rFonts w:asciiTheme="majorBidi" w:hAnsiTheme="majorBidi" w:cstheme="majorBidi"/>
          <w:bCs/>
          <w:vertAlign w:val="superscript"/>
          <w:lang w:val="en-US"/>
        </w:rPr>
        <w:t>87</w:t>
      </w:r>
      <w:r w:rsidRPr="00AB4A63">
        <w:rPr>
          <w:rFonts w:asciiTheme="majorBidi" w:hAnsiTheme="majorBidi" w:cstheme="majorBidi"/>
          <w:bCs/>
          <w:lang w:val="en-US"/>
        </w:rPr>
        <w:t>Sr:</w:t>
      </w:r>
      <w:r w:rsidRPr="00AB4A63">
        <w:rPr>
          <w:rFonts w:asciiTheme="majorBidi" w:hAnsiTheme="majorBidi" w:cstheme="majorBidi"/>
          <w:bCs/>
          <w:vertAlign w:val="superscript"/>
          <w:lang w:val="en-US"/>
        </w:rPr>
        <w:t>86</w:t>
      </w:r>
      <w:r w:rsidRPr="00AB4A63">
        <w:rPr>
          <w:rFonts w:asciiTheme="majorBidi" w:hAnsiTheme="majorBidi" w:cstheme="majorBidi"/>
          <w:bCs/>
          <w:lang w:val="en-US"/>
        </w:rPr>
        <w:t xml:space="preserve">Sr ratios thereafter. The </w:t>
      </w:r>
      <w:r w:rsidRPr="00AB4A63">
        <w:rPr>
          <w:rFonts w:asciiTheme="majorBidi" w:hAnsiTheme="majorBidi" w:cstheme="majorBidi"/>
          <w:bCs/>
          <w:vertAlign w:val="superscript"/>
          <w:lang w:val="en-US"/>
        </w:rPr>
        <w:t>87</w:t>
      </w:r>
      <w:r w:rsidRPr="00AB4A63">
        <w:rPr>
          <w:rFonts w:asciiTheme="majorBidi" w:hAnsiTheme="majorBidi" w:cstheme="majorBidi"/>
          <w:bCs/>
          <w:lang w:val="en-US"/>
        </w:rPr>
        <w:t>Sr:</w:t>
      </w:r>
      <w:r w:rsidRPr="00AB4A63">
        <w:rPr>
          <w:rFonts w:asciiTheme="majorBidi" w:hAnsiTheme="majorBidi" w:cstheme="majorBidi"/>
          <w:bCs/>
          <w:vertAlign w:val="superscript"/>
          <w:lang w:val="en-US"/>
        </w:rPr>
        <w:t>86</w:t>
      </w:r>
      <w:r w:rsidRPr="00AB4A63">
        <w:rPr>
          <w:rFonts w:asciiTheme="majorBidi" w:hAnsiTheme="majorBidi" w:cstheme="majorBidi"/>
          <w:bCs/>
          <w:lang w:val="en-US"/>
        </w:rPr>
        <w:t>Sr ratios</w:t>
      </w:r>
      <w:r>
        <w:rPr>
          <w:rFonts w:asciiTheme="majorBidi" w:hAnsiTheme="majorBidi" w:cstheme="majorBidi"/>
          <w:bCs/>
          <w:lang w:val="en-US"/>
        </w:rPr>
        <w:t xml:space="preserve"> were always calculated in molar units. </w:t>
      </w:r>
      <w:r w:rsidRPr="00AB4A63">
        <w:rPr>
          <w:rFonts w:asciiTheme="majorBidi" w:hAnsiTheme="majorBidi" w:cstheme="majorBidi"/>
          <w:bCs/>
          <w:lang w:val="en-US"/>
        </w:rPr>
        <w:t xml:space="preserve">The </w:t>
      </w:r>
      <w:r w:rsidRPr="00AB4A63">
        <w:rPr>
          <w:rFonts w:asciiTheme="majorBidi" w:hAnsiTheme="majorBidi" w:cstheme="majorBidi"/>
          <w:bCs/>
          <w:vertAlign w:val="superscript"/>
          <w:lang w:val="en-US"/>
        </w:rPr>
        <w:t>87</w:t>
      </w:r>
      <w:r w:rsidRPr="00AB4A63">
        <w:rPr>
          <w:rFonts w:asciiTheme="majorBidi" w:hAnsiTheme="majorBidi" w:cstheme="majorBidi"/>
          <w:bCs/>
          <w:lang w:val="en-US"/>
        </w:rPr>
        <w:t>Sr:</w:t>
      </w:r>
      <w:r w:rsidRPr="00AB4A63">
        <w:rPr>
          <w:rFonts w:asciiTheme="majorBidi" w:hAnsiTheme="majorBidi" w:cstheme="majorBidi"/>
          <w:bCs/>
          <w:vertAlign w:val="superscript"/>
          <w:lang w:val="en-US"/>
        </w:rPr>
        <w:t>86</w:t>
      </w:r>
      <w:r w:rsidRPr="00AB4A63">
        <w:rPr>
          <w:rFonts w:asciiTheme="majorBidi" w:hAnsiTheme="majorBidi" w:cstheme="majorBidi"/>
          <w:bCs/>
          <w:lang w:val="en-US"/>
        </w:rPr>
        <w:t xml:space="preserve">Sr ratio of water increases with each 110 ml increment added every minute. This increasing source ratio is defined by a convex </w:t>
      </w:r>
      <w:r w:rsidRPr="00AB4A63">
        <w:rPr>
          <w:rFonts w:asciiTheme="majorBidi" w:hAnsiTheme="majorBidi" w:cstheme="majorBidi"/>
          <w:bCs/>
          <w:vertAlign w:val="superscript"/>
          <w:lang w:val="en-US"/>
        </w:rPr>
        <w:t>86</w:t>
      </w:r>
      <w:r w:rsidRPr="00AB4A63">
        <w:rPr>
          <w:rFonts w:asciiTheme="majorBidi" w:hAnsiTheme="majorBidi" w:cstheme="majorBidi"/>
          <w:bCs/>
          <w:lang w:val="en-US"/>
        </w:rPr>
        <w:t xml:space="preserve">Sr vs. </w:t>
      </w:r>
      <w:r w:rsidRPr="00AB4A63">
        <w:rPr>
          <w:rFonts w:asciiTheme="majorBidi" w:hAnsiTheme="majorBidi" w:cstheme="majorBidi"/>
          <w:bCs/>
          <w:vertAlign w:val="superscript"/>
          <w:lang w:val="en-US"/>
        </w:rPr>
        <w:t>87</w:t>
      </w:r>
      <w:r w:rsidRPr="00AB4A63">
        <w:rPr>
          <w:rFonts w:asciiTheme="majorBidi" w:hAnsiTheme="majorBidi" w:cstheme="majorBidi"/>
          <w:bCs/>
          <w:lang w:val="en-US"/>
        </w:rPr>
        <w:t>Sr polynomial function</w:t>
      </w:r>
      <w:r>
        <w:rPr>
          <w:rFonts w:asciiTheme="majorBidi" w:hAnsiTheme="majorBidi" w:cstheme="majorBidi"/>
          <w:bCs/>
          <w:lang w:val="en-US"/>
        </w:rPr>
        <w:t xml:space="preserve"> shown in Figure S</w:t>
      </w:r>
      <w:r w:rsidR="00750054">
        <w:rPr>
          <w:rFonts w:asciiTheme="majorBidi" w:hAnsiTheme="majorBidi" w:cstheme="majorBidi"/>
          <w:bCs/>
          <w:lang w:val="en-US"/>
        </w:rPr>
        <w:t>4</w:t>
      </w:r>
      <w:r>
        <w:rPr>
          <w:rFonts w:asciiTheme="majorBidi" w:hAnsiTheme="majorBidi" w:cstheme="majorBidi"/>
          <w:bCs/>
          <w:lang w:val="en-US"/>
        </w:rPr>
        <w:t>b. T</w:t>
      </w:r>
      <w:r w:rsidRPr="00AB4A63">
        <w:rPr>
          <w:rFonts w:asciiTheme="majorBidi" w:hAnsiTheme="majorBidi" w:cstheme="majorBidi"/>
          <w:bCs/>
          <w:lang w:val="en-US"/>
        </w:rPr>
        <w:t>otal concentration</w:t>
      </w:r>
      <w:r>
        <w:rPr>
          <w:rFonts w:asciiTheme="majorBidi" w:hAnsiTheme="majorBidi" w:cstheme="majorBidi"/>
          <w:bCs/>
          <w:lang w:val="en-US"/>
        </w:rPr>
        <w:t>s</w:t>
      </w:r>
      <w:r w:rsidRPr="00AB4A63">
        <w:rPr>
          <w:rFonts w:asciiTheme="majorBidi" w:hAnsiTheme="majorBidi" w:cstheme="majorBidi"/>
          <w:bCs/>
          <w:lang w:val="en-US"/>
        </w:rPr>
        <w:t xml:space="preserve"> of </w:t>
      </w:r>
      <w:r w:rsidRPr="00AB4A63">
        <w:rPr>
          <w:rFonts w:asciiTheme="majorBidi" w:hAnsiTheme="majorBidi" w:cstheme="majorBidi"/>
          <w:bCs/>
          <w:vertAlign w:val="superscript"/>
          <w:lang w:val="en-US"/>
        </w:rPr>
        <w:t>86</w:t>
      </w:r>
      <w:r w:rsidRPr="00AB4A63">
        <w:rPr>
          <w:rFonts w:asciiTheme="majorBidi" w:hAnsiTheme="majorBidi" w:cstheme="majorBidi"/>
          <w:bCs/>
          <w:lang w:val="en-US"/>
        </w:rPr>
        <w:t xml:space="preserve">Sr, </w:t>
      </w:r>
      <w:r w:rsidRPr="00AB4A63">
        <w:rPr>
          <w:rFonts w:asciiTheme="majorBidi" w:hAnsiTheme="majorBidi" w:cstheme="majorBidi"/>
          <w:bCs/>
          <w:vertAlign w:val="superscript"/>
          <w:lang w:val="en-US"/>
        </w:rPr>
        <w:t>87</w:t>
      </w:r>
      <w:r w:rsidRPr="00AB4A63">
        <w:rPr>
          <w:rFonts w:asciiTheme="majorBidi" w:hAnsiTheme="majorBidi" w:cstheme="majorBidi"/>
          <w:bCs/>
          <w:lang w:val="en-US"/>
        </w:rPr>
        <w:t xml:space="preserve">Sr, and total Sr </w:t>
      </w:r>
      <w:r>
        <w:rPr>
          <w:rFonts w:asciiTheme="majorBidi" w:hAnsiTheme="majorBidi" w:cstheme="majorBidi"/>
          <w:bCs/>
          <w:lang w:val="en-US"/>
        </w:rPr>
        <w:t>(</w:t>
      </w:r>
      <w:r w:rsidRPr="00AB4A63">
        <w:rPr>
          <w:rFonts w:asciiTheme="majorBidi" w:hAnsiTheme="majorBidi" w:cstheme="majorBidi"/>
          <w:bCs/>
          <w:lang w:val="en-US"/>
        </w:rPr>
        <w:t xml:space="preserve">in </w:t>
      </w:r>
      <w:r>
        <w:rPr>
          <w:rFonts w:asciiTheme="majorBidi" w:hAnsiTheme="majorBidi" w:cstheme="majorBidi"/>
          <w:bCs/>
          <w:lang w:val="en-US"/>
        </w:rPr>
        <w:t xml:space="preserve">both ug/g and </w:t>
      </w:r>
      <w:proofErr w:type="spellStart"/>
      <w:r>
        <w:rPr>
          <w:rFonts w:asciiTheme="majorBidi" w:hAnsiTheme="majorBidi" w:cstheme="majorBidi"/>
          <w:bCs/>
          <w:lang w:val="en-US"/>
        </w:rPr>
        <w:t>umole</w:t>
      </w:r>
      <w:proofErr w:type="spellEnd"/>
      <w:r>
        <w:rPr>
          <w:rFonts w:asciiTheme="majorBidi" w:hAnsiTheme="majorBidi" w:cstheme="majorBidi"/>
          <w:bCs/>
          <w:lang w:val="en-US"/>
        </w:rPr>
        <w:t xml:space="preserve">/g units) in </w:t>
      </w:r>
      <w:r w:rsidRPr="00AB4A63">
        <w:rPr>
          <w:rFonts w:asciiTheme="majorBidi" w:hAnsiTheme="majorBidi" w:cstheme="majorBidi"/>
          <w:bCs/>
          <w:lang w:val="en-US"/>
        </w:rPr>
        <w:t>the vessel were calculated for every time period.</w:t>
      </w:r>
    </w:p>
    <w:p w14:paraId="43A28F64" w14:textId="77777777" w:rsidR="00546A36" w:rsidRDefault="00546A36" w:rsidP="00546A36">
      <w:pPr>
        <w:pStyle w:val="Newparagraph"/>
        <w:numPr>
          <w:ilvl w:val="0"/>
          <w:numId w:val="25"/>
        </w:numPr>
        <w:ind w:left="360"/>
        <w:rPr>
          <w:lang w:val="en-US"/>
        </w:rPr>
      </w:pPr>
      <w:r w:rsidRPr="00DA4776">
        <w:rPr>
          <w:rFonts w:asciiTheme="majorBidi" w:hAnsiTheme="majorBidi" w:cstheme="majorBidi"/>
          <w:bCs/>
          <w:lang w:val="en-US"/>
        </w:rPr>
        <w:lastRenderedPageBreak/>
        <w:t xml:space="preserve">This simulation produced six datasets, each from a simulation with a different background, but otherwise similar to what is described in (1) above. </w:t>
      </w:r>
      <w:r w:rsidRPr="00DA4776">
        <w:rPr>
          <w:rFonts w:asciiTheme="majorBidi" w:hAnsiTheme="majorBidi" w:cstheme="majorBidi"/>
          <w:lang w:val="en-US"/>
        </w:rPr>
        <w:t xml:space="preserve">Six 3-liter vessels were visualized as containing 500 </w:t>
      </w:r>
      <w:proofErr w:type="spellStart"/>
      <w:r w:rsidRPr="00DA4776">
        <w:rPr>
          <w:rFonts w:asciiTheme="majorBidi" w:hAnsiTheme="majorBidi" w:cstheme="majorBidi"/>
          <w:lang w:val="en-US"/>
        </w:rPr>
        <w:t>mls</w:t>
      </w:r>
      <w:proofErr w:type="spellEnd"/>
      <w:r w:rsidRPr="00DA4776">
        <w:rPr>
          <w:rFonts w:asciiTheme="majorBidi" w:hAnsiTheme="majorBidi" w:cstheme="majorBidi"/>
          <w:lang w:val="en-US"/>
        </w:rPr>
        <w:t xml:space="preserve"> water. As above, the water had an initial Sr concentration of 995 ug/g</w:t>
      </w:r>
      <w:r>
        <w:rPr>
          <w:rFonts w:asciiTheme="majorBidi" w:hAnsiTheme="majorBidi" w:cstheme="majorBidi"/>
          <w:lang w:val="en-US"/>
        </w:rPr>
        <w:t>. However,</w:t>
      </w:r>
      <w:r w:rsidRPr="00DA4776">
        <w:rPr>
          <w:rFonts w:asciiTheme="majorBidi" w:hAnsiTheme="majorBidi" w:cstheme="majorBidi"/>
          <w:lang w:val="en-US"/>
        </w:rPr>
        <w:t xml:space="preserve"> background </w:t>
      </w:r>
      <w:r w:rsidRPr="00DA4776">
        <w:rPr>
          <w:rFonts w:asciiTheme="majorBidi" w:hAnsiTheme="majorBidi" w:cstheme="majorBidi"/>
          <w:vertAlign w:val="superscript"/>
          <w:lang w:val="en-US"/>
        </w:rPr>
        <w:t>87</w:t>
      </w:r>
      <w:r w:rsidRPr="00DA4776">
        <w:rPr>
          <w:rFonts w:asciiTheme="majorBidi" w:hAnsiTheme="majorBidi" w:cstheme="majorBidi"/>
          <w:lang w:val="en-US"/>
        </w:rPr>
        <w:t>Sr:</w:t>
      </w:r>
      <w:r w:rsidRPr="00DA4776">
        <w:rPr>
          <w:rFonts w:asciiTheme="majorBidi" w:hAnsiTheme="majorBidi" w:cstheme="majorBidi"/>
          <w:vertAlign w:val="superscript"/>
          <w:lang w:val="en-US"/>
        </w:rPr>
        <w:t>86</w:t>
      </w:r>
      <w:r w:rsidRPr="00DA4776">
        <w:rPr>
          <w:rFonts w:asciiTheme="majorBidi" w:hAnsiTheme="majorBidi" w:cstheme="majorBidi"/>
          <w:lang w:val="en-US"/>
        </w:rPr>
        <w:t>Sr ratios varie</w:t>
      </w:r>
      <w:r>
        <w:rPr>
          <w:rFonts w:asciiTheme="majorBidi" w:hAnsiTheme="majorBidi" w:cstheme="majorBidi"/>
          <w:lang w:val="en-US"/>
        </w:rPr>
        <w:t>d</w:t>
      </w:r>
      <w:r w:rsidRPr="00DA4776">
        <w:rPr>
          <w:rFonts w:asciiTheme="majorBidi" w:hAnsiTheme="majorBidi" w:cstheme="majorBidi"/>
          <w:lang w:val="en-US"/>
        </w:rPr>
        <w:t xml:space="preserve"> from 0.7100 to 0.7141. All six backgrounds had higher </w:t>
      </w:r>
      <w:r w:rsidRPr="00DA4776">
        <w:rPr>
          <w:rFonts w:asciiTheme="majorBidi" w:hAnsiTheme="majorBidi" w:cstheme="majorBidi"/>
          <w:bCs/>
          <w:vertAlign w:val="superscript"/>
          <w:lang w:val="en-US"/>
        </w:rPr>
        <w:t>87</w:t>
      </w:r>
      <w:r w:rsidRPr="00DA4776">
        <w:rPr>
          <w:rFonts w:asciiTheme="majorBidi" w:hAnsiTheme="majorBidi" w:cstheme="majorBidi"/>
          <w:bCs/>
          <w:lang w:val="en-US"/>
        </w:rPr>
        <w:t>Sr:</w:t>
      </w:r>
      <w:r w:rsidRPr="00DA4776">
        <w:rPr>
          <w:rFonts w:asciiTheme="majorBidi" w:hAnsiTheme="majorBidi" w:cstheme="majorBidi"/>
          <w:bCs/>
          <w:vertAlign w:val="superscript"/>
          <w:lang w:val="en-US"/>
        </w:rPr>
        <w:t>86</w:t>
      </w:r>
      <w:r w:rsidRPr="00DA4776">
        <w:rPr>
          <w:rFonts w:asciiTheme="majorBidi" w:hAnsiTheme="majorBidi" w:cstheme="majorBidi"/>
          <w:bCs/>
          <w:lang w:val="en-US"/>
        </w:rPr>
        <w:t>Sr</w:t>
      </w:r>
      <w:r>
        <w:rPr>
          <w:rFonts w:asciiTheme="majorBidi" w:hAnsiTheme="majorBidi" w:cstheme="majorBidi"/>
          <w:bCs/>
          <w:lang w:val="en-US"/>
        </w:rPr>
        <w:t xml:space="preserve"> source</w:t>
      </w:r>
      <w:r w:rsidRPr="00DA4776">
        <w:rPr>
          <w:rFonts w:asciiTheme="majorBidi" w:hAnsiTheme="majorBidi" w:cstheme="majorBidi"/>
          <w:bCs/>
          <w:lang w:val="en-US"/>
        </w:rPr>
        <w:t xml:space="preserve"> ratios </w:t>
      </w:r>
      <w:r w:rsidRPr="00DA4776">
        <w:rPr>
          <w:rFonts w:asciiTheme="majorBidi" w:hAnsiTheme="majorBidi" w:cstheme="majorBidi"/>
          <w:lang w:val="en-US"/>
        </w:rPr>
        <w:t xml:space="preserve">than the initial source. This dictates that all convex polynomial functions have positive </w:t>
      </w:r>
      <w:r w:rsidRPr="00DA4776">
        <w:rPr>
          <w:rFonts w:asciiTheme="majorBidi" w:hAnsiTheme="majorBidi" w:cstheme="majorBidi"/>
          <w:i/>
          <w:iCs/>
          <w:lang w:val="en-US"/>
        </w:rPr>
        <w:t>y</w:t>
      </w:r>
      <w:r w:rsidRPr="00DA4776">
        <w:rPr>
          <w:rFonts w:asciiTheme="majorBidi" w:hAnsiTheme="majorBidi" w:cstheme="majorBidi"/>
          <w:lang w:val="en-US"/>
        </w:rPr>
        <w:t xml:space="preserve">-intercepts. Water with an increasing source ratio, defined by the same convex function used above, was then conceptually added to the container in 110 ml increments every minute. </w:t>
      </w:r>
      <w:r w:rsidRPr="00DA4776">
        <w:rPr>
          <w:rFonts w:asciiTheme="majorBidi" w:hAnsiTheme="majorBidi" w:cstheme="majorBidi"/>
          <w:bCs/>
          <w:lang w:val="en-US"/>
        </w:rPr>
        <w:t xml:space="preserve">Total concentration of </w:t>
      </w:r>
      <w:r w:rsidRPr="00DA4776">
        <w:rPr>
          <w:rFonts w:asciiTheme="majorBidi" w:hAnsiTheme="majorBidi" w:cstheme="majorBidi"/>
          <w:bCs/>
          <w:vertAlign w:val="superscript"/>
          <w:lang w:val="en-US"/>
        </w:rPr>
        <w:t>86</w:t>
      </w:r>
      <w:r w:rsidRPr="00DA4776">
        <w:rPr>
          <w:rFonts w:asciiTheme="majorBidi" w:hAnsiTheme="majorBidi" w:cstheme="majorBidi"/>
          <w:bCs/>
          <w:lang w:val="en-US"/>
        </w:rPr>
        <w:t xml:space="preserve">Sr, </w:t>
      </w:r>
      <w:r w:rsidRPr="00DA4776">
        <w:rPr>
          <w:rFonts w:asciiTheme="majorBidi" w:hAnsiTheme="majorBidi" w:cstheme="majorBidi"/>
          <w:bCs/>
          <w:vertAlign w:val="superscript"/>
          <w:lang w:val="en-US"/>
        </w:rPr>
        <w:t>87</w:t>
      </w:r>
      <w:r w:rsidRPr="00DA4776">
        <w:rPr>
          <w:rFonts w:asciiTheme="majorBidi" w:hAnsiTheme="majorBidi" w:cstheme="majorBidi"/>
          <w:bCs/>
          <w:lang w:val="en-US"/>
        </w:rPr>
        <w:t xml:space="preserve">Sr, and total Sr </w:t>
      </w:r>
      <w:r>
        <w:rPr>
          <w:rFonts w:asciiTheme="majorBidi" w:hAnsiTheme="majorBidi" w:cstheme="majorBidi"/>
          <w:bCs/>
          <w:lang w:val="en-US"/>
        </w:rPr>
        <w:t>(</w:t>
      </w:r>
      <w:r w:rsidRPr="00DA4776">
        <w:rPr>
          <w:rFonts w:asciiTheme="majorBidi" w:hAnsiTheme="majorBidi" w:cstheme="majorBidi"/>
          <w:bCs/>
          <w:lang w:val="en-US"/>
        </w:rPr>
        <w:t xml:space="preserve">in both ug/g and </w:t>
      </w:r>
      <w:proofErr w:type="spellStart"/>
      <w:r w:rsidRPr="00DA4776">
        <w:rPr>
          <w:rFonts w:asciiTheme="majorBidi" w:hAnsiTheme="majorBidi" w:cstheme="majorBidi"/>
          <w:bCs/>
          <w:lang w:val="en-US"/>
        </w:rPr>
        <w:t>umole</w:t>
      </w:r>
      <w:proofErr w:type="spellEnd"/>
      <w:r w:rsidRPr="00DA4776">
        <w:rPr>
          <w:rFonts w:asciiTheme="majorBidi" w:hAnsiTheme="majorBidi" w:cstheme="majorBidi"/>
          <w:bCs/>
          <w:lang w:val="en-US"/>
        </w:rPr>
        <w:t>/g units</w:t>
      </w:r>
      <w:r>
        <w:rPr>
          <w:rFonts w:asciiTheme="majorBidi" w:hAnsiTheme="majorBidi" w:cstheme="majorBidi"/>
          <w:bCs/>
          <w:lang w:val="en-US"/>
        </w:rPr>
        <w:t>)</w:t>
      </w:r>
      <w:r w:rsidRPr="00DA4776">
        <w:rPr>
          <w:rFonts w:asciiTheme="majorBidi" w:hAnsiTheme="majorBidi" w:cstheme="majorBidi"/>
          <w:bCs/>
          <w:lang w:val="en-US"/>
        </w:rPr>
        <w:t xml:space="preserve"> in the vessel were calculated for every time period.</w:t>
      </w:r>
    </w:p>
    <w:p w14:paraId="4E63C439" w14:textId="77777777" w:rsidR="00546A36" w:rsidRPr="00E34706" w:rsidRDefault="00546A36" w:rsidP="00546A36">
      <w:pPr>
        <w:pStyle w:val="Newparagraph"/>
        <w:ind w:firstLine="0"/>
        <w:rPr>
          <w:lang w:val="en-US"/>
        </w:rPr>
      </w:pPr>
      <w:r>
        <w:rPr>
          <w:lang w:val="en-US"/>
        </w:rPr>
        <w:t>-</w:t>
      </w:r>
    </w:p>
    <w:p w14:paraId="646B90D4" w14:textId="77777777" w:rsidR="00546A36" w:rsidRDefault="00546A36" w:rsidP="00546A36">
      <w:pPr>
        <w:pStyle w:val="Newparagraph"/>
        <w:ind w:firstLine="360"/>
        <w:rPr>
          <w:lang w:val="en-US"/>
        </w:rPr>
      </w:pPr>
      <w:r>
        <w:rPr>
          <w:lang w:val="en-US"/>
        </w:rPr>
        <w:t>F</w:t>
      </w:r>
      <w:r w:rsidRPr="00DA4776">
        <w:rPr>
          <w:lang w:val="en-US"/>
        </w:rPr>
        <w:t xml:space="preserve">or all seven artificial simulated datasets, the relationships between </w:t>
      </w:r>
      <w:r w:rsidRPr="00DA4776">
        <w:rPr>
          <w:vertAlign w:val="superscript"/>
          <w:lang w:val="en-US"/>
        </w:rPr>
        <w:t>87</w:t>
      </w:r>
      <w:r w:rsidRPr="00DA4776">
        <w:rPr>
          <w:lang w:val="en-US"/>
        </w:rPr>
        <w:t>Sr:</w:t>
      </w:r>
      <w:r w:rsidRPr="00DA4776">
        <w:rPr>
          <w:vertAlign w:val="superscript"/>
          <w:lang w:val="en-US"/>
        </w:rPr>
        <w:t>86</w:t>
      </w:r>
      <w:r w:rsidRPr="00DA4776">
        <w:rPr>
          <w:lang w:val="en-US"/>
        </w:rPr>
        <w:t>Sr ratio and both total isotope and ratio denominator (</w:t>
      </w:r>
      <w:r w:rsidRPr="00DA4776">
        <w:rPr>
          <w:vertAlign w:val="superscript"/>
          <w:lang w:val="en-US"/>
        </w:rPr>
        <w:t>86</w:t>
      </w:r>
      <w:r w:rsidRPr="00DA4776">
        <w:rPr>
          <w:lang w:val="en-US"/>
        </w:rPr>
        <w:t xml:space="preserve">Sr) were evaluated in both ug/g and </w:t>
      </w:r>
      <w:proofErr w:type="spellStart"/>
      <w:r w:rsidRPr="00DA4776">
        <w:rPr>
          <w:lang w:val="en-US"/>
        </w:rPr>
        <w:t>umole</w:t>
      </w:r>
      <w:proofErr w:type="spellEnd"/>
      <w:r w:rsidRPr="00DA4776">
        <w:rPr>
          <w:lang w:val="en-US"/>
        </w:rPr>
        <w:t xml:space="preserve">/g units. Both total Sr and </w:t>
      </w:r>
      <w:r w:rsidRPr="00DA4776">
        <w:rPr>
          <w:vertAlign w:val="superscript"/>
          <w:lang w:val="en-US"/>
        </w:rPr>
        <w:t>86</w:t>
      </w:r>
      <w:r w:rsidRPr="00DA4776">
        <w:rPr>
          <w:lang w:val="en-US"/>
        </w:rPr>
        <w:t>Sr approaches produce similar results because ratio denominators are always strongly related to total isotope. The five approaches</w:t>
      </w:r>
      <w:r>
        <w:rPr>
          <w:lang w:val="en-US"/>
        </w:rPr>
        <w:t xml:space="preserve"> </w:t>
      </w:r>
      <w:r w:rsidRPr="00DA4776">
        <w:rPr>
          <w:lang w:val="en-US"/>
        </w:rPr>
        <w:t xml:space="preserve">described </w:t>
      </w:r>
      <w:r>
        <w:rPr>
          <w:lang w:val="en-US"/>
        </w:rPr>
        <w:t xml:space="preserve">in Moots et al. (2024) </w:t>
      </w:r>
      <w:r w:rsidRPr="00DA4776">
        <w:rPr>
          <w:lang w:val="en-US"/>
        </w:rPr>
        <w:t>for dealing with confounded isotopic ratios were evaluated for each artificial simulation dataset.</w:t>
      </w:r>
      <w:r>
        <w:rPr>
          <w:lang w:val="en-US"/>
        </w:rPr>
        <w:t xml:space="preserve"> As long as </w:t>
      </w:r>
      <w:r w:rsidRPr="00F72F4E">
        <w:rPr>
          <w:vertAlign w:val="superscript"/>
          <w:lang w:val="en-US"/>
        </w:rPr>
        <w:t>87</w:t>
      </w:r>
      <w:r>
        <w:rPr>
          <w:lang w:val="en-US"/>
        </w:rPr>
        <w:t>Sr:</w:t>
      </w:r>
      <w:r w:rsidRPr="00F72F4E">
        <w:rPr>
          <w:vertAlign w:val="superscript"/>
          <w:lang w:val="en-US"/>
        </w:rPr>
        <w:t>86</w:t>
      </w:r>
      <w:r>
        <w:rPr>
          <w:lang w:val="en-US"/>
        </w:rPr>
        <w:t xml:space="preserve">Sr ratios are expressed on a </w:t>
      </w:r>
      <w:proofErr w:type="spellStart"/>
      <w:r>
        <w:rPr>
          <w:lang w:val="en-US"/>
        </w:rPr>
        <w:t>umole</w:t>
      </w:r>
      <w:proofErr w:type="spellEnd"/>
      <w:r>
        <w:rPr>
          <w:lang w:val="en-US"/>
        </w:rPr>
        <w:t xml:space="preserve">/g basis, any of the plots with the </w:t>
      </w:r>
      <w:r w:rsidRPr="00F72F4E">
        <w:rPr>
          <w:vertAlign w:val="superscript"/>
          <w:lang w:val="en-US"/>
        </w:rPr>
        <w:t>87</w:t>
      </w:r>
      <w:r>
        <w:rPr>
          <w:lang w:val="en-US"/>
        </w:rPr>
        <w:t>Sr:</w:t>
      </w:r>
      <w:r w:rsidRPr="00F72F4E">
        <w:rPr>
          <w:vertAlign w:val="superscript"/>
          <w:lang w:val="en-US"/>
        </w:rPr>
        <w:t>86</w:t>
      </w:r>
      <w:r>
        <w:rPr>
          <w:lang w:val="en-US"/>
        </w:rPr>
        <w:t xml:space="preserve">Sr ratio on the </w:t>
      </w:r>
      <w:r w:rsidRPr="00F72F4E">
        <w:rPr>
          <w:i/>
          <w:iCs/>
          <w:lang w:val="en-US"/>
        </w:rPr>
        <w:t>y</w:t>
      </w:r>
      <w:r>
        <w:rPr>
          <w:lang w:val="en-US"/>
        </w:rPr>
        <w:t xml:space="preserve">-axis produce similar patterns regardless of the units used for the expression on the </w:t>
      </w:r>
      <w:r w:rsidRPr="00F72F4E">
        <w:rPr>
          <w:i/>
          <w:iCs/>
          <w:lang w:val="en-US"/>
        </w:rPr>
        <w:t>x</w:t>
      </w:r>
      <w:r>
        <w:rPr>
          <w:lang w:val="en-US"/>
        </w:rPr>
        <w:t xml:space="preserve">-axis. </w:t>
      </w:r>
    </w:p>
    <w:p w14:paraId="0D9FF1DB" w14:textId="77777777" w:rsidR="00546A36" w:rsidRPr="00E34706" w:rsidRDefault="00546A36" w:rsidP="00546A36">
      <w:pPr>
        <w:pStyle w:val="Heading1"/>
        <w:spacing w:after="0" w:line="480" w:lineRule="auto"/>
        <w:rPr>
          <w:rFonts w:cs="Times New Roman"/>
          <w:szCs w:val="24"/>
        </w:rPr>
      </w:pPr>
      <w:r>
        <w:rPr>
          <w:rFonts w:cs="Times New Roman"/>
          <w:szCs w:val="24"/>
        </w:rPr>
        <w:t>10</w:t>
      </w:r>
      <w:r w:rsidRPr="00E34706">
        <w:rPr>
          <w:rFonts w:cs="Times New Roman"/>
          <w:szCs w:val="24"/>
        </w:rPr>
        <w:t>.</w:t>
      </w:r>
      <w:r>
        <w:rPr>
          <w:rFonts w:cs="Times New Roman"/>
          <w:szCs w:val="24"/>
        </w:rPr>
        <w:t>2</w:t>
      </w:r>
      <w:r w:rsidRPr="00E34706">
        <w:rPr>
          <w:rFonts w:cs="Times New Roman"/>
          <w:szCs w:val="24"/>
        </w:rPr>
        <w:t xml:space="preserve"> Simulation</w:t>
      </w:r>
      <w:r>
        <w:rPr>
          <w:rFonts w:cs="Times New Roman"/>
          <w:szCs w:val="24"/>
        </w:rPr>
        <w:t xml:space="preserve"> Result</w:t>
      </w:r>
      <w:r w:rsidRPr="00E34706">
        <w:rPr>
          <w:rFonts w:cs="Times New Roman"/>
          <w:szCs w:val="24"/>
        </w:rPr>
        <w:t>s</w:t>
      </w:r>
    </w:p>
    <w:p w14:paraId="4C0E140F" w14:textId="36B8FA83" w:rsidR="00546A36" w:rsidRDefault="00546A36" w:rsidP="00546A36">
      <w:pPr>
        <w:pStyle w:val="Paragraph"/>
        <w:spacing w:before="0" w:after="3" w:line="473" w:lineRule="auto"/>
        <w:ind w:right="144"/>
        <w:jc w:val="both"/>
        <w:rPr>
          <w:lang w:val="en-US"/>
        </w:rPr>
      </w:pPr>
      <w:r w:rsidRPr="00023D70">
        <w:rPr>
          <w:lang w:val="en-US" w:eastAsia="ja-JP"/>
        </w:rPr>
        <w:t>The</w:t>
      </w:r>
      <w:r w:rsidRPr="00023D70">
        <w:rPr>
          <w:lang w:val="en-US"/>
        </w:rPr>
        <w:t xml:space="preserve"> simulation 1 relationship between total Sr and </w:t>
      </w:r>
      <w:r w:rsidRPr="00023D70">
        <w:rPr>
          <w:vertAlign w:val="superscript"/>
          <w:lang w:val="en-US"/>
        </w:rPr>
        <w:t>87</w:t>
      </w:r>
      <w:r w:rsidRPr="00023D70">
        <w:rPr>
          <w:lang w:val="en-US"/>
        </w:rPr>
        <w:t>Sr:</w:t>
      </w:r>
      <w:r w:rsidRPr="00023D70">
        <w:rPr>
          <w:vertAlign w:val="superscript"/>
          <w:lang w:val="en-US"/>
        </w:rPr>
        <w:t>86</w:t>
      </w:r>
      <w:r w:rsidRPr="00023D70">
        <w:rPr>
          <w:lang w:val="en-US"/>
        </w:rPr>
        <w:t xml:space="preserve">Sr ratio for both observed ratios in the entire container (blue) and the source of added material (orange) is presented in Figure </w:t>
      </w:r>
      <w:r>
        <w:rPr>
          <w:lang w:val="en-US"/>
        </w:rPr>
        <w:t>S</w:t>
      </w:r>
      <w:r w:rsidR="001D1147">
        <w:rPr>
          <w:lang w:val="en-US"/>
        </w:rPr>
        <w:t>4</w:t>
      </w:r>
      <w:r w:rsidRPr="00023D70">
        <w:rPr>
          <w:lang w:val="en-US"/>
        </w:rPr>
        <w:t xml:space="preserve">a. </w:t>
      </w:r>
      <w:r>
        <w:rPr>
          <w:lang w:val="en-US"/>
        </w:rPr>
        <w:t>A denominator vs. numerator plot is presented in Figure S</w:t>
      </w:r>
      <w:r w:rsidR="001D1147">
        <w:rPr>
          <w:lang w:val="en-US"/>
        </w:rPr>
        <w:t>4</w:t>
      </w:r>
      <w:r>
        <w:rPr>
          <w:lang w:val="en-US"/>
        </w:rPr>
        <w:t xml:space="preserve">b. </w:t>
      </w:r>
      <w:r w:rsidRPr="00023D70">
        <w:rPr>
          <w:lang w:val="en-US"/>
        </w:rPr>
        <w:t xml:space="preserve">A modified mixing diagram (using </w:t>
      </w:r>
      <w:r w:rsidRPr="00023D70">
        <w:rPr>
          <w:i/>
          <w:iCs/>
          <w:lang w:val="en-US"/>
        </w:rPr>
        <w:t>y</w:t>
      </w:r>
      <w:r w:rsidRPr="00023D70">
        <w:rPr>
          <w:lang w:val="en-US"/>
        </w:rPr>
        <w:t xml:space="preserve">-intercept modified </w:t>
      </w:r>
      <w:r w:rsidRPr="00023D70">
        <w:rPr>
          <w:vertAlign w:val="superscript"/>
          <w:lang w:val="en-US"/>
        </w:rPr>
        <w:t>87</w:t>
      </w:r>
      <w:r w:rsidRPr="00023D70">
        <w:rPr>
          <w:lang w:val="en-US"/>
        </w:rPr>
        <w:t>Sr:</w:t>
      </w:r>
      <w:r w:rsidRPr="00023D70">
        <w:rPr>
          <w:vertAlign w:val="superscript"/>
          <w:lang w:val="en-US"/>
        </w:rPr>
        <w:t>86</w:t>
      </w:r>
      <w:r w:rsidRPr="00023D70">
        <w:rPr>
          <w:lang w:val="en-US"/>
        </w:rPr>
        <w:t xml:space="preserve">Sr ratios on the </w:t>
      </w:r>
      <w:r w:rsidRPr="00023D70">
        <w:rPr>
          <w:i/>
          <w:iCs/>
          <w:lang w:val="en-US"/>
        </w:rPr>
        <w:t>y</w:t>
      </w:r>
      <w:r w:rsidRPr="00023D70">
        <w:rPr>
          <w:lang w:val="en-US"/>
        </w:rPr>
        <w:t xml:space="preserve">-axis) for the same data is presented in Figure </w:t>
      </w:r>
      <w:r w:rsidR="001D1147">
        <w:rPr>
          <w:lang w:val="en-US"/>
        </w:rPr>
        <w:t>4</w:t>
      </w:r>
      <w:r>
        <w:rPr>
          <w:lang w:val="en-US"/>
        </w:rPr>
        <w:t>c</w:t>
      </w:r>
      <w:r w:rsidRPr="00023D70">
        <w:rPr>
          <w:lang w:val="en-US"/>
        </w:rPr>
        <w:t>.</w:t>
      </w:r>
    </w:p>
    <w:p w14:paraId="53245173" w14:textId="77777777" w:rsidR="00546A36" w:rsidRDefault="00546A36" w:rsidP="00546A36">
      <w:pPr>
        <w:spacing w:after="3" w:line="473" w:lineRule="auto"/>
        <w:ind w:right="144"/>
        <w:jc w:val="both"/>
        <w:rPr>
          <w:rFonts w:asciiTheme="majorBidi" w:hAnsiTheme="majorBidi" w:cstheme="majorBidi"/>
          <w:color w:val="4472C4" w:themeColor="accent1"/>
          <w:lang w:val="en-US" w:eastAsia="ja-JP"/>
        </w:rPr>
      </w:pPr>
      <w:r w:rsidRPr="00995C9F">
        <w:rPr>
          <w:noProof/>
        </w:rPr>
        <w:lastRenderedPageBreak/>
        <w:drawing>
          <wp:inline distT="0" distB="0" distL="0" distR="0" wp14:anchorId="68A3C7AC" wp14:editId="6E2FEF24">
            <wp:extent cx="4676190" cy="4409524"/>
            <wp:effectExtent l="0" t="0" r="0" b="0"/>
            <wp:docPr id="627809398" name="Picture 1" descr="A graph with numbers an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809398" name="Picture 1" descr="A graph with numbers and lines&#10;&#10;Description automatically generated"/>
                    <pic:cNvPicPr/>
                  </pic:nvPicPr>
                  <pic:blipFill>
                    <a:blip r:embed="rId19"/>
                    <a:stretch>
                      <a:fillRect/>
                    </a:stretch>
                  </pic:blipFill>
                  <pic:spPr>
                    <a:xfrm>
                      <a:off x="0" y="0"/>
                      <a:ext cx="4676190" cy="4409524"/>
                    </a:xfrm>
                    <a:prstGeom prst="rect">
                      <a:avLst/>
                    </a:prstGeom>
                  </pic:spPr>
                </pic:pic>
              </a:graphicData>
            </a:graphic>
          </wp:inline>
        </w:drawing>
      </w:r>
    </w:p>
    <w:p w14:paraId="335585FD" w14:textId="43619451" w:rsidR="00546A36" w:rsidRDefault="00546A36" w:rsidP="00546A36">
      <w:pPr>
        <w:pStyle w:val="Figurecaption"/>
        <w:spacing w:before="0" w:after="3" w:line="473" w:lineRule="auto"/>
        <w:ind w:right="144"/>
        <w:jc w:val="both"/>
        <w:rPr>
          <w:rFonts w:asciiTheme="majorBidi" w:hAnsiTheme="majorBidi" w:cstheme="majorBidi"/>
          <w:lang w:val="en-US"/>
        </w:rPr>
      </w:pPr>
      <w:r w:rsidRPr="00023D70">
        <w:rPr>
          <w:lang w:val="en-US"/>
        </w:rPr>
        <w:t xml:space="preserve">Figure </w:t>
      </w:r>
      <w:r>
        <w:rPr>
          <w:lang w:val="en-US"/>
        </w:rPr>
        <w:t>S</w:t>
      </w:r>
      <w:r w:rsidR="001D1147">
        <w:rPr>
          <w:lang w:val="en-US"/>
        </w:rPr>
        <w:t>4</w:t>
      </w:r>
      <w:r w:rsidRPr="00023D70">
        <w:rPr>
          <w:lang w:val="en-US"/>
        </w:rPr>
        <w:t xml:space="preserve">a. Simulation 1 model for a single vessel system where the source </w:t>
      </w:r>
      <w:r w:rsidRPr="00B256BD">
        <w:rPr>
          <w:vertAlign w:val="superscript"/>
          <w:lang w:val="en-US"/>
        </w:rPr>
        <w:t>87</w:t>
      </w:r>
      <w:r w:rsidRPr="00023D70">
        <w:rPr>
          <w:lang w:val="en-US"/>
        </w:rPr>
        <w:t>Sr:</w:t>
      </w:r>
      <w:r w:rsidRPr="00B256BD">
        <w:rPr>
          <w:vertAlign w:val="superscript"/>
          <w:lang w:val="en-US"/>
        </w:rPr>
        <w:t>86</w:t>
      </w:r>
      <w:r w:rsidRPr="00023D70">
        <w:rPr>
          <w:lang w:val="en-US"/>
        </w:rPr>
        <w:t xml:space="preserve">Sr ratio increases (becomes more enriched) over time. Total Sr vs. </w:t>
      </w:r>
      <w:r w:rsidRPr="00B256BD">
        <w:rPr>
          <w:vertAlign w:val="superscript"/>
          <w:lang w:val="en-US"/>
        </w:rPr>
        <w:t>87</w:t>
      </w:r>
      <w:r w:rsidRPr="00023D70">
        <w:rPr>
          <w:lang w:val="en-US"/>
        </w:rPr>
        <w:t>Sr:</w:t>
      </w:r>
      <w:r w:rsidRPr="00B256BD">
        <w:rPr>
          <w:vertAlign w:val="superscript"/>
          <w:lang w:val="en-US"/>
        </w:rPr>
        <w:t>86</w:t>
      </w:r>
      <w:r w:rsidRPr="00023D70">
        <w:rPr>
          <w:lang w:val="en-US"/>
        </w:rPr>
        <w:t xml:space="preserve">Sr ratios are presented for both observed ratios (blue) and the source of added material (orange). A 3-liter vessel was visualized as containing 500 </w:t>
      </w:r>
      <w:proofErr w:type="spellStart"/>
      <w:r w:rsidRPr="00023D70">
        <w:rPr>
          <w:lang w:val="en-US"/>
        </w:rPr>
        <w:t>mls</w:t>
      </w:r>
      <w:proofErr w:type="spellEnd"/>
      <w:r w:rsidRPr="00023D70">
        <w:rPr>
          <w:lang w:val="en-US"/>
        </w:rPr>
        <w:t xml:space="preserve"> water. This imaginary water had a Sr concentration of 995 ug/g with a</w:t>
      </w:r>
      <w:r w:rsidRPr="00023D70">
        <w:rPr>
          <w:rFonts w:asciiTheme="majorBidi" w:hAnsiTheme="majorBidi" w:cstheme="majorBidi"/>
          <w:lang w:val="en-US"/>
        </w:rPr>
        <w:t xml:space="preserve"> background </w:t>
      </w:r>
      <w:r w:rsidRPr="00023D70">
        <w:rPr>
          <w:rFonts w:asciiTheme="majorBidi" w:hAnsiTheme="majorBidi" w:cstheme="majorBidi"/>
          <w:vertAlign w:val="superscript"/>
          <w:lang w:val="en-US"/>
        </w:rPr>
        <w:t>87</w:t>
      </w:r>
      <w:r w:rsidRPr="00023D70">
        <w:rPr>
          <w:rFonts w:asciiTheme="majorBidi" w:hAnsiTheme="majorBidi" w:cstheme="majorBidi"/>
          <w:lang w:val="en-US"/>
        </w:rPr>
        <w:t>Sr:</w:t>
      </w:r>
      <w:r w:rsidRPr="00023D70">
        <w:rPr>
          <w:rFonts w:asciiTheme="majorBidi" w:hAnsiTheme="majorBidi" w:cstheme="majorBidi"/>
          <w:vertAlign w:val="superscript"/>
          <w:lang w:val="en-US"/>
        </w:rPr>
        <w:t>86</w:t>
      </w:r>
      <w:r w:rsidRPr="00023D70">
        <w:rPr>
          <w:rFonts w:asciiTheme="majorBidi" w:hAnsiTheme="majorBidi" w:cstheme="majorBidi"/>
          <w:lang w:val="en-US"/>
        </w:rPr>
        <w:t xml:space="preserve">Sr ratio of 0.7121. Water with an increasing source ratio is defined by a convex function where the source becomes more enriched as total Sr increases in 110 ml increments every minute. The polynomial </w:t>
      </w:r>
      <w:r w:rsidRPr="00023D70">
        <w:rPr>
          <w:rFonts w:asciiTheme="majorBidi" w:hAnsiTheme="majorBidi" w:cstheme="majorBidi"/>
          <w:vertAlign w:val="superscript"/>
          <w:lang w:val="en-US"/>
        </w:rPr>
        <w:t>86</w:t>
      </w:r>
      <w:r w:rsidRPr="00023D70">
        <w:rPr>
          <w:rFonts w:asciiTheme="majorBidi" w:hAnsiTheme="majorBidi" w:cstheme="majorBidi"/>
          <w:lang w:val="en-US"/>
        </w:rPr>
        <w:t xml:space="preserve">Sr vs. </w:t>
      </w:r>
      <w:r w:rsidRPr="00023D70">
        <w:rPr>
          <w:rFonts w:asciiTheme="majorBidi" w:hAnsiTheme="majorBidi" w:cstheme="majorBidi"/>
          <w:vertAlign w:val="superscript"/>
          <w:lang w:val="en-US"/>
        </w:rPr>
        <w:t>87</w:t>
      </w:r>
      <w:r w:rsidRPr="00023D70">
        <w:rPr>
          <w:rFonts w:asciiTheme="majorBidi" w:hAnsiTheme="majorBidi" w:cstheme="majorBidi"/>
          <w:lang w:val="en-US"/>
        </w:rPr>
        <w:t xml:space="preserve">Sr relationship with a positive </w:t>
      </w:r>
      <w:r w:rsidRPr="00023D70">
        <w:rPr>
          <w:rFonts w:asciiTheme="majorBidi" w:hAnsiTheme="majorBidi" w:cstheme="majorBidi"/>
          <w:i/>
          <w:iCs/>
          <w:lang w:val="en-US"/>
        </w:rPr>
        <w:t>y</w:t>
      </w:r>
      <w:r w:rsidRPr="00023D70">
        <w:rPr>
          <w:rFonts w:asciiTheme="majorBidi" w:hAnsiTheme="majorBidi" w:cstheme="majorBidi"/>
          <w:lang w:val="en-US"/>
        </w:rPr>
        <w:t xml:space="preserve">-intercept produces an observed ratio </w:t>
      </w:r>
      <w:r w:rsidRPr="00023D70">
        <w:rPr>
          <w:rFonts w:asciiTheme="majorBidi" w:hAnsiTheme="majorBidi" w:cstheme="majorBidi"/>
          <w:vertAlign w:val="superscript"/>
          <w:lang w:val="en-US"/>
        </w:rPr>
        <w:t>87</w:t>
      </w:r>
      <w:r w:rsidRPr="00023D70">
        <w:rPr>
          <w:rFonts w:asciiTheme="majorBidi" w:hAnsiTheme="majorBidi" w:cstheme="majorBidi"/>
          <w:lang w:val="en-US"/>
        </w:rPr>
        <w:t>Sr:</w:t>
      </w:r>
      <w:r w:rsidRPr="00023D70">
        <w:rPr>
          <w:rFonts w:asciiTheme="majorBidi" w:hAnsiTheme="majorBidi" w:cstheme="majorBidi"/>
          <w:vertAlign w:val="superscript"/>
          <w:lang w:val="en-US"/>
        </w:rPr>
        <w:t>86</w:t>
      </w:r>
      <w:r w:rsidRPr="00023D70">
        <w:rPr>
          <w:rFonts w:asciiTheme="majorBidi" w:hAnsiTheme="majorBidi" w:cstheme="majorBidi"/>
          <w:lang w:val="en-US"/>
        </w:rPr>
        <w:t>Sr ratio pattern that is difficult to interpret (</w:t>
      </w:r>
      <w:r>
        <w:rPr>
          <w:rFonts w:asciiTheme="majorBidi" w:hAnsiTheme="majorBidi" w:cstheme="majorBidi"/>
          <w:lang w:val="en-US"/>
        </w:rPr>
        <w:t>main text</w:t>
      </w:r>
      <w:r w:rsidRPr="00023D70">
        <w:rPr>
          <w:rFonts w:asciiTheme="majorBidi" w:hAnsiTheme="majorBidi" w:cstheme="majorBidi"/>
          <w:lang w:val="en-US"/>
        </w:rPr>
        <w:t xml:space="preserve">). </w:t>
      </w:r>
    </w:p>
    <w:p w14:paraId="7302133F" w14:textId="77777777" w:rsidR="00546A36" w:rsidRPr="00023D70" w:rsidRDefault="00546A36" w:rsidP="00546A36">
      <w:pPr>
        <w:spacing w:after="3" w:line="473" w:lineRule="auto"/>
        <w:ind w:right="144"/>
        <w:jc w:val="both"/>
        <w:rPr>
          <w:rFonts w:asciiTheme="majorBidi" w:hAnsiTheme="majorBidi" w:cstheme="majorBidi"/>
          <w:color w:val="4472C4" w:themeColor="accent1"/>
          <w:lang w:val="en-US" w:eastAsia="ja-JP"/>
        </w:rPr>
      </w:pPr>
      <w:r w:rsidRPr="00995C9F">
        <w:rPr>
          <w:noProof/>
        </w:rPr>
        <w:lastRenderedPageBreak/>
        <w:drawing>
          <wp:inline distT="0" distB="0" distL="0" distR="0" wp14:anchorId="3FF63A3B" wp14:editId="6424B08A">
            <wp:extent cx="4685714" cy="2828571"/>
            <wp:effectExtent l="0" t="0" r="635" b="0"/>
            <wp:docPr id="1771575533" name="Picture 1" descr="A graph of numbers an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1575533" name="Picture 1" descr="A graph of numbers and lines&#10;&#10;Description automatically generated"/>
                    <pic:cNvPicPr/>
                  </pic:nvPicPr>
                  <pic:blipFill>
                    <a:blip r:embed="rId20"/>
                    <a:stretch>
                      <a:fillRect/>
                    </a:stretch>
                  </pic:blipFill>
                  <pic:spPr>
                    <a:xfrm>
                      <a:off x="0" y="0"/>
                      <a:ext cx="4685714" cy="2828571"/>
                    </a:xfrm>
                    <a:prstGeom prst="rect">
                      <a:avLst/>
                    </a:prstGeom>
                  </pic:spPr>
                </pic:pic>
              </a:graphicData>
            </a:graphic>
          </wp:inline>
        </w:drawing>
      </w:r>
    </w:p>
    <w:p w14:paraId="31A95E02" w14:textId="53794379" w:rsidR="00546A36" w:rsidRPr="00023D70" w:rsidRDefault="00546A36" w:rsidP="00546A36">
      <w:pPr>
        <w:pStyle w:val="Figurecaption"/>
        <w:spacing w:before="0" w:after="3" w:line="473" w:lineRule="auto"/>
        <w:ind w:right="144"/>
        <w:jc w:val="both"/>
        <w:rPr>
          <w:lang w:val="en-US" w:eastAsia="ja-JP"/>
        </w:rPr>
      </w:pPr>
      <w:r w:rsidRPr="00023D70">
        <w:rPr>
          <w:lang w:val="en-US" w:eastAsia="ja-JP"/>
        </w:rPr>
        <w:t xml:space="preserve">Figure </w:t>
      </w:r>
      <w:r>
        <w:rPr>
          <w:lang w:val="en-US" w:eastAsia="ja-JP"/>
        </w:rPr>
        <w:t>S</w:t>
      </w:r>
      <w:r w:rsidR="001D1147">
        <w:rPr>
          <w:lang w:val="en-US" w:eastAsia="ja-JP"/>
        </w:rPr>
        <w:t>4</w:t>
      </w:r>
      <w:r>
        <w:rPr>
          <w:lang w:val="en-US" w:eastAsia="ja-JP"/>
        </w:rPr>
        <w:t>b</w:t>
      </w:r>
      <w:r w:rsidRPr="00023D70">
        <w:rPr>
          <w:lang w:val="en-US" w:eastAsia="ja-JP"/>
        </w:rPr>
        <w:t xml:space="preserve">. The relationship between </w:t>
      </w:r>
      <w:r w:rsidRPr="00023D70">
        <w:rPr>
          <w:vertAlign w:val="superscript"/>
          <w:lang w:val="en-US" w:eastAsia="ja-JP"/>
        </w:rPr>
        <w:t>86</w:t>
      </w:r>
      <w:r w:rsidRPr="00023D70">
        <w:rPr>
          <w:lang w:val="en-US" w:eastAsia="ja-JP"/>
        </w:rPr>
        <w:t xml:space="preserve">Sr and </w:t>
      </w:r>
      <w:r w:rsidRPr="00023D70">
        <w:rPr>
          <w:vertAlign w:val="superscript"/>
          <w:lang w:val="en-US" w:eastAsia="ja-JP"/>
        </w:rPr>
        <w:t>87</w:t>
      </w:r>
      <w:r w:rsidRPr="00023D70">
        <w:rPr>
          <w:lang w:val="en-US" w:eastAsia="ja-JP"/>
        </w:rPr>
        <w:t xml:space="preserve">Sr in the simulated experiment described in Figure </w:t>
      </w:r>
      <w:r>
        <w:rPr>
          <w:lang w:val="en-US" w:eastAsia="ja-JP"/>
        </w:rPr>
        <w:t>S</w:t>
      </w:r>
      <w:r w:rsidR="001D1147">
        <w:rPr>
          <w:lang w:val="en-US" w:eastAsia="ja-JP"/>
        </w:rPr>
        <w:t>4</w:t>
      </w:r>
      <w:r w:rsidRPr="00023D70">
        <w:rPr>
          <w:lang w:val="en-US" w:eastAsia="ja-JP"/>
        </w:rPr>
        <w:t>a.</w:t>
      </w:r>
      <w:r w:rsidRPr="00023D70">
        <w:rPr>
          <w:lang w:val="en-US"/>
        </w:rPr>
        <w:t xml:space="preserve"> </w:t>
      </w:r>
      <w:r>
        <w:rPr>
          <w:lang w:val="en-US"/>
        </w:rPr>
        <w:t xml:space="preserve">All of the datapoints and the datapoints from the region of declining </w:t>
      </w:r>
      <w:r w:rsidRPr="001346B7">
        <w:rPr>
          <w:vertAlign w:val="superscript"/>
          <w:lang w:val="en-US"/>
        </w:rPr>
        <w:t>87</w:t>
      </w:r>
      <w:r>
        <w:rPr>
          <w:lang w:val="en-US"/>
        </w:rPr>
        <w:t>Sr:</w:t>
      </w:r>
      <w:r w:rsidRPr="001346B7">
        <w:rPr>
          <w:vertAlign w:val="superscript"/>
          <w:lang w:val="en-US"/>
        </w:rPr>
        <w:t>86</w:t>
      </w:r>
      <w:r>
        <w:rPr>
          <w:lang w:val="en-US"/>
        </w:rPr>
        <w:t>Sr ratio in Figure S</w:t>
      </w:r>
      <w:r w:rsidR="0026666D">
        <w:rPr>
          <w:lang w:val="en-US"/>
        </w:rPr>
        <w:t>4</w:t>
      </w:r>
      <w:r>
        <w:rPr>
          <w:lang w:val="en-US"/>
        </w:rPr>
        <w:t xml:space="preserve">a are shown. </w:t>
      </w:r>
      <w:r w:rsidRPr="00023D70">
        <w:rPr>
          <w:lang w:val="en-US"/>
        </w:rPr>
        <w:t>Although the curvature is too miniscule to see,</w:t>
      </w:r>
      <w:r w:rsidRPr="00023D70">
        <w:rPr>
          <w:lang w:val="en-US" w:eastAsia="ja-JP"/>
        </w:rPr>
        <w:t xml:space="preserve"> a perfect convex polynomial function with a positive </w:t>
      </w:r>
      <w:r w:rsidRPr="00023D70">
        <w:rPr>
          <w:i/>
          <w:iCs/>
          <w:lang w:val="en-US" w:eastAsia="ja-JP"/>
        </w:rPr>
        <w:t>y</w:t>
      </w:r>
      <w:r w:rsidRPr="00023D70">
        <w:rPr>
          <w:lang w:val="en-US" w:eastAsia="ja-JP"/>
        </w:rPr>
        <w:t xml:space="preserve">-intercept defines the relationship shown. The size of the </w:t>
      </w:r>
      <w:r w:rsidRPr="00023D70">
        <w:rPr>
          <w:i/>
          <w:iCs/>
          <w:lang w:val="en-US" w:eastAsia="ja-JP"/>
        </w:rPr>
        <w:t>y</w:t>
      </w:r>
      <w:r w:rsidRPr="00023D70">
        <w:rPr>
          <w:lang w:val="en-US" w:eastAsia="ja-JP"/>
        </w:rPr>
        <w:t xml:space="preserve">-intercept (when compared to the range of the </w:t>
      </w:r>
      <w:r w:rsidRPr="00023D70">
        <w:rPr>
          <w:vertAlign w:val="superscript"/>
          <w:lang w:val="en-US" w:eastAsia="ja-JP"/>
        </w:rPr>
        <w:t>87</w:t>
      </w:r>
      <w:r w:rsidRPr="00023D70">
        <w:rPr>
          <w:lang w:val="en-US" w:eastAsia="ja-JP"/>
        </w:rPr>
        <w:t xml:space="preserve">Sr values) appears negligible (~0.08% of </w:t>
      </w:r>
      <w:r w:rsidRPr="00023D70">
        <w:rPr>
          <w:i/>
          <w:iCs/>
          <w:lang w:val="en-US" w:eastAsia="ja-JP"/>
        </w:rPr>
        <w:t>y</w:t>
      </w:r>
      <w:r w:rsidRPr="00023D70">
        <w:rPr>
          <w:lang w:val="en-US" w:eastAsia="ja-JP"/>
        </w:rPr>
        <w:t xml:space="preserve">-axis range) but is mathematically consequential. </w:t>
      </w:r>
    </w:p>
    <w:p w14:paraId="498851F6" w14:textId="77777777" w:rsidR="00546A36" w:rsidRPr="00023D70" w:rsidRDefault="00546A36" w:rsidP="00546A36">
      <w:pPr>
        <w:spacing w:after="3" w:line="473" w:lineRule="auto"/>
        <w:ind w:right="144"/>
        <w:jc w:val="both"/>
        <w:rPr>
          <w:rFonts w:asciiTheme="majorBidi" w:hAnsiTheme="majorBidi" w:cstheme="majorBidi"/>
          <w:lang w:val="en-US"/>
        </w:rPr>
      </w:pPr>
    </w:p>
    <w:p w14:paraId="0DBD1F0A" w14:textId="77777777" w:rsidR="00546A36" w:rsidRPr="00023D70" w:rsidRDefault="00546A36" w:rsidP="00546A36">
      <w:pPr>
        <w:spacing w:after="3" w:line="473" w:lineRule="auto"/>
        <w:ind w:right="144"/>
        <w:jc w:val="both"/>
        <w:rPr>
          <w:rFonts w:asciiTheme="majorBidi" w:hAnsiTheme="majorBidi" w:cstheme="majorBidi"/>
          <w:b/>
          <w:bCs/>
          <w:lang w:val="en-US" w:eastAsia="ja-JP"/>
        </w:rPr>
      </w:pPr>
      <w:r w:rsidRPr="00995C9F">
        <w:rPr>
          <w:noProof/>
        </w:rPr>
        <w:lastRenderedPageBreak/>
        <w:drawing>
          <wp:inline distT="0" distB="0" distL="0" distR="0" wp14:anchorId="6E95866E" wp14:editId="7953242A">
            <wp:extent cx="4704762" cy="5019048"/>
            <wp:effectExtent l="0" t="0" r="635" b="0"/>
            <wp:docPr id="2034924867" name="Picture 1" descr="A graph of a sl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4924867" name="Picture 1" descr="A graph of a slope&#10;&#10;Description automatically generated"/>
                    <pic:cNvPicPr/>
                  </pic:nvPicPr>
                  <pic:blipFill>
                    <a:blip r:embed="rId21"/>
                    <a:stretch>
                      <a:fillRect/>
                    </a:stretch>
                  </pic:blipFill>
                  <pic:spPr>
                    <a:xfrm>
                      <a:off x="0" y="0"/>
                      <a:ext cx="4704762" cy="5019048"/>
                    </a:xfrm>
                    <a:prstGeom prst="rect">
                      <a:avLst/>
                    </a:prstGeom>
                  </pic:spPr>
                </pic:pic>
              </a:graphicData>
            </a:graphic>
          </wp:inline>
        </w:drawing>
      </w:r>
    </w:p>
    <w:p w14:paraId="2B5C7FDA" w14:textId="1B9213AC" w:rsidR="00546A36" w:rsidRDefault="00546A36" w:rsidP="00546A36">
      <w:pPr>
        <w:pStyle w:val="Figurecaption"/>
        <w:spacing w:before="0" w:after="3" w:line="473" w:lineRule="auto"/>
        <w:ind w:right="144"/>
        <w:jc w:val="both"/>
        <w:rPr>
          <w:lang w:val="en-US" w:eastAsia="ja-JP"/>
        </w:rPr>
      </w:pPr>
      <w:r w:rsidRPr="00023D70">
        <w:rPr>
          <w:lang w:val="en-US" w:eastAsia="ja-JP"/>
        </w:rPr>
        <w:t xml:space="preserve">Figure </w:t>
      </w:r>
      <w:r>
        <w:rPr>
          <w:lang w:val="en-US" w:eastAsia="ja-JP"/>
        </w:rPr>
        <w:t>S</w:t>
      </w:r>
      <w:r w:rsidR="001D1147">
        <w:rPr>
          <w:lang w:val="en-US" w:eastAsia="ja-JP"/>
        </w:rPr>
        <w:t>4</w:t>
      </w:r>
      <w:r>
        <w:rPr>
          <w:lang w:val="en-US" w:eastAsia="ja-JP"/>
        </w:rPr>
        <w:t>c</w:t>
      </w:r>
      <w:r w:rsidRPr="00023D70">
        <w:rPr>
          <w:lang w:val="en-US" w:eastAsia="ja-JP"/>
        </w:rPr>
        <w:t>. A modified mixing diagram (</w:t>
      </w:r>
      <w:r>
        <w:rPr>
          <w:lang w:val="en-US" w:eastAsia="ja-JP"/>
        </w:rPr>
        <w:t xml:space="preserve">using </w:t>
      </w:r>
      <w:r w:rsidRPr="00023D70">
        <w:rPr>
          <w:i/>
          <w:iCs/>
          <w:lang w:val="en-US" w:eastAsia="ja-JP"/>
        </w:rPr>
        <w:t>y</w:t>
      </w:r>
      <w:r w:rsidRPr="00023D70">
        <w:rPr>
          <w:lang w:val="en-US" w:eastAsia="ja-JP"/>
        </w:rPr>
        <w:t xml:space="preserve">-intercept corrected </w:t>
      </w:r>
      <w:r w:rsidRPr="009467C1">
        <w:rPr>
          <w:vertAlign w:val="superscript"/>
          <w:lang w:val="en-US" w:eastAsia="ja-JP"/>
        </w:rPr>
        <w:t>87</w:t>
      </w:r>
      <w:r>
        <w:rPr>
          <w:lang w:val="en-US" w:eastAsia="ja-JP"/>
        </w:rPr>
        <w:t>Sr:</w:t>
      </w:r>
      <w:r w:rsidRPr="009467C1">
        <w:rPr>
          <w:vertAlign w:val="superscript"/>
          <w:lang w:val="en-US" w:eastAsia="ja-JP"/>
        </w:rPr>
        <w:t>86</w:t>
      </w:r>
      <w:r>
        <w:rPr>
          <w:lang w:val="en-US" w:eastAsia="ja-JP"/>
        </w:rPr>
        <w:t xml:space="preserve">Sr </w:t>
      </w:r>
      <w:r w:rsidRPr="00023D70">
        <w:rPr>
          <w:lang w:val="en-US" w:eastAsia="ja-JP"/>
        </w:rPr>
        <w:t xml:space="preserve">data </w:t>
      </w:r>
      <w:r>
        <w:rPr>
          <w:lang w:val="en-US" w:eastAsia="ja-JP"/>
        </w:rPr>
        <w:t>with</w:t>
      </w:r>
      <w:r w:rsidRPr="00023D70">
        <w:rPr>
          <w:lang w:val="en-US" w:eastAsia="ja-JP"/>
        </w:rPr>
        <w:t xml:space="preserve"> 1/</w:t>
      </w:r>
      <w:r w:rsidRPr="00023D70">
        <w:rPr>
          <w:vertAlign w:val="superscript"/>
          <w:lang w:val="en-US" w:eastAsia="ja-JP"/>
        </w:rPr>
        <w:t>86</w:t>
      </w:r>
      <w:r w:rsidRPr="00023D70">
        <w:rPr>
          <w:lang w:val="en-US" w:eastAsia="ja-JP"/>
        </w:rPr>
        <w:t xml:space="preserve">Sr as the </w:t>
      </w:r>
      <w:r w:rsidRPr="00023D70">
        <w:rPr>
          <w:i/>
          <w:iCs/>
          <w:lang w:val="en-US" w:eastAsia="ja-JP"/>
        </w:rPr>
        <w:t>x</w:t>
      </w:r>
      <w:r w:rsidRPr="00023D70">
        <w:rPr>
          <w:lang w:val="en-US" w:eastAsia="ja-JP"/>
        </w:rPr>
        <w:t xml:space="preserve">-axis) for the same simulation described in Figure </w:t>
      </w:r>
      <w:r>
        <w:rPr>
          <w:lang w:val="en-US" w:eastAsia="ja-JP"/>
        </w:rPr>
        <w:t>S</w:t>
      </w:r>
      <w:r w:rsidR="002F5DE6">
        <w:rPr>
          <w:lang w:val="en-US" w:eastAsia="ja-JP"/>
        </w:rPr>
        <w:t>4</w:t>
      </w:r>
      <w:r w:rsidRPr="00023D70">
        <w:rPr>
          <w:lang w:val="en-US" w:eastAsia="ja-JP"/>
        </w:rPr>
        <w:t xml:space="preserve">a. </w:t>
      </w:r>
      <w:r w:rsidRPr="00023D70">
        <w:rPr>
          <w:lang w:val="en-US"/>
        </w:rPr>
        <w:t xml:space="preserve">A 3-liter vessel was visualized as containing 500 </w:t>
      </w:r>
      <w:proofErr w:type="spellStart"/>
      <w:r w:rsidRPr="00023D70">
        <w:rPr>
          <w:lang w:val="en-US"/>
        </w:rPr>
        <w:t>mls</w:t>
      </w:r>
      <w:proofErr w:type="spellEnd"/>
      <w:r w:rsidRPr="00023D70">
        <w:rPr>
          <w:lang w:val="en-US"/>
        </w:rPr>
        <w:t xml:space="preserve"> water. This imaginary water had a Sr concentration of 995 ug/g with a background </w:t>
      </w:r>
      <w:r w:rsidRPr="00023D70">
        <w:rPr>
          <w:vertAlign w:val="superscript"/>
          <w:lang w:val="en-US"/>
        </w:rPr>
        <w:t>87</w:t>
      </w:r>
      <w:r w:rsidRPr="00023D70">
        <w:rPr>
          <w:lang w:val="en-US"/>
        </w:rPr>
        <w:t>Sr:</w:t>
      </w:r>
      <w:r w:rsidRPr="00023D70">
        <w:rPr>
          <w:vertAlign w:val="superscript"/>
          <w:lang w:val="en-US"/>
        </w:rPr>
        <w:t>86</w:t>
      </w:r>
      <w:r w:rsidRPr="00023D70">
        <w:rPr>
          <w:lang w:val="en-US"/>
        </w:rPr>
        <w:t>Sr ratio of 0.7121.</w:t>
      </w:r>
      <w:r w:rsidRPr="00023D70">
        <w:rPr>
          <w:b/>
          <w:bCs/>
          <w:lang w:val="en-US"/>
        </w:rPr>
        <w:t xml:space="preserve"> </w:t>
      </w:r>
      <w:r w:rsidRPr="00023D70">
        <w:rPr>
          <w:lang w:val="en-US"/>
        </w:rPr>
        <w:t>Water with an increasing source ratio is defined by a convex function where the source becomes more enriched as total Sr increases in 110 ml increments every minute. However, unlike standard mixing diagrams where 1/total Sr or 1/</w:t>
      </w:r>
      <w:r w:rsidRPr="00023D70">
        <w:rPr>
          <w:vertAlign w:val="superscript"/>
          <w:lang w:val="en-US"/>
        </w:rPr>
        <w:t>86</w:t>
      </w:r>
      <w:r w:rsidRPr="00023D70">
        <w:rPr>
          <w:lang w:val="en-US"/>
        </w:rPr>
        <w:t xml:space="preserve">Sr is plotted against an observed ratio, in this case </w:t>
      </w:r>
      <w:r w:rsidRPr="00023D70">
        <w:rPr>
          <w:i/>
          <w:iCs/>
          <w:lang w:val="en-US" w:eastAsia="ja-JP"/>
        </w:rPr>
        <w:t>y</w:t>
      </w:r>
      <w:r w:rsidRPr="00023D70">
        <w:rPr>
          <w:lang w:val="en-US" w:eastAsia="ja-JP"/>
        </w:rPr>
        <w:t xml:space="preserve">-intercept corrected values are presented on the </w:t>
      </w:r>
      <w:r w:rsidRPr="00023D70">
        <w:rPr>
          <w:i/>
          <w:iCs/>
          <w:lang w:val="en-US" w:eastAsia="ja-JP"/>
        </w:rPr>
        <w:t>y</w:t>
      </w:r>
      <w:r w:rsidRPr="00023D70">
        <w:rPr>
          <w:lang w:val="en-US" w:eastAsia="ja-JP"/>
        </w:rPr>
        <w:t>-axis.</w:t>
      </w:r>
      <w:r>
        <w:rPr>
          <w:lang w:val="en-US" w:eastAsia="ja-JP"/>
        </w:rPr>
        <w:t xml:space="preserve"> Extrapolating a line from two-point segments of the curve produces a </w:t>
      </w:r>
      <w:r w:rsidRPr="002A77A0">
        <w:rPr>
          <w:i/>
          <w:iCs/>
          <w:lang w:val="en-US" w:eastAsia="ja-JP"/>
        </w:rPr>
        <w:t>y</w:t>
      </w:r>
      <w:r>
        <w:rPr>
          <w:lang w:val="en-US" w:eastAsia="ja-JP"/>
        </w:rPr>
        <w:t>-intercept estimated source for each segment. The two-point equations are shown at the right of the figure.</w:t>
      </w:r>
    </w:p>
    <w:p w14:paraId="16A19109" w14:textId="77777777" w:rsidR="00546A36" w:rsidRDefault="00546A36" w:rsidP="00546A36">
      <w:pPr>
        <w:pStyle w:val="Figurecaption"/>
        <w:spacing w:before="0" w:after="3" w:line="473" w:lineRule="auto"/>
        <w:ind w:right="144"/>
        <w:jc w:val="both"/>
        <w:rPr>
          <w:lang w:val="en-US" w:eastAsia="ja-JP"/>
        </w:rPr>
      </w:pPr>
      <w:r>
        <w:rPr>
          <w:lang w:val="en-US" w:eastAsia="ja-JP"/>
        </w:rPr>
        <w:lastRenderedPageBreak/>
        <w:t>-</w:t>
      </w:r>
    </w:p>
    <w:p w14:paraId="4F45BAA5" w14:textId="3F4CB26A" w:rsidR="00546A36" w:rsidRDefault="00546A36" w:rsidP="00546A36">
      <w:pPr>
        <w:pStyle w:val="Figurecaption"/>
        <w:spacing w:before="0" w:after="3" w:line="473" w:lineRule="auto"/>
        <w:ind w:right="144"/>
        <w:jc w:val="both"/>
        <w:rPr>
          <w:lang w:val="en-US" w:eastAsia="ja-JP"/>
        </w:rPr>
      </w:pPr>
      <w:r>
        <w:rPr>
          <w:lang w:val="en-US" w:eastAsia="ja-JP"/>
        </w:rPr>
        <w:tab/>
      </w:r>
      <w:r w:rsidRPr="00023D70">
        <w:rPr>
          <w:lang w:val="en-US"/>
        </w:rPr>
        <w:t xml:space="preserve">The observed </w:t>
      </w:r>
      <w:r w:rsidRPr="00023D70">
        <w:rPr>
          <w:vertAlign w:val="superscript"/>
          <w:lang w:val="en-US"/>
        </w:rPr>
        <w:t>87</w:t>
      </w:r>
      <w:r w:rsidRPr="00023D70">
        <w:rPr>
          <w:lang w:val="en-US"/>
        </w:rPr>
        <w:t>Sr:</w:t>
      </w:r>
      <w:r w:rsidRPr="00023D70">
        <w:rPr>
          <w:vertAlign w:val="superscript"/>
          <w:lang w:val="en-US"/>
        </w:rPr>
        <w:t>86</w:t>
      </w:r>
      <w:r w:rsidRPr="00023D70">
        <w:rPr>
          <w:lang w:val="en-US"/>
        </w:rPr>
        <w:t xml:space="preserve">Sr ratios (Figure </w:t>
      </w:r>
      <w:r>
        <w:rPr>
          <w:lang w:val="en-US"/>
        </w:rPr>
        <w:t>S</w:t>
      </w:r>
      <w:r w:rsidR="002F5DE6">
        <w:rPr>
          <w:lang w:val="en-US"/>
        </w:rPr>
        <w:t>4</w:t>
      </w:r>
      <w:r w:rsidRPr="00023D70">
        <w:rPr>
          <w:lang w:val="en-US"/>
        </w:rPr>
        <w:t xml:space="preserve">a) that are associated with curvilinear </w:t>
      </w:r>
      <w:r w:rsidRPr="00023D70">
        <w:rPr>
          <w:vertAlign w:val="superscript"/>
          <w:lang w:val="en-US"/>
        </w:rPr>
        <w:t>86</w:t>
      </w:r>
      <w:r w:rsidRPr="00023D70">
        <w:rPr>
          <w:lang w:val="en-US"/>
        </w:rPr>
        <w:t xml:space="preserve">Sr vs. </w:t>
      </w:r>
      <w:r w:rsidRPr="00023D70">
        <w:rPr>
          <w:vertAlign w:val="superscript"/>
          <w:lang w:val="en-US"/>
        </w:rPr>
        <w:t>87</w:t>
      </w:r>
      <w:r w:rsidRPr="00023D70">
        <w:rPr>
          <w:lang w:val="en-US"/>
        </w:rPr>
        <w:t xml:space="preserve">Sr relationships (changing sources as shown in Figure </w:t>
      </w:r>
      <w:r>
        <w:rPr>
          <w:lang w:val="en-US"/>
        </w:rPr>
        <w:t>S</w:t>
      </w:r>
      <w:r w:rsidR="002F5DE6">
        <w:rPr>
          <w:lang w:val="en-US"/>
        </w:rPr>
        <w:t>4</w:t>
      </w:r>
      <w:r>
        <w:rPr>
          <w:lang w:val="en-US"/>
        </w:rPr>
        <w:t>b</w:t>
      </w:r>
      <w:r w:rsidRPr="00023D70">
        <w:rPr>
          <w:lang w:val="en-US"/>
        </w:rPr>
        <w:t xml:space="preserve">) are difficult to interpret. This is especially true </w:t>
      </w:r>
      <w:r>
        <w:rPr>
          <w:lang w:val="en-US"/>
        </w:rPr>
        <w:t>in</w:t>
      </w:r>
      <w:r w:rsidRPr="00023D70">
        <w:rPr>
          <w:lang w:val="en-US"/>
        </w:rPr>
        <w:t xml:space="preserve"> this example where observed ratios present the characteristic trough or U shape that results from convex denominator isotope vs. numerator isotope relationships with positive </w:t>
      </w:r>
      <w:r w:rsidRPr="00023D70">
        <w:rPr>
          <w:i/>
          <w:iCs/>
          <w:lang w:val="en-US"/>
        </w:rPr>
        <w:t>y</w:t>
      </w:r>
      <w:r w:rsidRPr="00023D70">
        <w:rPr>
          <w:lang w:val="en-US"/>
        </w:rPr>
        <w:t>-intercepts (</w:t>
      </w:r>
      <w:r>
        <w:rPr>
          <w:lang w:val="en-US"/>
        </w:rPr>
        <w:t>main text</w:t>
      </w:r>
      <w:r w:rsidRPr="00023D70">
        <w:rPr>
          <w:lang w:val="en-US"/>
        </w:rPr>
        <w:t xml:space="preserve">). </w:t>
      </w:r>
    </w:p>
    <w:p w14:paraId="41162482" w14:textId="4EB97FD6" w:rsidR="00546A36" w:rsidRPr="00F37C54" w:rsidRDefault="00546A36" w:rsidP="00546A36">
      <w:pPr>
        <w:pStyle w:val="Newparagraph"/>
        <w:spacing w:after="3" w:line="473" w:lineRule="auto"/>
        <w:ind w:right="144"/>
        <w:jc w:val="both"/>
        <w:rPr>
          <w:lang w:val="en-US" w:eastAsia="ja-JP"/>
        </w:rPr>
      </w:pPr>
      <w:r w:rsidRPr="00F37C54">
        <w:rPr>
          <w:lang w:val="en-US" w:eastAsia="ja-JP"/>
        </w:rPr>
        <w:t xml:space="preserve">The size of the </w:t>
      </w:r>
      <w:r w:rsidRPr="00F37C54">
        <w:rPr>
          <w:i/>
          <w:iCs/>
          <w:lang w:val="en-US" w:eastAsia="ja-JP"/>
        </w:rPr>
        <w:t>y</w:t>
      </w:r>
      <w:r w:rsidRPr="00F37C54">
        <w:rPr>
          <w:lang w:val="en-US" w:eastAsia="ja-JP"/>
        </w:rPr>
        <w:t xml:space="preserve">-intercept (when compared to the range of the </w:t>
      </w:r>
      <w:r w:rsidRPr="00F37C54">
        <w:rPr>
          <w:vertAlign w:val="superscript"/>
          <w:lang w:val="en-US" w:eastAsia="ja-JP"/>
        </w:rPr>
        <w:t>87</w:t>
      </w:r>
      <w:r w:rsidRPr="00F37C54">
        <w:rPr>
          <w:lang w:val="en-US" w:eastAsia="ja-JP"/>
        </w:rPr>
        <w:t xml:space="preserve">Sr values) appears negligible (~0.08% of the </w:t>
      </w:r>
      <w:r w:rsidRPr="00F37C54">
        <w:rPr>
          <w:i/>
          <w:iCs/>
          <w:lang w:val="en-US" w:eastAsia="ja-JP"/>
        </w:rPr>
        <w:t>y</w:t>
      </w:r>
      <w:r w:rsidRPr="00F37C54">
        <w:rPr>
          <w:lang w:val="en-US" w:eastAsia="ja-JP"/>
        </w:rPr>
        <w:t>-axis) but is mathematically consequential</w:t>
      </w:r>
      <w:r>
        <w:rPr>
          <w:lang w:val="en-US" w:eastAsia="ja-JP"/>
        </w:rPr>
        <w:t>, as the</w:t>
      </w:r>
      <w:r w:rsidRPr="00F37C54">
        <w:rPr>
          <w:lang w:val="en-US" w:eastAsia="ja-JP"/>
        </w:rPr>
        <w:t xml:space="preserve"> intercept effect produces a detectable decline in </w:t>
      </w:r>
      <w:r w:rsidRPr="00F37C54">
        <w:rPr>
          <w:vertAlign w:val="superscript"/>
          <w:lang w:val="en-US" w:eastAsia="ja-JP"/>
        </w:rPr>
        <w:t>87</w:t>
      </w:r>
      <w:r w:rsidRPr="00F37C54">
        <w:rPr>
          <w:lang w:val="en-US" w:eastAsia="ja-JP"/>
        </w:rPr>
        <w:t>Sr:</w:t>
      </w:r>
      <w:r w:rsidRPr="00F37C54">
        <w:rPr>
          <w:vertAlign w:val="superscript"/>
          <w:lang w:val="en-US" w:eastAsia="ja-JP"/>
        </w:rPr>
        <w:t>86</w:t>
      </w:r>
      <w:r w:rsidRPr="00F37C54">
        <w:rPr>
          <w:lang w:val="en-US" w:eastAsia="ja-JP"/>
        </w:rPr>
        <w:t xml:space="preserve">Sr ratios that would be interpretively important. The relationship cannot be linear since an increasing source was used in the model. If the regression line were linear, the </w:t>
      </w:r>
      <w:r w:rsidRPr="00F37C54">
        <w:rPr>
          <w:vertAlign w:val="superscript"/>
          <w:lang w:val="en-US" w:eastAsia="ja-JP"/>
        </w:rPr>
        <w:t>87</w:t>
      </w:r>
      <w:r w:rsidRPr="00F37C54">
        <w:rPr>
          <w:lang w:val="en-US" w:eastAsia="ja-JP"/>
        </w:rPr>
        <w:t>Sr:</w:t>
      </w:r>
      <w:r w:rsidRPr="00F37C54">
        <w:rPr>
          <w:vertAlign w:val="superscript"/>
          <w:lang w:val="en-US" w:eastAsia="ja-JP"/>
        </w:rPr>
        <w:t>86</w:t>
      </w:r>
      <w:r w:rsidRPr="00F37C54">
        <w:rPr>
          <w:lang w:val="en-US" w:eastAsia="ja-JP"/>
        </w:rPr>
        <w:t xml:space="preserve">Sr pattern shown in Figure </w:t>
      </w:r>
      <w:r>
        <w:rPr>
          <w:lang w:val="en-US" w:eastAsia="ja-JP"/>
        </w:rPr>
        <w:t>S</w:t>
      </w:r>
      <w:r w:rsidR="002F5DE6">
        <w:rPr>
          <w:lang w:val="en-US" w:eastAsia="ja-JP"/>
        </w:rPr>
        <w:t>4</w:t>
      </w:r>
      <w:r w:rsidRPr="00F37C54">
        <w:rPr>
          <w:lang w:val="en-US" w:eastAsia="ja-JP"/>
        </w:rPr>
        <w:t xml:space="preserve">a would change. The </w:t>
      </w:r>
      <w:r>
        <w:rPr>
          <w:lang w:val="en-US" w:eastAsia="ja-JP"/>
        </w:rPr>
        <w:t xml:space="preserve">observed </w:t>
      </w:r>
      <w:r w:rsidRPr="001E6603">
        <w:rPr>
          <w:vertAlign w:val="superscript"/>
          <w:lang w:val="en-US" w:eastAsia="ja-JP"/>
        </w:rPr>
        <w:t>87</w:t>
      </w:r>
      <w:r>
        <w:rPr>
          <w:lang w:val="en-US" w:eastAsia="ja-JP"/>
        </w:rPr>
        <w:t>Sr:</w:t>
      </w:r>
      <w:r w:rsidRPr="001E6603">
        <w:rPr>
          <w:vertAlign w:val="superscript"/>
          <w:lang w:val="en-US" w:eastAsia="ja-JP"/>
        </w:rPr>
        <w:t>86</w:t>
      </w:r>
      <w:r>
        <w:rPr>
          <w:lang w:val="en-US" w:eastAsia="ja-JP"/>
        </w:rPr>
        <w:t xml:space="preserve">Sr </w:t>
      </w:r>
      <w:r w:rsidRPr="00F37C54">
        <w:rPr>
          <w:lang w:val="en-US" w:eastAsia="ja-JP"/>
        </w:rPr>
        <w:t xml:space="preserve">ratio would decline and asymptotically approach a constant source. The declining points (blue) in Figure </w:t>
      </w:r>
      <w:r>
        <w:rPr>
          <w:lang w:val="en-US" w:eastAsia="ja-JP"/>
        </w:rPr>
        <w:t>S</w:t>
      </w:r>
      <w:r w:rsidR="002F5DE6">
        <w:rPr>
          <w:lang w:val="en-US" w:eastAsia="ja-JP"/>
        </w:rPr>
        <w:t>4</w:t>
      </w:r>
      <w:r w:rsidRPr="00F37C54">
        <w:rPr>
          <w:lang w:val="en-US" w:eastAsia="ja-JP"/>
        </w:rPr>
        <w:t xml:space="preserve">c represent the first seven simulation time increments shown with declining </w:t>
      </w:r>
      <w:r w:rsidRPr="00F37C54">
        <w:rPr>
          <w:vertAlign w:val="superscript"/>
          <w:lang w:val="en-US" w:eastAsia="ja-JP"/>
        </w:rPr>
        <w:t>87</w:t>
      </w:r>
      <w:r w:rsidRPr="00F37C54">
        <w:rPr>
          <w:lang w:val="en-US" w:eastAsia="ja-JP"/>
        </w:rPr>
        <w:t>Sr:</w:t>
      </w:r>
      <w:r w:rsidRPr="00F37C54">
        <w:rPr>
          <w:vertAlign w:val="superscript"/>
          <w:lang w:val="en-US" w:eastAsia="ja-JP"/>
        </w:rPr>
        <w:t>86</w:t>
      </w:r>
      <w:r w:rsidRPr="00F37C54">
        <w:rPr>
          <w:lang w:val="en-US" w:eastAsia="ja-JP"/>
        </w:rPr>
        <w:t xml:space="preserve">Sr ratios. Even though all portions of the data have the same </w:t>
      </w:r>
      <w:r w:rsidRPr="00F37C54">
        <w:rPr>
          <w:vertAlign w:val="superscript"/>
          <w:lang w:val="en-US" w:eastAsia="ja-JP"/>
        </w:rPr>
        <w:t>86</w:t>
      </w:r>
      <w:r w:rsidRPr="00F37C54">
        <w:rPr>
          <w:lang w:val="en-US" w:eastAsia="ja-JP"/>
        </w:rPr>
        <w:t xml:space="preserve">Sr vs. </w:t>
      </w:r>
      <w:r w:rsidRPr="00F37C54">
        <w:rPr>
          <w:vertAlign w:val="superscript"/>
          <w:lang w:val="en-US" w:eastAsia="ja-JP"/>
        </w:rPr>
        <w:t>87</w:t>
      </w:r>
      <w:r w:rsidRPr="00F37C54">
        <w:rPr>
          <w:lang w:val="en-US" w:eastAsia="ja-JP"/>
        </w:rPr>
        <w:t>Sr regression equation, the overall observed ratio pattern is unrelated to the constantly increasing source.</w:t>
      </w:r>
    </w:p>
    <w:p w14:paraId="09835D88" w14:textId="2817834E" w:rsidR="00546A36" w:rsidRPr="00023D70" w:rsidRDefault="00546A36" w:rsidP="00546A36">
      <w:pPr>
        <w:pStyle w:val="Newparagraph"/>
        <w:spacing w:after="3" w:line="473" w:lineRule="auto"/>
        <w:ind w:right="144"/>
        <w:jc w:val="both"/>
        <w:rPr>
          <w:lang w:val="en-US"/>
        </w:rPr>
      </w:pPr>
      <w:r w:rsidRPr="00023D70">
        <w:rPr>
          <w:lang w:val="en-US"/>
        </w:rPr>
        <w:t xml:space="preserve">The observed </w:t>
      </w:r>
      <w:r w:rsidRPr="00023D70">
        <w:rPr>
          <w:vertAlign w:val="superscript"/>
          <w:lang w:val="en-US" w:eastAsia="ja-JP"/>
        </w:rPr>
        <w:t>87</w:t>
      </w:r>
      <w:r w:rsidRPr="00023D70">
        <w:rPr>
          <w:lang w:val="en-US" w:eastAsia="ja-JP"/>
        </w:rPr>
        <w:t>Sr:</w:t>
      </w:r>
      <w:r w:rsidRPr="00023D70">
        <w:rPr>
          <w:vertAlign w:val="superscript"/>
          <w:lang w:val="en-US" w:eastAsia="ja-JP"/>
        </w:rPr>
        <w:t>86</w:t>
      </w:r>
      <w:r w:rsidRPr="00023D70">
        <w:rPr>
          <w:lang w:val="en-US" w:eastAsia="ja-JP"/>
        </w:rPr>
        <w:t xml:space="preserve">Sr ratio </w:t>
      </w:r>
      <w:r w:rsidRPr="00023D70">
        <w:rPr>
          <w:lang w:val="en-US"/>
        </w:rPr>
        <w:t xml:space="preserve">in this simulation (Figure </w:t>
      </w:r>
      <w:r>
        <w:rPr>
          <w:lang w:val="en-US"/>
        </w:rPr>
        <w:t>S</w:t>
      </w:r>
      <w:r w:rsidR="002F5DE6">
        <w:rPr>
          <w:lang w:val="en-US"/>
        </w:rPr>
        <w:t>4</w:t>
      </w:r>
      <w:r w:rsidRPr="00023D70">
        <w:rPr>
          <w:lang w:val="en-US"/>
        </w:rPr>
        <w:t xml:space="preserve">a) can be negatively related (left portion), unrelated (middle portion) or positively related (right portion) to the changing source (i.e., comparing blue [observed ratio] with orange [source]). </w:t>
      </w:r>
      <w:r w:rsidRPr="00023D70">
        <w:rPr>
          <w:lang w:val="en-US" w:eastAsia="ja-JP"/>
        </w:rPr>
        <w:t>In much of the isotopic literature the reader has no idea if total element increased or decreased or whether a source is constant, decreasing or increasing.</w:t>
      </w:r>
      <w:r w:rsidRPr="00023D70">
        <w:rPr>
          <w:lang w:val="en-US"/>
        </w:rPr>
        <w:t xml:space="preserve"> A similar complex relationship (hill or inverted U</w:t>
      </w:r>
      <w:r>
        <w:rPr>
          <w:lang w:val="en-US"/>
        </w:rPr>
        <w:t>-</w:t>
      </w:r>
      <w:r w:rsidRPr="00023D70">
        <w:rPr>
          <w:lang w:val="en-US"/>
        </w:rPr>
        <w:t xml:space="preserve">shaped pattern) is associated with concave denominator isotope vs. numerator isotope relationships with a negative </w:t>
      </w:r>
      <w:r w:rsidRPr="00023D70">
        <w:rPr>
          <w:i/>
          <w:iCs/>
          <w:lang w:val="en-US"/>
        </w:rPr>
        <w:t>y</w:t>
      </w:r>
      <w:r w:rsidRPr="00023D70">
        <w:rPr>
          <w:lang w:val="en-US"/>
        </w:rPr>
        <w:t>-intercept (</w:t>
      </w:r>
      <w:r>
        <w:rPr>
          <w:lang w:val="en-US"/>
        </w:rPr>
        <w:t>main text).</w:t>
      </w:r>
    </w:p>
    <w:p w14:paraId="0FA7D6C4" w14:textId="2628C0C0" w:rsidR="00546A36" w:rsidRPr="00023D70" w:rsidRDefault="00546A36" w:rsidP="00546A36">
      <w:pPr>
        <w:pStyle w:val="Newparagraph"/>
        <w:spacing w:after="3" w:line="473" w:lineRule="auto"/>
        <w:ind w:right="144"/>
        <w:jc w:val="both"/>
        <w:rPr>
          <w:lang w:val="en-US" w:eastAsia="ja-JP"/>
        </w:rPr>
      </w:pPr>
      <w:r w:rsidRPr="00023D70">
        <w:rPr>
          <w:lang w:val="en-US" w:eastAsia="ja-JP"/>
        </w:rPr>
        <w:t xml:space="preserve">In our discussions we define “background” as the isotopic ratio of the starting reservoir to which an element is being added to or removed. Backgrounds are normally viewed as </w:t>
      </w:r>
      <w:r w:rsidRPr="00023D70">
        <w:rPr>
          <w:lang w:val="en-US" w:eastAsia="ja-JP"/>
        </w:rPr>
        <w:lastRenderedPageBreak/>
        <w:t xml:space="preserve">unchanging. However, if one were to start observations midway up the increasing part of the U-shaped curve in Figure </w:t>
      </w:r>
      <w:r>
        <w:rPr>
          <w:lang w:val="en-US" w:eastAsia="ja-JP"/>
        </w:rPr>
        <w:t>S</w:t>
      </w:r>
      <w:r w:rsidR="002F5DE6">
        <w:rPr>
          <w:lang w:val="en-US" w:eastAsia="ja-JP"/>
        </w:rPr>
        <w:t>4</w:t>
      </w:r>
      <w:r w:rsidRPr="00023D70">
        <w:rPr>
          <w:lang w:val="en-US" w:eastAsia="ja-JP"/>
        </w:rPr>
        <w:t xml:space="preserve">a, the “new” background would be less than the source. Therefore, the observed ratio must increase with additions of more enriched water. The </w:t>
      </w:r>
      <w:r w:rsidRPr="00023D70">
        <w:rPr>
          <w:vertAlign w:val="superscript"/>
          <w:lang w:val="en-US" w:eastAsia="ja-JP"/>
        </w:rPr>
        <w:t>87</w:t>
      </w:r>
      <w:r w:rsidRPr="00023D70">
        <w:rPr>
          <w:lang w:val="en-US" w:eastAsia="ja-JP"/>
        </w:rPr>
        <w:t>Sr:</w:t>
      </w:r>
      <w:r w:rsidRPr="00023D70">
        <w:rPr>
          <w:vertAlign w:val="superscript"/>
          <w:lang w:val="en-US" w:eastAsia="ja-JP"/>
        </w:rPr>
        <w:t>86</w:t>
      </w:r>
      <w:r w:rsidRPr="00023D70">
        <w:rPr>
          <w:lang w:val="en-US" w:eastAsia="ja-JP"/>
        </w:rPr>
        <w:t xml:space="preserve">Sr ratio of the system, however, is buffered due to the large size of the reservoir, thus the observed </w:t>
      </w:r>
      <w:r w:rsidRPr="00023D70">
        <w:rPr>
          <w:vertAlign w:val="superscript"/>
          <w:lang w:val="en-US" w:eastAsia="ja-JP"/>
        </w:rPr>
        <w:t>87</w:t>
      </w:r>
      <w:r w:rsidRPr="00023D70">
        <w:rPr>
          <w:lang w:val="en-US" w:eastAsia="ja-JP"/>
        </w:rPr>
        <w:t>Sr:</w:t>
      </w:r>
      <w:r w:rsidRPr="00023D70">
        <w:rPr>
          <w:vertAlign w:val="superscript"/>
          <w:lang w:val="en-US" w:eastAsia="ja-JP"/>
        </w:rPr>
        <w:t>86</w:t>
      </w:r>
      <w:r w:rsidRPr="00023D70">
        <w:rPr>
          <w:lang w:val="en-US" w:eastAsia="ja-JP"/>
        </w:rPr>
        <w:t xml:space="preserve">Sr values increase more slowly than the source. </w:t>
      </w:r>
    </w:p>
    <w:p w14:paraId="34E6E50F" w14:textId="2F3101BF" w:rsidR="00546A36" w:rsidRPr="00023D70" w:rsidRDefault="00546A36" w:rsidP="00546A36">
      <w:pPr>
        <w:pStyle w:val="Newparagraph"/>
        <w:spacing w:after="3" w:line="473" w:lineRule="auto"/>
        <w:ind w:right="144"/>
        <w:jc w:val="both"/>
        <w:rPr>
          <w:lang w:val="en-US" w:eastAsia="ja-JP"/>
        </w:rPr>
      </w:pPr>
      <w:r w:rsidRPr="00023D70">
        <w:rPr>
          <w:lang w:val="en-US" w:eastAsia="ja-JP"/>
        </w:rPr>
        <w:t xml:space="preserve">The overall </w:t>
      </w:r>
      <w:r w:rsidRPr="00023D70">
        <w:rPr>
          <w:vertAlign w:val="superscript"/>
          <w:lang w:val="en-US" w:eastAsia="ja-JP"/>
        </w:rPr>
        <w:t>86</w:t>
      </w:r>
      <w:r w:rsidRPr="00023D70">
        <w:rPr>
          <w:lang w:val="en-US" w:eastAsia="ja-JP"/>
        </w:rPr>
        <w:t xml:space="preserve">Sr vs. </w:t>
      </w:r>
      <w:r w:rsidRPr="00023D70">
        <w:rPr>
          <w:vertAlign w:val="superscript"/>
          <w:lang w:val="en-US" w:eastAsia="ja-JP"/>
        </w:rPr>
        <w:t>87</w:t>
      </w:r>
      <w:r w:rsidRPr="00023D70">
        <w:rPr>
          <w:lang w:val="en-US" w:eastAsia="ja-JP"/>
        </w:rPr>
        <w:t xml:space="preserve">Sr relationship (Figure </w:t>
      </w:r>
      <w:r>
        <w:rPr>
          <w:lang w:val="en-US" w:eastAsia="ja-JP"/>
        </w:rPr>
        <w:t>S</w:t>
      </w:r>
      <w:r w:rsidR="002F5DE6">
        <w:rPr>
          <w:lang w:val="en-US" w:eastAsia="ja-JP"/>
        </w:rPr>
        <w:t>4</w:t>
      </w:r>
      <w:r>
        <w:rPr>
          <w:lang w:val="en-US" w:eastAsia="ja-JP"/>
        </w:rPr>
        <w:t>b</w:t>
      </w:r>
      <w:r w:rsidRPr="00023D70">
        <w:rPr>
          <w:lang w:val="en-US" w:eastAsia="ja-JP"/>
        </w:rPr>
        <w:t xml:space="preserve">) for the entire time course of the simulation has a positive </w:t>
      </w:r>
      <w:r w:rsidRPr="00023D70">
        <w:rPr>
          <w:i/>
          <w:iCs/>
          <w:lang w:val="en-US" w:eastAsia="ja-JP"/>
        </w:rPr>
        <w:t>y</w:t>
      </w:r>
      <w:r w:rsidRPr="00023D70">
        <w:rPr>
          <w:lang w:val="en-US" w:eastAsia="ja-JP"/>
        </w:rPr>
        <w:t xml:space="preserve">-intercept. This suggests a background that is initially greater than the source. The initial </w:t>
      </w:r>
      <w:r w:rsidRPr="00023D70">
        <w:rPr>
          <w:vertAlign w:val="superscript"/>
          <w:lang w:val="en-US" w:eastAsia="ja-JP"/>
        </w:rPr>
        <w:t>87</w:t>
      </w:r>
      <w:r w:rsidRPr="00023D70">
        <w:rPr>
          <w:lang w:val="en-US" w:eastAsia="ja-JP"/>
        </w:rPr>
        <w:t>Sr:</w:t>
      </w:r>
      <w:r w:rsidRPr="00023D70">
        <w:rPr>
          <w:vertAlign w:val="superscript"/>
          <w:lang w:val="en-US" w:eastAsia="ja-JP"/>
        </w:rPr>
        <w:t>86</w:t>
      </w:r>
      <w:r w:rsidRPr="00023D70">
        <w:rPr>
          <w:lang w:val="en-US" w:eastAsia="ja-JP"/>
        </w:rPr>
        <w:t xml:space="preserve">Sr ratio to the far left in Figure </w:t>
      </w:r>
      <w:r>
        <w:rPr>
          <w:lang w:val="en-US" w:eastAsia="ja-JP"/>
        </w:rPr>
        <w:t>S</w:t>
      </w:r>
      <w:r w:rsidR="002F5DE6">
        <w:rPr>
          <w:lang w:val="en-US" w:eastAsia="ja-JP"/>
        </w:rPr>
        <w:t>4</w:t>
      </w:r>
      <w:r w:rsidRPr="00023D70">
        <w:rPr>
          <w:lang w:val="en-US" w:eastAsia="ja-JP"/>
        </w:rPr>
        <w:t xml:space="preserve">a (background for the start of the simulation) is much higher than the initial orange point representing the initial source. Observed ratios must initially decline since the source is less than the background. This occurs even though the source is becoming more enriched. We define this initial negative correlation phenomenon which applies to the left side of the curve for the observed ratio (blue) shown in Figure </w:t>
      </w:r>
      <w:r>
        <w:rPr>
          <w:lang w:val="en-US" w:eastAsia="ja-JP"/>
        </w:rPr>
        <w:t>S</w:t>
      </w:r>
      <w:r w:rsidR="002F5DE6">
        <w:rPr>
          <w:lang w:val="en-US" w:eastAsia="ja-JP"/>
        </w:rPr>
        <w:t>4</w:t>
      </w:r>
      <w:r w:rsidRPr="00023D70">
        <w:rPr>
          <w:lang w:val="en-US" w:eastAsia="ja-JP"/>
        </w:rPr>
        <w:t>a as a “</w:t>
      </w:r>
      <w:r w:rsidRPr="00023D70">
        <w:rPr>
          <w:i/>
          <w:iCs/>
          <w:lang w:val="en-US" w:eastAsia="ja-JP"/>
        </w:rPr>
        <w:t>y</w:t>
      </w:r>
      <w:r w:rsidRPr="00023D70">
        <w:rPr>
          <w:lang w:val="en-US" w:eastAsia="ja-JP"/>
        </w:rPr>
        <w:t xml:space="preserve">-intercept effect” or “total isotope effect.” </w:t>
      </w:r>
    </w:p>
    <w:p w14:paraId="18EE51B5" w14:textId="492AD1FE" w:rsidR="00546A36" w:rsidRPr="00023D70" w:rsidRDefault="00546A36" w:rsidP="00546A36">
      <w:pPr>
        <w:pStyle w:val="Newparagraph"/>
        <w:spacing w:after="3" w:line="473" w:lineRule="auto"/>
        <w:ind w:right="144"/>
        <w:jc w:val="both"/>
        <w:rPr>
          <w:lang w:val="en-US" w:eastAsia="ja-JP"/>
        </w:rPr>
      </w:pPr>
      <w:r w:rsidRPr="00023D70">
        <w:rPr>
          <w:lang w:val="en-US" w:eastAsia="ja-JP"/>
        </w:rPr>
        <w:t xml:space="preserve">At the minimum value of the U-shaped pattern in Figure </w:t>
      </w:r>
      <w:r>
        <w:rPr>
          <w:lang w:val="en-US" w:eastAsia="ja-JP"/>
        </w:rPr>
        <w:t>S</w:t>
      </w:r>
      <w:r w:rsidR="002F5DE6">
        <w:rPr>
          <w:lang w:val="en-US" w:eastAsia="ja-JP"/>
        </w:rPr>
        <w:t>4</w:t>
      </w:r>
      <w:r w:rsidRPr="00023D70">
        <w:rPr>
          <w:lang w:val="en-US" w:eastAsia="ja-JP"/>
        </w:rPr>
        <w:t xml:space="preserve">a, the addition of Sr (660 ml of solution added) with an increasingly enriched </w:t>
      </w:r>
      <w:r w:rsidRPr="00023D70">
        <w:rPr>
          <w:vertAlign w:val="superscript"/>
          <w:lang w:val="en-US"/>
        </w:rPr>
        <w:t>87</w:t>
      </w:r>
      <w:r w:rsidRPr="00023D70">
        <w:rPr>
          <w:lang w:val="en-US"/>
        </w:rPr>
        <w:t>Sr:</w:t>
      </w:r>
      <w:r w:rsidRPr="00023D70">
        <w:rPr>
          <w:vertAlign w:val="superscript"/>
          <w:lang w:val="en-US"/>
        </w:rPr>
        <w:t>86</w:t>
      </w:r>
      <w:r w:rsidRPr="00023D70">
        <w:rPr>
          <w:lang w:val="en-US"/>
        </w:rPr>
        <w:t>Sr ratio</w:t>
      </w:r>
      <w:r w:rsidRPr="00023D70">
        <w:rPr>
          <w:lang w:val="en-US" w:eastAsia="ja-JP"/>
        </w:rPr>
        <w:t xml:space="preserve"> has now created a situation where the </w:t>
      </w:r>
      <w:r w:rsidRPr="00023D70">
        <w:rPr>
          <w:vertAlign w:val="superscript"/>
          <w:lang w:val="en-US" w:eastAsia="ja-JP"/>
        </w:rPr>
        <w:t>87</w:t>
      </w:r>
      <w:r w:rsidRPr="00023D70">
        <w:rPr>
          <w:lang w:val="en-US" w:eastAsia="ja-JP"/>
        </w:rPr>
        <w:t>Sr:</w:t>
      </w:r>
      <w:r w:rsidRPr="00023D70">
        <w:rPr>
          <w:vertAlign w:val="superscript"/>
          <w:lang w:val="en-US" w:eastAsia="ja-JP"/>
        </w:rPr>
        <w:t>86</w:t>
      </w:r>
      <w:r w:rsidRPr="00023D70">
        <w:rPr>
          <w:lang w:val="en-US" w:eastAsia="ja-JP"/>
        </w:rPr>
        <w:t xml:space="preserve">Sr ratio of the water in the vessel is instantaneously approximately equal to the source (marked by </w:t>
      </w:r>
      <w:r w:rsidRPr="00023D70">
        <w:rPr>
          <w:rFonts w:ascii="Symbol" w:hAnsi="Symbol"/>
          <w:lang w:val="en-US" w:eastAsia="ja-JP"/>
        </w:rPr>
        <w:sym w:font="Symbol" w:char="F0D9"/>
      </w:r>
      <w:r w:rsidRPr="00023D70">
        <w:rPr>
          <w:lang w:val="en-US" w:eastAsia="ja-JP"/>
        </w:rPr>
        <w:t xml:space="preserve"> in Figure </w:t>
      </w:r>
      <w:r>
        <w:rPr>
          <w:lang w:val="en-US" w:eastAsia="ja-JP"/>
        </w:rPr>
        <w:t>S</w:t>
      </w:r>
      <w:r w:rsidR="002F5DE6">
        <w:rPr>
          <w:lang w:val="en-US" w:eastAsia="ja-JP"/>
        </w:rPr>
        <w:t>4</w:t>
      </w:r>
      <w:r w:rsidRPr="00023D70">
        <w:rPr>
          <w:lang w:val="en-US" w:eastAsia="ja-JP"/>
        </w:rPr>
        <w:t xml:space="preserve">a). At this point, adding more solution with an increasingly enriched source causes an increase in the observed ratio. If the experiment were viewed as being started at this point, the overall function would have a zero </w:t>
      </w:r>
      <w:r w:rsidRPr="00023D70">
        <w:rPr>
          <w:i/>
          <w:iCs/>
          <w:lang w:val="en-US" w:eastAsia="ja-JP"/>
        </w:rPr>
        <w:t>y</w:t>
      </w:r>
      <w:r w:rsidRPr="00023D70">
        <w:rPr>
          <w:lang w:val="en-US" w:eastAsia="ja-JP"/>
        </w:rPr>
        <w:t xml:space="preserve">-intercept. For this brief moment the convex curvature is the only factor driving the observed ratio. We have defined this final increase in observed ratios shown in Figure </w:t>
      </w:r>
      <w:r>
        <w:rPr>
          <w:lang w:val="en-US" w:eastAsia="ja-JP"/>
        </w:rPr>
        <w:t>S</w:t>
      </w:r>
      <w:r w:rsidR="002F5DE6">
        <w:rPr>
          <w:lang w:val="en-US" w:eastAsia="ja-JP"/>
        </w:rPr>
        <w:t>4</w:t>
      </w:r>
      <w:r w:rsidRPr="00023D70">
        <w:rPr>
          <w:lang w:val="en-US" w:eastAsia="ja-JP"/>
        </w:rPr>
        <w:t>a as a “curvature effect.”</w:t>
      </w:r>
    </w:p>
    <w:p w14:paraId="09C15DC1" w14:textId="42764170" w:rsidR="00546A36" w:rsidRPr="00023D70" w:rsidRDefault="00546A36" w:rsidP="00546A36">
      <w:pPr>
        <w:pStyle w:val="Newparagraph"/>
        <w:spacing w:after="3" w:line="473" w:lineRule="auto"/>
        <w:ind w:right="144"/>
        <w:jc w:val="both"/>
        <w:rPr>
          <w:lang w:val="en-US" w:eastAsia="ja-JP"/>
        </w:rPr>
      </w:pPr>
      <w:r w:rsidRPr="00023D70">
        <w:rPr>
          <w:lang w:val="en-US" w:eastAsia="ja-JP"/>
        </w:rPr>
        <w:t xml:space="preserve">Figure </w:t>
      </w:r>
      <w:r>
        <w:rPr>
          <w:lang w:val="en-US" w:eastAsia="ja-JP"/>
        </w:rPr>
        <w:t>S</w:t>
      </w:r>
      <w:r w:rsidR="002F5DE6">
        <w:rPr>
          <w:lang w:val="en-US" w:eastAsia="ja-JP"/>
        </w:rPr>
        <w:t>4</w:t>
      </w:r>
      <w:r>
        <w:rPr>
          <w:lang w:val="en-US" w:eastAsia="ja-JP"/>
        </w:rPr>
        <w:t>c</w:t>
      </w:r>
      <w:r w:rsidRPr="00023D70">
        <w:rPr>
          <w:lang w:val="en-US" w:eastAsia="ja-JP"/>
        </w:rPr>
        <w:t xml:space="preserve"> presents a mixing diagram (1/</w:t>
      </w:r>
      <w:r w:rsidRPr="00023D70">
        <w:rPr>
          <w:vertAlign w:val="superscript"/>
          <w:lang w:val="en-US" w:eastAsia="ja-JP"/>
        </w:rPr>
        <w:t>86</w:t>
      </w:r>
      <w:r w:rsidRPr="00023D70">
        <w:rPr>
          <w:lang w:val="en-US" w:eastAsia="ja-JP"/>
        </w:rPr>
        <w:t xml:space="preserve">Sr </w:t>
      </w:r>
      <w:r w:rsidRPr="00023D70">
        <w:rPr>
          <w:i/>
          <w:iCs/>
          <w:lang w:val="en-US" w:eastAsia="ja-JP"/>
        </w:rPr>
        <w:t>x</w:t>
      </w:r>
      <w:r w:rsidRPr="00023D70">
        <w:rPr>
          <w:lang w:val="en-US" w:eastAsia="ja-JP"/>
        </w:rPr>
        <w:t xml:space="preserve">-axis format) for the same simulation described in Figure </w:t>
      </w:r>
      <w:r>
        <w:rPr>
          <w:lang w:val="en-US" w:eastAsia="ja-JP"/>
        </w:rPr>
        <w:t>S</w:t>
      </w:r>
      <w:r w:rsidR="002F5DE6">
        <w:rPr>
          <w:lang w:val="en-US" w:eastAsia="ja-JP"/>
        </w:rPr>
        <w:t>4</w:t>
      </w:r>
      <w:r w:rsidRPr="00023D70">
        <w:rPr>
          <w:lang w:val="en-US" w:eastAsia="ja-JP"/>
        </w:rPr>
        <w:t xml:space="preserve">a. </w:t>
      </w:r>
      <w:r w:rsidRPr="00023D70">
        <w:rPr>
          <w:lang w:val="en-US"/>
        </w:rPr>
        <w:t>Unlike standard mixing diagrams where 1/total Sr or 1/</w:t>
      </w:r>
      <w:r w:rsidRPr="00023D70">
        <w:rPr>
          <w:vertAlign w:val="superscript"/>
          <w:lang w:val="en-US"/>
        </w:rPr>
        <w:t>86</w:t>
      </w:r>
      <w:r w:rsidRPr="00023D70">
        <w:rPr>
          <w:lang w:val="en-US"/>
        </w:rPr>
        <w:t xml:space="preserve">Sr is plotted against an observed ratio, Figure </w:t>
      </w:r>
      <w:r>
        <w:rPr>
          <w:lang w:val="en-US"/>
        </w:rPr>
        <w:t>S</w:t>
      </w:r>
      <w:r w:rsidR="002F5DE6">
        <w:rPr>
          <w:lang w:val="en-US"/>
        </w:rPr>
        <w:t>4</w:t>
      </w:r>
      <w:r>
        <w:rPr>
          <w:lang w:val="en-US"/>
        </w:rPr>
        <w:t>c</w:t>
      </w:r>
      <w:r w:rsidRPr="00023D70">
        <w:rPr>
          <w:lang w:val="en-US"/>
        </w:rPr>
        <w:t xml:space="preserve"> has </w:t>
      </w:r>
      <w:r w:rsidRPr="00023D70">
        <w:rPr>
          <w:i/>
          <w:iCs/>
          <w:lang w:val="en-US" w:eastAsia="ja-JP"/>
        </w:rPr>
        <w:t>y</w:t>
      </w:r>
      <w:r w:rsidRPr="00023D70">
        <w:rPr>
          <w:lang w:val="en-US" w:eastAsia="ja-JP"/>
        </w:rPr>
        <w:t xml:space="preserve">-intercept corrected values presented on the </w:t>
      </w:r>
      <w:r w:rsidRPr="00023D70">
        <w:rPr>
          <w:i/>
          <w:iCs/>
          <w:lang w:val="en-US" w:eastAsia="ja-JP"/>
        </w:rPr>
        <w:t>y</w:t>
      </w:r>
      <w:r w:rsidRPr="00023D70">
        <w:rPr>
          <w:lang w:val="en-US" w:eastAsia="ja-JP"/>
        </w:rPr>
        <w:t xml:space="preserve">-axis. </w:t>
      </w:r>
      <w:r w:rsidRPr="00023D70">
        <w:rPr>
          <w:lang w:val="en-US" w:eastAsia="ja-JP"/>
        </w:rPr>
        <w:lastRenderedPageBreak/>
        <w:t xml:space="preserve">These values were calculated as described </w:t>
      </w:r>
      <w:r>
        <w:rPr>
          <w:lang w:val="en-US" w:eastAsia="ja-JP"/>
        </w:rPr>
        <w:t>in</w:t>
      </w:r>
      <w:r w:rsidRPr="00023D70">
        <w:rPr>
          <w:lang w:val="en-US" w:eastAsia="ja-JP"/>
        </w:rPr>
        <w:t xml:space="preserve"> Section </w:t>
      </w:r>
      <w:r w:rsidR="00AB64A4">
        <w:rPr>
          <w:lang w:val="en-US" w:eastAsia="ja-JP"/>
        </w:rPr>
        <w:t>2.1</w:t>
      </w:r>
      <w:r>
        <w:rPr>
          <w:lang w:val="en-US" w:eastAsia="ja-JP"/>
        </w:rPr>
        <w:t xml:space="preserve"> of the main text.</w:t>
      </w:r>
      <w:r w:rsidRPr="00023D70">
        <w:rPr>
          <w:lang w:val="en-US" w:eastAsia="ja-JP"/>
        </w:rPr>
        <w:t xml:space="preserve"> The </w:t>
      </w:r>
      <w:r w:rsidRPr="00023D70">
        <w:rPr>
          <w:i/>
          <w:iCs/>
          <w:lang w:val="en-US" w:eastAsia="ja-JP"/>
        </w:rPr>
        <w:t>y</w:t>
      </w:r>
      <w:r w:rsidRPr="00023D70">
        <w:rPr>
          <w:lang w:val="en-US" w:eastAsia="ja-JP"/>
        </w:rPr>
        <w:t xml:space="preserve">-intercept correction removes the intercept and total Sr effects thus the curve only reflects a changing source. In this example extrapolating a line from two-point segments of the curve to calculate a </w:t>
      </w:r>
      <w:r w:rsidRPr="00023D70">
        <w:rPr>
          <w:i/>
          <w:iCs/>
          <w:lang w:val="en-US" w:eastAsia="ja-JP"/>
        </w:rPr>
        <w:t>y</w:t>
      </w:r>
      <w:r w:rsidRPr="00023D70">
        <w:rPr>
          <w:lang w:val="en-US" w:eastAsia="ja-JP"/>
        </w:rPr>
        <w:t xml:space="preserve">-intercept predicts the changing source values in Figure </w:t>
      </w:r>
      <w:r>
        <w:rPr>
          <w:lang w:val="en-US" w:eastAsia="ja-JP"/>
        </w:rPr>
        <w:t>S</w:t>
      </w:r>
      <w:r w:rsidR="002F5DE6">
        <w:rPr>
          <w:lang w:val="en-US" w:eastAsia="ja-JP"/>
        </w:rPr>
        <w:t>4</w:t>
      </w:r>
      <w:r w:rsidRPr="00023D70">
        <w:rPr>
          <w:lang w:val="en-US" w:eastAsia="ja-JP"/>
        </w:rPr>
        <w:t xml:space="preserve">a. A </w:t>
      </w:r>
      <w:r w:rsidRPr="00023D70">
        <w:rPr>
          <w:i/>
          <w:iCs/>
          <w:lang w:val="en-US" w:eastAsia="ja-JP"/>
        </w:rPr>
        <w:t>y</w:t>
      </w:r>
      <w:r w:rsidRPr="00023D70">
        <w:rPr>
          <w:lang w:val="en-US" w:eastAsia="ja-JP"/>
        </w:rPr>
        <w:t xml:space="preserve">-intercept modified mixing diagram approach can be made to work for non-linear </w:t>
      </w:r>
      <w:r w:rsidRPr="00023D70">
        <w:rPr>
          <w:vertAlign w:val="superscript"/>
          <w:lang w:val="en-US" w:eastAsia="ja-JP"/>
        </w:rPr>
        <w:t>86</w:t>
      </w:r>
      <w:r w:rsidRPr="00023D70">
        <w:rPr>
          <w:lang w:val="en-US" w:eastAsia="ja-JP"/>
        </w:rPr>
        <w:t xml:space="preserve">Sr vs. </w:t>
      </w:r>
      <w:r w:rsidRPr="00023D70">
        <w:rPr>
          <w:vertAlign w:val="superscript"/>
          <w:lang w:val="en-US" w:eastAsia="ja-JP"/>
        </w:rPr>
        <w:t>87</w:t>
      </w:r>
      <w:r w:rsidRPr="00023D70">
        <w:rPr>
          <w:lang w:val="en-US" w:eastAsia="ja-JP"/>
        </w:rPr>
        <w:t xml:space="preserve">Sr functions. However, this is simply an indirect way to estimate the changing slope (derivative) of the original </w:t>
      </w:r>
      <w:r w:rsidRPr="00023D70">
        <w:rPr>
          <w:vertAlign w:val="superscript"/>
          <w:lang w:val="en-US" w:eastAsia="ja-JP"/>
        </w:rPr>
        <w:t>86</w:t>
      </w:r>
      <w:r w:rsidRPr="00023D70">
        <w:rPr>
          <w:lang w:val="en-US" w:eastAsia="ja-JP"/>
        </w:rPr>
        <w:t xml:space="preserve">Sr vs. </w:t>
      </w:r>
      <w:r w:rsidRPr="00023D70">
        <w:rPr>
          <w:vertAlign w:val="superscript"/>
          <w:lang w:val="en-US" w:eastAsia="ja-JP"/>
        </w:rPr>
        <w:t>87</w:t>
      </w:r>
      <w:r w:rsidRPr="00023D70">
        <w:rPr>
          <w:lang w:val="en-US" w:eastAsia="ja-JP"/>
        </w:rPr>
        <w:t>Sr functions</w:t>
      </w:r>
      <w:r w:rsidR="00472FE0">
        <w:rPr>
          <w:lang w:val="en-US" w:eastAsia="ja-JP"/>
        </w:rPr>
        <w:t xml:space="preserve"> (Figure S4d)</w:t>
      </w:r>
      <w:r w:rsidRPr="00023D70">
        <w:rPr>
          <w:lang w:val="en-US" w:eastAsia="ja-JP"/>
        </w:rPr>
        <w:t>.</w:t>
      </w:r>
    </w:p>
    <w:p w14:paraId="5A367626" w14:textId="5A62E84B" w:rsidR="00546A36" w:rsidRPr="00023D70" w:rsidRDefault="00546A36" w:rsidP="00546A36">
      <w:pPr>
        <w:pStyle w:val="Newparagraph"/>
        <w:spacing w:after="3" w:line="473" w:lineRule="auto"/>
        <w:ind w:right="144"/>
        <w:jc w:val="both"/>
        <w:rPr>
          <w:lang w:val="en-US"/>
        </w:rPr>
      </w:pPr>
      <w:r w:rsidRPr="00023D70">
        <w:rPr>
          <w:lang w:val="en-US" w:eastAsia="ja-JP"/>
        </w:rPr>
        <w:t xml:space="preserve">Figure </w:t>
      </w:r>
      <w:r>
        <w:rPr>
          <w:lang w:val="en-US" w:eastAsia="ja-JP"/>
        </w:rPr>
        <w:t>S</w:t>
      </w:r>
      <w:r w:rsidR="002F5DE6">
        <w:rPr>
          <w:lang w:val="en-US" w:eastAsia="ja-JP"/>
        </w:rPr>
        <w:t>4</w:t>
      </w:r>
      <w:r w:rsidRPr="00023D70">
        <w:rPr>
          <w:lang w:val="en-US" w:eastAsia="ja-JP"/>
        </w:rPr>
        <w:t xml:space="preserve">d presents a standard (not </w:t>
      </w:r>
      <w:r w:rsidRPr="00023D70">
        <w:rPr>
          <w:i/>
          <w:iCs/>
          <w:lang w:val="en-US" w:eastAsia="ja-JP"/>
        </w:rPr>
        <w:t>y</w:t>
      </w:r>
      <w:r w:rsidRPr="00023D70">
        <w:rPr>
          <w:lang w:val="en-US" w:eastAsia="ja-JP"/>
        </w:rPr>
        <w:t>-intercept corrected) mixing diagram in the 1/</w:t>
      </w:r>
      <w:r w:rsidRPr="00023D70">
        <w:rPr>
          <w:vertAlign w:val="superscript"/>
          <w:lang w:val="en-US" w:eastAsia="ja-JP"/>
        </w:rPr>
        <w:t>86</w:t>
      </w:r>
      <w:r w:rsidRPr="00023D70">
        <w:rPr>
          <w:lang w:val="en-US" w:eastAsia="ja-JP"/>
        </w:rPr>
        <w:t xml:space="preserve">Sr format (blue points) for the same simulation described in Figure </w:t>
      </w:r>
      <w:r>
        <w:rPr>
          <w:lang w:val="en-US" w:eastAsia="ja-JP"/>
        </w:rPr>
        <w:t>S</w:t>
      </w:r>
      <w:r w:rsidR="002F5DE6">
        <w:rPr>
          <w:lang w:val="en-US" w:eastAsia="ja-JP"/>
        </w:rPr>
        <w:t>4</w:t>
      </w:r>
      <w:r w:rsidRPr="00023D70">
        <w:rPr>
          <w:lang w:val="en-US" w:eastAsia="ja-JP"/>
        </w:rPr>
        <w:t xml:space="preserve">a. </w:t>
      </w:r>
      <w:r w:rsidRPr="00023D70">
        <w:rPr>
          <w:lang w:val="en-US"/>
        </w:rPr>
        <w:t xml:space="preserve">Superimposed on this mixing line are two estimates of the source over the time intervals evaluated in the simulation: (1) </w:t>
      </w:r>
      <w:r w:rsidRPr="00023D70">
        <w:rPr>
          <w:lang w:val="en-US" w:eastAsia="ja-JP"/>
        </w:rPr>
        <w:t xml:space="preserve">The derivative from the </w:t>
      </w:r>
      <w:r w:rsidRPr="00023D70">
        <w:rPr>
          <w:vertAlign w:val="superscript"/>
          <w:lang w:val="en-US" w:eastAsia="ja-JP"/>
        </w:rPr>
        <w:t>86</w:t>
      </w:r>
      <w:r w:rsidRPr="00023D70">
        <w:rPr>
          <w:lang w:val="en-US" w:eastAsia="ja-JP"/>
        </w:rPr>
        <w:t xml:space="preserve">Sr vs. </w:t>
      </w:r>
      <w:r w:rsidRPr="00023D70">
        <w:rPr>
          <w:vertAlign w:val="superscript"/>
          <w:lang w:val="en-US" w:eastAsia="ja-JP"/>
        </w:rPr>
        <w:t>87</w:t>
      </w:r>
      <w:r w:rsidRPr="00023D70">
        <w:rPr>
          <w:lang w:val="en-US" w:eastAsia="ja-JP"/>
        </w:rPr>
        <w:t xml:space="preserve">Sr regression equation </w:t>
      </w:r>
      <w:r w:rsidR="00472FE0">
        <w:rPr>
          <w:lang w:val="en-US" w:eastAsia="ja-JP"/>
        </w:rPr>
        <w:t xml:space="preserve">in </w:t>
      </w:r>
      <w:r w:rsidRPr="00023D70">
        <w:rPr>
          <w:lang w:val="en-US" w:eastAsia="ja-JP"/>
        </w:rPr>
        <w:t xml:space="preserve">Figure </w:t>
      </w:r>
      <w:r>
        <w:rPr>
          <w:lang w:val="en-US" w:eastAsia="ja-JP"/>
        </w:rPr>
        <w:t>S</w:t>
      </w:r>
      <w:r w:rsidR="002F5DE6">
        <w:rPr>
          <w:lang w:val="en-US" w:eastAsia="ja-JP"/>
        </w:rPr>
        <w:t>4</w:t>
      </w:r>
      <w:r>
        <w:rPr>
          <w:lang w:val="en-US" w:eastAsia="ja-JP"/>
        </w:rPr>
        <w:t>b</w:t>
      </w:r>
      <w:r w:rsidRPr="00023D70">
        <w:rPr>
          <w:lang w:val="en-US" w:eastAsia="ja-JP"/>
        </w:rPr>
        <w:t xml:space="preserve">, and (2) the estimated source from the </w:t>
      </w:r>
      <w:r w:rsidRPr="00023D70">
        <w:rPr>
          <w:i/>
          <w:iCs/>
          <w:lang w:val="en-US" w:eastAsia="ja-JP"/>
        </w:rPr>
        <w:t>y</w:t>
      </w:r>
      <w:r w:rsidRPr="00023D70">
        <w:rPr>
          <w:lang w:val="en-US" w:eastAsia="ja-JP"/>
        </w:rPr>
        <w:t xml:space="preserve">-intercept corrected mixing diagram for individual </w:t>
      </w:r>
      <w:r>
        <w:rPr>
          <w:lang w:val="en-US" w:eastAsia="ja-JP"/>
        </w:rPr>
        <w:t xml:space="preserve">two-point </w:t>
      </w:r>
      <w:r w:rsidRPr="00023D70">
        <w:rPr>
          <w:lang w:val="en-US" w:eastAsia="ja-JP"/>
        </w:rPr>
        <w:t xml:space="preserve">segments in Figure </w:t>
      </w:r>
      <w:r>
        <w:rPr>
          <w:lang w:val="en-US" w:eastAsia="ja-JP"/>
        </w:rPr>
        <w:t>S</w:t>
      </w:r>
      <w:r w:rsidR="002F5DE6">
        <w:rPr>
          <w:lang w:val="en-US" w:eastAsia="ja-JP"/>
        </w:rPr>
        <w:t>4</w:t>
      </w:r>
      <w:r>
        <w:rPr>
          <w:lang w:val="en-US" w:eastAsia="ja-JP"/>
        </w:rPr>
        <w:t>c</w:t>
      </w:r>
      <w:r w:rsidRPr="00023D70">
        <w:rPr>
          <w:lang w:val="en-US" w:eastAsia="ja-JP"/>
        </w:rPr>
        <w:t xml:space="preserve">. Although non-linear mixing diagrams can be manipulated to identify sources for individual segments (Figure </w:t>
      </w:r>
      <w:r>
        <w:rPr>
          <w:lang w:val="en-US" w:eastAsia="ja-JP"/>
        </w:rPr>
        <w:t>S</w:t>
      </w:r>
      <w:r w:rsidR="002F5DE6">
        <w:rPr>
          <w:lang w:val="en-US" w:eastAsia="ja-JP"/>
        </w:rPr>
        <w:t>4</w:t>
      </w:r>
      <w:r>
        <w:rPr>
          <w:lang w:val="en-US" w:eastAsia="ja-JP"/>
        </w:rPr>
        <w:t>c</w:t>
      </w:r>
      <w:r w:rsidRPr="00023D70">
        <w:rPr>
          <w:lang w:val="en-US" w:eastAsia="ja-JP"/>
        </w:rPr>
        <w:t xml:space="preserve">), this is not necessary. The information derived from Keeling plots </w:t>
      </w:r>
      <w:r>
        <w:rPr>
          <w:lang w:val="en-US" w:eastAsia="ja-JP"/>
        </w:rPr>
        <w:t xml:space="preserve">(Keeling, 1958) </w:t>
      </w:r>
      <w:r w:rsidRPr="00023D70">
        <w:rPr>
          <w:lang w:val="en-US" w:eastAsia="ja-JP"/>
        </w:rPr>
        <w:t xml:space="preserve">or mixing diagrams is directly available from plots of the denominator vs. the numerator of an isotopic ratio. The small deviation between derivatives and the mixing line estimated source in Figure </w:t>
      </w:r>
      <w:r>
        <w:rPr>
          <w:lang w:val="en-US" w:eastAsia="ja-JP"/>
        </w:rPr>
        <w:t>S</w:t>
      </w:r>
      <w:r w:rsidR="007039E4">
        <w:rPr>
          <w:lang w:val="en-US" w:eastAsia="ja-JP"/>
        </w:rPr>
        <w:t>4</w:t>
      </w:r>
      <w:r w:rsidRPr="00023D70">
        <w:rPr>
          <w:lang w:val="en-US" w:eastAsia="ja-JP"/>
        </w:rPr>
        <w:t xml:space="preserve">d is due to a rounding error of the </w:t>
      </w:r>
      <w:r w:rsidRPr="00287D25">
        <w:rPr>
          <w:i/>
          <w:iCs/>
          <w:lang w:val="en-US" w:eastAsia="ja-JP"/>
        </w:rPr>
        <w:t>x</w:t>
      </w:r>
      <w:r w:rsidRPr="00023D70">
        <w:rPr>
          <w:vertAlign w:val="superscript"/>
          <w:lang w:val="en-US" w:eastAsia="ja-JP"/>
        </w:rPr>
        <w:t>2</w:t>
      </w:r>
      <w:r w:rsidRPr="00023D70">
        <w:rPr>
          <w:lang w:val="en-US" w:eastAsia="ja-JP"/>
        </w:rPr>
        <w:t xml:space="preserve"> term (only three significant digits) </w:t>
      </w:r>
      <w:r w:rsidR="007039E4" w:rsidRPr="00023D70">
        <w:rPr>
          <w:lang w:val="en-US" w:eastAsia="ja-JP"/>
        </w:rPr>
        <w:t xml:space="preserve">in Figure </w:t>
      </w:r>
      <w:r w:rsidR="007039E4">
        <w:rPr>
          <w:lang w:val="en-US" w:eastAsia="ja-JP"/>
        </w:rPr>
        <w:t>S4</w:t>
      </w:r>
      <w:r w:rsidR="007039E4" w:rsidRPr="00023D70">
        <w:rPr>
          <w:lang w:val="en-US" w:eastAsia="ja-JP"/>
        </w:rPr>
        <w:t xml:space="preserve">c </w:t>
      </w:r>
      <w:r w:rsidRPr="00023D70">
        <w:rPr>
          <w:lang w:val="en-US" w:eastAsia="ja-JP"/>
        </w:rPr>
        <w:t xml:space="preserve">and slight errors associated with the calculation of the 15 two-point </w:t>
      </w:r>
      <w:r w:rsidRPr="00023D70">
        <w:rPr>
          <w:i/>
          <w:iCs/>
          <w:lang w:val="en-US" w:eastAsia="ja-JP"/>
        </w:rPr>
        <w:t>y</w:t>
      </w:r>
      <w:r w:rsidRPr="00023D70">
        <w:rPr>
          <w:lang w:val="en-US" w:eastAsia="ja-JP"/>
        </w:rPr>
        <w:t xml:space="preserve">-intercepts (Figure </w:t>
      </w:r>
      <w:r>
        <w:rPr>
          <w:lang w:val="en-US" w:eastAsia="ja-JP"/>
        </w:rPr>
        <w:t>S</w:t>
      </w:r>
      <w:r w:rsidR="002F5DE6">
        <w:rPr>
          <w:lang w:val="en-US" w:eastAsia="ja-JP"/>
        </w:rPr>
        <w:t>4</w:t>
      </w:r>
      <w:r>
        <w:rPr>
          <w:lang w:val="en-US" w:eastAsia="ja-JP"/>
        </w:rPr>
        <w:t>c</w:t>
      </w:r>
      <w:r w:rsidRPr="00023D70">
        <w:rPr>
          <w:lang w:val="en-US" w:eastAsia="ja-JP"/>
        </w:rPr>
        <w:t>).</w:t>
      </w:r>
      <w:r>
        <w:rPr>
          <w:lang w:val="en-US" w:eastAsia="ja-JP"/>
        </w:rPr>
        <w:t xml:space="preserve"> </w:t>
      </w:r>
      <w:r w:rsidRPr="00023D70">
        <w:rPr>
          <w:lang w:val="en-US"/>
        </w:rPr>
        <w:t xml:space="preserve">Although there are subtle differences in the derivative and mixing line values in Figure </w:t>
      </w:r>
      <w:r>
        <w:rPr>
          <w:lang w:val="en-US"/>
        </w:rPr>
        <w:t>S</w:t>
      </w:r>
      <w:r w:rsidR="002F5DE6">
        <w:rPr>
          <w:lang w:val="en-US"/>
        </w:rPr>
        <w:t>4</w:t>
      </w:r>
      <w:r w:rsidRPr="00023D70">
        <w:rPr>
          <w:lang w:val="en-US"/>
        </w:rPr>
        <w:t xml:space="preserve">d, both these patterns closely match the actual source used in the simulation (data not shown). </w:t>
      </w:r>
    </w:p>
    <w:p w14:paraId="765F831E" w14:textId="77777777" w:rsidR="00546A36" w:rsidRPr="00023D70" w:rsidRDefault="00546A36" w:rsidP="00546A36">
      <w:pPr>
        <w:spacing w:after="3" w:line="473" w:lineRule="auto"/>
        <w:ind w:right="144"/>
        <w:jc w:val="both"/>
        <w:rPr>
          <w:rFonts w:asciiTheme="majorBidi" w:hAnsiTheme="majorBidi" w:cstheme="majorBidi"/>
          <w:b/>
          <w:bCs/>
          <w:color w:val="4472C4" w:themeColor="accent1"/>
          <w:lang w:val="en-US" w:eastAsia="ja-JP"/>
        </w:rPr>
      </w:pPr>
      <w:r w:rsidRPr="00995C9F">
        <w:rPr>
          <w:noProof/>
        </w:rPr>
        <w:lastRenderedPageBreak/>
        <w:drawing>
          <wp:inline distT="0" distB="0" distL="0" distR="0" wp14:anchorId="059F695B" wp14:editId="4F99728B">
            <wp:extent cx="4704762" cy="4380952"/>
            <wp:effectExtent l="0" t="0" r="635" b="635"/>
            <wp:docPr id="153870716" name="Picture 1" descr="A graph of a func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870716" name="Picture 1" descr="A graph of a function&#10;&#10;Description automatically generated with medium confidence"/>
                    <pic:cNvPicPr/>
                  </pic:nvPicPr>
                  <pic:blipFill>
                    <a:blip r:embed="rId22"/>
                    <a:stretch>
                      <a:fillRect/>
                    </a:stretch>
                  </pic:blipFill>
                  <pic:spPr>
                    <a:xfrm>
                      <a:off x="0" y="0"/>
                      <a:ext cx="4704762" cy="4380952"/>
                    </a:xfrm>
                    <a:prstGeom prst="rect">
                      <a:avLst/>
                    </a:prstGeom>
                  </pic:spPr>
                </pic:pic>
              </a:graphicData>
            </a:graphic>
          </wp:inline>
        </w:drawing>
      </w:r>
    </w:p>
    <w:p w14:paraId="493604A4" w14:textId="1D8085C4" w:rsidR="00546A36" w:rsidRDefault="00546A36" w:rsidP="00546A36">
      <w:pPr>
        <w:pStyle w:val="Figurecaption"/>
        <w:spacing w:before="0" w:after="3" w:line="473" w:lineRule="auto"/>
        <w:ind w:right="144"/>
        <w:jc w:val="both"/>
        <w:rPr>
          <w:lang w:val="en-US" w:eastAsia="ja-JP"/>
        </w:rPr>
      </w:pPr>
      <w:r w:rsidRPr="00023D70">
        <w:rPr>
          <w:lang w:val="en-US" w:eastAsia="ja-JP"/>
        </w:rPr>
        <w:t xml:space="preserve">Figure </w:t>
      </w:r>
      <w:r>
        <w:rPr>
          <w:lang w:val="en-US" w:eastAsia="ja-JP"/>
        </w:rPr>
        <w:t>S</w:t>
      </w:r>
      <w:r w:rsidR="002F5DE6">
        <w:rPr>
          <w:lang w:val="en-US" w:eastAsia="ja-JP"/>
        </w:rPr>
        <w:t>4</w:t>
      </w:r>
      <w:r w:rsidRPr="00023D70">
        <w:rPr>
          <w:lang w:val="en-US" w:eastAsia="ja-JP"/>
        </w:rPr>
        <w:t>d. A 1/</w:t>
      </w:r>
      <w:r w:rsidRPr="00023D70">
        <w:rPr>
          <w:vertAlign w:val="superscript"/>
          <w:lang w:val="en-US" w:eastAsia="ja-JP"/>
        </w:rPr>
        <w:t>86</w:t>
      </w:r>
      <w:r w:rsidRPr="00023D70">
        <w:rPr>
          <w:lang w:val="en-US" w:eastAsia="ja-JP"/>
        </w:rPr>
        <w:t xml:space="preserve">Sr form of mixing diagram (blue points) for the same simulation described in Figure </w:t>
      </w:r>
      <w:r>
        <w:rPr>
          <w:lang w:val="en-US" w:eastAsia="ja-JP"/>
        </w:rPr>
        <w:t>S</w:t>
      </w:r>
      <w:r w:rsidR="002F5DE6">
        <w:rPr>
          <w:lang w:val="en-US" w:eastAsia="ja-JP"/>
        </w:rPr>
        <w:t>4</w:t>
      </w:r>
      <w:r w:rsidRPr="00023D70">
        <w:rPr>
          <w:lang w:val="en-US" w:eastAsia="ja-JP"/>
        </w:rPr>
        <w:t xml:space="preserve">a. </w:t>
      </w:r>
      <w:r w:rsidRPr="00023D70">
        <w:rPr>
          <w:lang w:val="en-US"/>
        </w:rPr>
        <w:t xml:space="preserve">A 3-liter vessel was visualized as containing 500 </w:t>
      </w:r>
      <w:proofErr w:type="spellStart"/>
      <w:r w:rsidRPr="00023D70">
        <w:rPr>
          <w:lang w:val="en-US"/>
        </w:rPr>
        <w:t>mls</w:t>
      </w:r>
      <w:proofErr w:type="spellEnd"/>
      <w:r w:rsidRPr="00023D70">
        <w:rPr>
          <w:lang w:val="en-US"/>
        </w:rPr>
        <w:t xml:space="preserve"> water. This imaginary water had a Sr concentration of 995 ug/g with a background </w:t>
      </w:r>
      <w:r w:rsidRPr="00023D70">
        <w:rPr>
          <w:vertAlign w:val="superscript"/>
          <w:lang w:val="en-US"/>
        </w:rPr>
        <w:t>87</w:t>
      </w:r>
      <w:r w:rsidRPr="00023D70">
        <w:rPr>
          <w:lang w:val="en-US"/>
        </w:rPr>
        <w:t>Sr:</w:t>
      </w:r>
      <w:r w:rsidRPr="00023D70">
        <w:rPr>
          <w:vertAlign w:val="superscript"/>
          <w:lang w:val="en-US"/>
        </w:rPr>
        <w:t>86</w:t>
      </w:r>
      <w:r w:rsidRPr="00023D70">
        <w:rPr>
          <w:lang w:val="en-US"/>
        </w:rPr>
        <w:t xml:space="preserve">Sr ratio of 0.7121. Water with an increasing source ratio is defined by a convex function where the source becomes more enriched as total Sr increases in 110 ml increments every minute. Superimposed on this mixing line are two estimates of the source over the time intervals evaluated in the simulation: (1) </w:t>
      </w:r>
      <w:r w:rsidRPr="00023D70">
        <w:rPr>
          <w:lang w:val="en-US" w:eastAsia="ja-JP"/>
        </w:rPr>
        <w:t xml:space="preserve">The derivative [from the </w:t>
      </w:r>
      <w:r w:rsidRPr="00023D70">
        <w:rPr>
          <w:vertAlign w:val="superscript"/>
          <w:lang w:val="en-US" w:eastAsia="ja-JP"/>
        </w:rPr>
        <w:t>86</w:t>
      </w:r>
      <w:r w:rsidRPr="00023D70">
        <w:rPr>
          <w:lang w:val="en-US" w:eastAsia="ja-JP"/>
        </w:rPr>
        <w:t xml:space="preserve">Sr vs. </w:t>
      </w:r>
      <w:r w:rsidRPr="00023D70">
        <w:rPr>
          <w:vertAlign w:val="superscript"/>
          <w:lang w:val="en-US" w:eastAsia="ja-JP"/>
        </w:rPr>
        <w:t>87</w:t>
      </w:r>
      <w:r w:rsidRPr="00023D70">
        <w:rPr>
          <w:lang w:val="en-US" w:eastAsia="ja-JP"/>
        </w:rPr>
        <w:t xml:space="preserve">Sr regression equation (Figure </w:t>
      </w:r>
      <w:r>
        <w:rPr>
          <w:lang w:val="en-US" w:eastAsia="ja-JP"/>
        </w:rPr>
        <w:t>S</w:t>
      </w:r>
      <w:r w:rsidR="002F5DE6">
        <w:rPr>
          <w:lang w:val="en-US" w:eastAsia="ja-JP"/>
        </w:rPr>
        <w:t>4</w:t>
      </w:r>
      <w:r>
        <w:rPr>
          <w:lang w:val="en-US" w:eastAsia="ja-JP"/>
        </w:rPr>
        <w:t>b</w:t>
      </w:r>
      <w:r w:rsidRPr="00023D70">
        <w:rPr>
          <w:lang w:val="en-US" w:eastAsia="ja-JP"/>
        </w:rPr>
        <w:t xml:space="preserve">), and (2) the estimated source (calculated from 2-point </w:t>
      </w:r>
      <w:r w:rsidRPr="00023D70">
        <w:rPr>
          <w:i/>
          <w:iCs/>
          <w:lang w:val="en-US" w:eastAsia="ja-JP"/>
        </w:rPr>
        <w:t>y</w:t>
      </w:r>
      <w:r w:rsidRPr="00023D70">
        <w:rPr>
          <w:lang w:val="en-US" w:eastAsia="ja-JP"/>
        </w:rPr>
        <w:t xml:space="preserve">-intercepts) from the mixing diagram in Figure </w:t>
      </w:r>
      <w:r>
        <w:rPr>
          <w:lang w:val="en-US" w:eastAsia="ja-JP"/>
        </w:rPr>
        <w:t>S</w:t>
      </w:r>
      <w:r w:rsidR="007039E4">
        <w:rPr>
          <w:lang w:val="en-US" w:eastAsia="ja-JP"/>
        </w:rPr>
        <w:t>4</w:t>
      </w:r>
      <w:r>
        <w:rPr>
          <w:lang w:val="en-US" w:eastAsia="ja-JP"/>
        </w:rPr>
        <w:t>c</w:t>
      </w:r>
      <w:r w:rsidRPr="00023D70">
        <w:rPr>
          <w:lang w:val="en-US" w:eastAsia="ja-JP"/>
        </w:rPr>
        <w:t xml:space="preserve">. </w:t>
      </w:r>
    </w:p>
    <w:p w14:paraId="385CF367" w14:textId="77777777" w:rsidR="00546A36" w:rsidRPr="00EF507C" w:rsidRDefault="00546A36" w:rsidP="00546A36">
      <w:pPr>
        <w:spacing w:after="3" w:line="473" w:lineRule="auto"/>
        <w:ind w:right="144"/>
        <w:jc w:val="both"/>
        <w:rPr>
          <w:lang w:val="en-US" w:eastAsia="ja-JP"/>
        </w:rPr>
      </w:pPr>
      <w:r>
        <w:rPr>
          <w:lang w:val="en-US" w:eastAsia="ja-JP"/>
        </w:rPr>
        <w:t>-</w:t>
      </w:r>
    </w:p>
    <w:p w14:paraId="60F27881" w14:textId="2D8B6E43" w:rsidR="00546A36" w:rsidRPr="00995C9F" w:rsidRDefault="00546A36" w:rsidP="00546A36">
      <w:pPr>
        <w:pStyle w:val="Newparagraph"/>
        <w:spacing w:after="3" w:line="473" w:lineRule="auto"/>
        <w:ind w:right="144"/>
        <w:jc w:val="both"/>
        <w:rPr>
          <w:lang w:val="en-US"/>
        </w:rPr>
      </w:pPr>
      <w:r w:rsidRPr="00023D70">
        <w:rPr>
          <w:lang w:val="en-US" w:eastAsia="ja-JP"/>
        </w:rPr>
        <w:lastRenderedPageBreak/>
        <w:t xml:space="preserve">In Figure </w:t>
      </w:r>
      <w:r>
        <w:rPr>
          <w:lang w:val="en-US" w:eastAsia="ja-JP"/>
        </w:rPr>
        <w:t>S</w:t>
      </w:r>
      <w:r w:rsidR="002F5DE6">
        <w:rPr>
          <w:lang w:val="en-US" w:eastAsia="ja-JP"/>
        </w:rPr>
        <w:t>4</w:t>
      </w:r>
      <w:r w:rsidRPr="00023D70">
        <w:rPr>
          <w:lang w:val="en-US" w:eastAsia="ja-JP"/>
        </w:rPr>
        <w:t>e all</w:t>
      </w:r>
      <w:r w:rsidRPr="00023D70">
        <w:rPr>
          <w:lang w:val="en-US"/>
        </w:rPr>
        <w:t xml:space="preserve"> Simulation 2 relationships between </w:t>
      </w:r>
      <w:r>
        <w:rPr>
          <w:lang w:val="en-US"/>
        </w:rPr>
        <w:t>1/</w:t>
      </w:r>
      <w:r w:rsidRPr="00287D25">
        <w:rPr>
          <w:vertAlign w:val="superscript"/>
          <w:lang w:val="en-US"/>
        </w:rPr>
        <w:t>86</w:t>
      </w:r>
      <w:r w:rsidRPr="00023D70">
        <w:rPr>
          <w:lang w:val="en-US"/>
        </w:rPr>
        <w:t>Sr</w:t>
      </w:r>
      <w:r>
        <w:rPr>
          <w:lang w:val="en-US"/>
        </w:rPr>
        <w:t xml:space="preserve"> (in molar units)</w:t>
      </w:r>
      <w:r w:rsidRPr="00023D70">
        <w:rPr>
          <w:lang w:val="en-US"/>
        </w:rPr>
        <w:t xml:space="preserve"> and </w:t>
      </w:r>
      <w:r w:rsidRPr="00023D70">
        <w:rPr>
          <w:vertAlign w:val="superscript"/>
          <w:lang w:val="en-US"/>
        </w:rPr>
        <w:t>87</w:t>
      </w:r>
      <w:r w:rsidRPr="00023D70">
        <w:rPr>
          <w:lang w:val="en-US"/>
        </w:rPr>
        <w:t>Sr:</w:t>
      </w:r>
      <w:r w:rsidRPr="00023D70">
        <w:rPr>
          <w:vertAlign w:val="superscript"/>
          <w:lang w:val="en-US"/>
        </w:rPr>
        <w:t>86</w:t>
      </w:r>
      <w:r w:rsidRPr="00023D70">
        <w:rPr>
          <w:lang w:val="en-US"/>
        </w:rPr>
        <w:t>Sr ratio for both observed ratios (different backgrounds in various colors) and the source of added material (</w:t>
      </w:r>
      <w:r>
        <w:rPr>
          <w:lang w:val="en-US"/>
        </w:rPr>
        <w:t>open orange circles</w:t>
      </w:r>
      <w:r w:rsidRPr="00023D70">
        <w:rPr>
          <w:lang w:val="en-US"/>
        </w:rPr>
        <w:t xml:space="preserve">) are presented. The only difference between Simulation 1 and Simulation 2 procedures is that six different backgrounds were used. The lower of the two middle plots (blue) has the same data points presented in Figure </w:t>
      </w:r>
      <w:r>
        <w:rPr>
          <w:lang w:val="en-US"/>
        </w:rPr>
        <w:t>S</w:t>
      </w:r>
      <w:r w:rsidR="002F5DE6">
        <w:rPr>
          <w:lang w:val="en-US"/>
        </w:rPr>
        <w:t>4</w:t>
      </w:r>
      <w:r w:rsidRPr="00023D70">
        <w:rPr>
          <w:lang w:val="en-US"/>
        </w:rPr>
        <w:t xml:space="preserve">a. The bottom two curves have the characteristic U shape that results from convex denominator isotope vs. numerator isotope relationships with a positive </w:t>
      </w:r>
      <w:r w:rsidRPr="00023D70">
        <w:rPr>
          <w:i/>
          <w:iCs/>
          <w:lang w:val="en-US"/>
        </w:rPr>
        <w:t>y</w:t>
      </w:r>
      <w:r w:rsidRPr="00023D70">
        <w:rPr>
          <w:lang w:val="en-US"/>
        </w:rPr>
        <w:t>-intercept (</w:t>
      </w:r>
      <w:r>
        <w:rPr>
          <w:lang w:val="en-US"/>
        </w:rPr>
        <w:t>main text</w:t>
      </w:r>
      <w:r w:rsidRPr="00023D70">
        <w:rPr>
          <w:lang w:val="en-US"/>
        </w:rPr>
        <w:t xml:space="preserve">). However, in the top four curves for higher backgrounds in Figure </w:t>
      </w:r>
      <w:r>
        <w:rPr>
          <w:lang w:val="en-US"/>
        </w:rPr>
        <w:t>S</w:t>
      </w:r>
      <w:r w:rsidR="002F5DE6">
        <w:rPr>
          <w:lang w:val="en-US"/>
        </w:rPr>
        <w:t>4</w:t>
      </w:r>
      <w:r w:rsidRPr="00023D70">
        <w:rPr>
          <w:lang w:val="en-US"/>
        </w:rPr>
        <w:t xml:space="preserve">e, the upward trend is not as apparent. </w:t>
      </w:r>
    </w:p>
    <w:p w14:paraId="5105CEA5" w14:textId="77777777" w:rsidR="00546A36" w:rsidRDefault="00546A36" w:rsidP="00546A36">
      <w:pPr>
        <w:pStyle w:val="Figurecaption"/>
        <w:spacing w:before="0" w:after="3" w:line="473" w:lineRule="auto"/>
        <w:ind w:right="144"/>
        <w:jc w:val="both"/>
        <w:rPr>
          <w:lang w:val="en-US" w:eastAsia="ja-JP"/>
        </w:rPr>
      </w:pPr>
      <w:r w:rsidRPr="00995C9F">
        <w:rPr>
          <w:noProof/>
        </w:rPr>
        <w:drawing>
          <wp:inline distT="0" distB="0" distL="0" distR="0" wp14:anchorId="4CCC17F6" wp14:editId="4CC00D8F">
            <wp:extent cx="4580952" cy="2752381"/>
            <wp:effectExtent l="0" t="0" r="0" b="0"/>
            <wp:docPr id="481505391" name="Picture 1" descr="A graph of numbers an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505391" name="Picture 1" descr="A graph of numbers and lines&#10;&#10;Description automatically generated with medium confidence"/>
                    <pic:cNvPicPr/>
                  </pic:nvPicPr>
                  <pic:blipFill>
                    <a:blip r:embed="rId23"/>
                    <a:stretch>
                      <a:fillRect/>
                    </a:stretch>
                  </pic:blipFill>
                  <pic:spPr>
                    <a:xfrm>
                      <a:off x="0" y="0"/>
                      <a:ext cx="4580952" cy="2752381"/>
                    </a:xfrm>
                    <a:prstGeom prst="rect">
                      <a:avLst/>
                    </a:prstGeom>
                  </pic:spPr>
                </pic:pic>
              </a:graphicData>
            </a:graphic>
          </wp:inline>
        </w:drawing>
      </w:r>
    </w:p>
    <w:p w14:paraId="66D56B5A" w14:textId="18851B15" w:rsidR="00546A36" w:rsidRPr="002F5DE6" w:rsidRDefault="00546A36" w:rsidP="00546A36">
      <w:pPr>
        <w:pStyle w:val="Figurecaption"/>
        <w:spacing w:before="0" w:after="3" w:line="473" w:lineRule="auto"/>
        <w:ind w:right="144"/>
        <w:jc w:val="both"/>
        <w:rPr>
          <w:lang w:val="en-US"/>
        </w:rPr>
      </w:pPr>
      <w:r w:rsidRPr="002F5DE6">
        <w:rPr>
          <w:lang w:val="en-US" w:eastAsia="ja-JP"/>
        </w:rPr>
        <w:t>Figure S</w:t>
      </w:r>
      <w:r w:rsidR="002F5DE6" w:rsidRPr="002F5DE6">
        <w:rPr>
          <w:lang w:val="en-US" w:eastAsia="ja-JP"/>
        </w:rPr>
        <w:t>4</w:t>
      </w:r>
      <w:r w:rsidRPr="002F5DE6">
        <w:rPr>
          <w:lang w:val="en-US" w:eastAsia="ja-JP"/>
        </w:rPr>
        <w:t xml:space="preserve">e. </w:t>
      </w:r>
      <w:r w:rsidRPr="002F5DE6">
        <w:rPr>
          <w:lang w:val="en-US"/>
        </w:rPr>
        <w:t xml:space="preserve">Simulation 2 model for six vessels with different backgrounds. Total Sr vs. </w:t>
      </w:r>
      <w:r w:rsidRPr="002F5DE6">
        <w:rPr>
          <w:vertAlign w:val="superscript"/>
          <w:lang w:val="en-US"/>
        </w:rPr>
        <w:t>87</w:t>
      </w:r>
      <w:r w:rsidRPr="002F5DE6">
        <w:rPr>
          <w:lang w:val="en-US"/>
        </w:rPr>
        <w:t>Sr:</w:t>
      </w:r>
      <w:r w:rsidRPr="002F5DE6">
        <w:rPr>
          <w:vertAlign w:val="superscript"/>
          <w:lang w:val="en-US"/>
        </w:rPr>
        <w:t>86</w:t>
      </w:r>
      <w:r w:rsidRPr="002F5DE6">
        <w:rPr>
          <w:lang w:val="en-US"/>
        </w:rPr>
        <w:t xml:space="preserve">Sr ratios for both observed ratios and the source are plotted. Six 3-liter vessels were visualized as containing 500 </w:t>
      </w:r>
      <w:proofErr w:type="spellStart"/>
      <w:r w:rsidRPr="002F5DE6">
        <w:rPr>
          <w:lang w:val="en-US"/>
        </w:rPr>
        <w:t>mls</w:t>
      </w:r>
      <w:proofErr w:type="spellEnd"/>
      <w:r w:rsidRPr="002F5DE6">
        <w:rPr>
          <w:lang w:val="en-US"/>
        </w:rPr>
        <w:t xml:space="preserve"> water. These imaginary vessels of water had a Sr concentration of 995 ug/g with background </w:t>
      </w:r>
      <w:r w:rsidRPr="002F5DE6">
        <w:rPr>
          <w:vertAlign w:val="superscript"/>
          <w:lang w:val="en-US"/>
        </w:rPr>
        <w:t>87</w:t>
      </w:r>
      <w:r w:rsidRPr="002F5DE6">
        <w:rPr>
          <w:lang w:val="en-US"/>
        </w:rPr>
        <w:t>Sr:</w:t>
      </w:r>
      <w:r w:rsidRPr="002F5DE6">
        <w:rPr>
          <w:vertAlign w:val="superscript"/>
          <w:lang w:val="en-US"/>
        </w:rPr>
        <w:t>86</w:t>
      </w:r>
      <w:r w:rsidRPr="002F5DE6">
        <w:rPr>
          <w:lang w:val="en-US"/>
        </w:rPr>
        <w:t>Sr ratios varying from 0.7141 to 0.7100. Water with an increasing source ratio is defined by a convex function where the source becomes more enriched as total Sr increases in 110 ml increments every minute.</w:t>
      </w:r>
    </w:p>
    <w:p w14:paraId="24844C9D" w14:textId="77777777" w:rsidR="00546A36" w:rsidRPr="00023D70" w:rsidRDefault="00546A36" w:rsidP="00546A36">
      <w:pPr>
        <w:pStyle w:val="Figurecaption"/>
        <w:spacing w:before="0" w:after="3" w:line="473" w:lineRule="auto"/>
        <w:ind w:right="144"/>
        <w:jc w:val="both"/>
        <w:rPr>
          <w:lang w:val="en-US"/>
        </w:rPr>
      </w:pPr>
      <w:r>
        <w:rPr>
          <w:lang w:val="en-US"/>
        </w:rPr>
        <w:t>-</w:t>
      </w:r>
      <w:r w:rsidRPr="00023D70">
        <w:rPr>
          <w:lang w:val="en-US"/>
        </w:rPr>
        <w:t xml:space="preserve"> </w:t>
      </w:r>
    </w:p>
    <w:p w14:paraId="027BF29D" w14:textId="3CFEFB99" w:rsidR="00546A36" w:rsidRPr="00023D70" w:rsidRDefault="00546A36" w:rsidP="00546A36">
      <w:pPr>
        <w:pStyle w:val="Newparagraph"/>
        <w:spacing w:after="3" w:line="473" w:lineRule="auto"/>
        <w:ind w:right="144"/>
        <w:jc w:val="both"/>
        <w:rPr>
          <w:i/>
          <w:iCs/>
          <w:lang w:val="en-US" w:eastAsia="ja-JP"/>
        </w:rPr>
      </w:pPr>
      <w:r w:rsidRPr="00023D70">
        <w:rPr>
          <w:lang w:val="en-US" w:eastAsia="ja-JP"/>
        </w:rPr>
        <w:lastRenderedPageBreak/>
        <w:t xml:space="preserve">In Figure </w:t>
      </w:r>
      <w:r>
        <w:rPr>
          <w:lang w:val="en-US" w:eastAsia="ja-JP"/>
        </w:rPr>
        <w:t>S</w:t>
      </w:r>
      <w:r w:rsidR="002F5DE6">
        <w:rPr>
          <w:lang w:val="en-US" w:eastAsia="ja-JP"/>
        </w:rPr>
        <w:t>4</w:t>
      </w:r>
      <w:r w:rsidRPr="00023D70">
        <w:rPr>
          <w:lang w:val="en-US" w:eastAsia="ja-JP"/>
        </w:rPr>
        <w:t xml:space="preserve">f, </w:t>
      </w:r>
      <w:r w:rsidRPr="00023D70">
        <w:rPr>
          <w:lang w:val="en-US"/>
        </w:rPr>
        <w:t xml:space="preserve">the </w:t>
      </w:r>
      <w:r w:rsidRPr="00023D70">
        <w:rPr>
          <w:i/>
          <w:iCs/>
          <w:lang w:val="en-US"/>
        </w:rPr>
        <w:t>y</w:t>
      </w:r>
      <w:r w:rsidRPr="00023D70">
        <w:rPr>
          <w:lang w:val="en-US"/>
        </w:rPr>
        <w:t xml:space="preserve">-intercepts for the Simulation 2 relationship (six original </w:t>
      </w:r>
      <w:r w:rsidRPr="00023D70">
        <w:rPr>
          <w:vertAlign w:val="superscript"/>
          <w:lang w:val="en-US"/>
        </w:rPr>
        <w:t>86</w:t>
      </w:r>
      <w:r w:rsidRPr="00023D70">
        <w:rPr>
          <w:lang w:val="en-US"/>
        </w:rPr>
        <w:t xml:space="preserve">Sr vs. </w:t>
      </w:r>
      <w:r w:rsidRPr="00023D70">
        <w:rPr>
          <w:vertAlign w:val="superscript"/>
          <w:lang w:val="en-US"/>
        </w:rPr>
        <w:t>87</w:t>
      </w:r>
      <w:r w:rsidRPr="00023D70">
        <w:rPr>
          <w:lang w:val="en-US"/>
        </w:rPr>
        <w:t>Sr plots</w:t>
      </w:r>
      <w:r>
        <w:rPr>
          <w:lang w:val="en-US"/>
        </w:rPr>
        <w:t xml:space="preserve"> in molar units)</w:t>
      </w:r>
      <w:r w:rsidRPr="00023D70">
        <w:rPr>
          <w:lang w:val="en-US"/>
        </w:rPr>
        <w:t xml:space="preserve"> are plotted against simulated backgrounds. Background values are mathematically related to the </w:t>
      </w:r>
      <w:r w:rsidRPr="00023D70">
        <w:rPr>
          <w:i/>
          <w:iCs/>
          <w:lang w:val="en-US"/>
        </w:rPr>
        <w:t>y</w:t>
      </w:r>
      <w:r w:rsidRPr="00023D70">
        <w:rPr>
          <w:lang w:val="en-US"/>
        </w:rPr>
        <w:t xml:space="preserve">-intercept of </w:t>
      </w:r>
      <w:r w:rsidRPr="00023D70">
        <w:rPr>
          <w:vertAlign w:val="superscript"/>
          <w:lang w:val="en-US"/>
        </w:rPr>
        <w:t>86</w:t>
      </w:r>
      <w:r w:rsidRPr="00023D70">
        <w:rPr>
          <w:lang w:val="en-US"/>
        </w:rPr>
        <w:t xml:space="preserve">Sr vs. </w:t>
      </w:r>
      <w:r w:rsidRPr="00023D70">
        <w:rPr>
          <w:vertAlign w:val="superscript"/>
          <w:lang w:val="en-US"/>
        </w:rPr>
        <w:t>87</w:t>
      </w:r>
      <w:r w:rsidRPr="00023D70">
        <w:rPr>
          <w:lang w:val="en-US"/>
        </w:rPr>
        <w:t>Sr plots for both curvilinear relationships (shown here), and linear relationships (</w:t>
      </w:r>
      <w:r>
        <w:rPr>
          <w:lang w:val="en-US"/>
        </w:rPr>
        <w:t>main text</w:t>
      </w:r>
      <w:r w:rsidRPr="00023D70">
        <w:rPr>
          <w:lang w:val="en-US"/>
        </w:rPr>
        <w:t xml:space="preserve">). In this example, all </w:t>
      </w:r>
      <w:r w:rsidRPr="00023D70">
        <w:rPr>
          <w:i/>
          <w:iCs/>
          <w:lang w:val="en-US"/>
        </w:rPr>
        <w:t>y</w:t>
      </w:r>
      <w:r w:rsidRPr="00023D70">
        <w:rPr>
          <w:lang w:val="en-US"/>
        </w:rPr>
        <w:t xml:space="preserve">-intercepts were positive indicating that </w:t>
      </w:r>
      <w:r w:rsidRPr="00023D70">
        <w:rPr>
          <w:vertAlign w:val="superscript"/>
          <w:lang w:val="en-US"/>
        </w:rPr>
        <w:t>87</w:t>
      </w:r>
      <w:r w:rsidRPr="00023D70">
        <w:rPr>
          <w:lang w:val="en-US"/>
        </w:rPr>
        <w:t>Sr:</w:t>
      </w:r>
      <w:r w:rsidRPr="00023D70">
        <w:rPr>
          <w:vertAlign w:val="superscript"/>
          <w:lang w:val="en-US"/>
        </w:rPr>
        <w:t>86</w:t>
      </w:r>
      <w:r w:rsidRPr="00023D70">
        <w:rPr>
          <w:lang w:val="en-US"/>
        </w:rPr>
        <w:t xml:space="preserve">Sr ratio backgrounds were initially higher than the </w:t>
      </w:r>
      <w:r w:rsidRPr="00023D70">
        <w:rPr>
          <w:vertAlign w:val="superscript"/>
          <w:lang w:val="en-US"/>
        </w:rPr>
        <w:t>87</w:t>
      </w:r>
      <w:r w:rsidRPr="00023D70">
        <w:rPr>
          <w:lang w:val="en-US"/>
        </w:rPr>
        <w:t>Sr:</w:t>
      </w:r>
      <w:r w:rsidRPr="00023D70">
        <w:rPr>
          <w:vertAlign w:val="superscript"/>
          <w:lang w:val="en-US"/>
        </w:rPr>
        <w:t>86</w:t>
      </w:r>
      <w:r w:rsidRPr="00023D70">
        <w:rPr>
          <w:lang w:val="en-US"/>
        </w:rPr>
        <w:t>Sr source.</w:t>
      </w:r>
    </w:p>
    <w:p w14:paraId="681720C3" w14:textId="77777777" w:rsidR="00546A36" w:rsidRPr="00023D70" w:rsidRDefault="00546A36" w:rsidP="00546A36">
      <w:pPr>
        <w:spacing w:after="3" w:line="473" w:lineRule="auto"/>
        <w:ind w:right="144"/>
        <w:jc w:val="both"/>
        <w:rPr>
          <w:rFonts w:asciiTheme="majorBidi" w:hAnsiTheme="majorBidi" w:cstheme="majorBidi"/>
          <w:lang w:val="en-US" w:eastAsia="ja-JP"/>
        </w:rPr>
      </w:pPr>
      <w:r w:rsidRPr="00995C9F">
        <w:rPr>
          <w:noProof/>
        </w:rPr>
        <w:drawing>
          <wp:inline distT="0" distB="0" distL="0" distR="0" wp14:anchorId="7ED514F1" wp14:editId="4F915444">
            <wp:extent cx="4704762" cy="2733333"/>
            <wp:effectExtent l="0" t="0" r="635" b="0"/>
            <wp:docPr id="742959604" name="Picture 1" descr="A picture containing text, screenshot, line, pl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2959604" name="Picture 1" descr="A picture containing text, screenshot, line, plot&#10;&#10;Description automatically generated"/>
                    <pic:cNvPicPr/>
                  </pic:nvPicPr>
                  <pic:blipFill>
                    <a:blip r:embed="rId24"/>
                    <a:stretch>
                      <a:fillRect/>
                    </a:stretch>
                  </pic:blipFill>
                  <pic:spPr>
                    <a:xfrm>
                      <a:off x="0" y="0"/>
                      <a:ext cx="4704762" cy="2733333"/>
                    </a:xfrm>
                    <a:prstGeom prst="rect">
                      <a:avLst/>
                    </a:prstGeom>
                  </pic:spPr>
                </pic:pic>
              </a:graphicData>
            </a:graphic>
          </wp:inline>
        </w:drawing>
      </w:r>
    </w:p>
    <w:p w14:paraId="5A50CDBB" w14:textId="12158CE9" w:rsidR="00546A36" w:rsidRDefault="00546A36" w:rsidP="00546A36">
      <w:pPr>
        <w:pStyle w:val="Figurecaption"/>
        <w:spacing w:before="0" w:after="3" w:line="473" w:lineRule="auto"/>
        <w:ind w:right="144"/>
        <w:jc w:val="both"/>
        <w:rPr>
          <w:lang w:val="en-US"/>
        </w:rPr>
      </w:pPr>
      <w:r w:rsidRPr="00023D70">
        <w:rPr>
          <w:lang w:val="en-US" w:eastAsia="ja-JP"/>
        </w:rPr>
        <w:t xml:space="preserve">Figure </w:t>
      </w:r>
      <w:r>
        <w:rPr>
          <w:lang w:val="en-US" w:eastAsia="ja-JP"/>
        </w:rPr>
        <w:t>S</w:t>
      </w:r>
      <w:r w:rsidR="002F5DE6">
        <w:rPr>
          <w:lang w:val="en-US" w:eastAsia="ja-JP"/>
        </w:rPr>
        <w:t>4</w:t>
      </w:r>
      <w:r w:rsidRPr="00023D70">
        <w:rPr>
          <w:lang w:val="en-US" w:eastAsia="ja-JP"/>
        </w:rPr>
        <w:t xml:space="preserve">f. Data for the </w:t>
      </w:r>
      <w:r w:rsidRPr="00023D70">
        <w:rPr>
          <w:lang w:val="en-US"/>
        </w:rPr>
        <w:t xml:space="preserve">Simulation 2 model for six containers with different backgrounds shown in Figure </w:t>
      </w:r>
      <w:r>
        <w:rPr>
          <w:lang w:val="en-US"/>
        </w:rPr>
        <w:t>S</w:t>
      </w:r>
      <w:r w:rsidR="002F5DE6">
        <w:rPr>
          <w:lang w:val="en-US"/>
        </w:rPr>
        <w:t>4</w:t>
      </w:r>
      <w:r w:rsidRPr="00023D70">
        <w:rPr>
          <w:lang w:val="en-US"/>
        </w:rPr>
        <w:t xml:space="preserve">e. The </w:t>
      </w:r>
      <w:r w:rsidRPr="00023D70">
        <w:rPr>
          <w:i/>
          <w:iCs/>
          <w:lang w:val="en-US"/>
        </w:rPr>
        <w:t>y</w:t>
      </w:r>
      <w:r w:rsidRPr="00023D70">
        <w:rPr>
          <w:lang w:val="en-US"/>
        </w:rPr>
        <w:t xml:space="preserve">-intercept for the simulated relationship (original </w:t>
      </w:r>
      <w:r w:rsidRPr="00023D70">
        <w:rPr>
          <w:vertAlign w:val="superscript"/>
          <w:lang w:val="en-US"/>
        </w:rPr>
        <w:t>86</w:t>
      </w:r>
      <w:r w:rsidRPr="00023D70">
        <w:rPr>
          <w:lang w:val="en-US"/>
        </w:rPr>
        <w:t xml:space="preserve">Sr vs. </w:t>
      </w:r>
      <w:r w:rsidRPr="00023D70">
        <w:rPr>
          <w:vertAlign w:val="superscript"/>
          <w:lang w:val="en-US"/>
        </w:rPr>
        <w:t>87</w:t>
      </w:r>
      <w:r w:rsidRPr="00023D70">
        <w:rPr>
          <w:lang w:val="en-US"/>
        </w:rPr>
        <w:t xml:space="preserve">Sr plots) for six 3-liter containers is plotted against the background used for each individual vessel in the simulation. This imaginary water had a Sr concentration of 995 ug/g with background </w:t>
      </w:r>
      <w:r w:rsidRPr="00023D70">
        <w:rPr>
          <w:vertAlign w:val="superscript"/>
          <w:lang w:val="en-US"/>
        </w:rPr>
        <w:t>87</w:t>
      </w:r>
      <w:r w:rsidRPr="00023D70">
        <w:rPr>
          <w:lang w:val="en-US"/>
        </w:rPr>
        <w:t>Sr:</w:t>
      </w:r>
      <w:r w:rsidRPr="00023D70">
        <w:rPr>
          <w:vertAlign w:val="superscript"/>
          <w:lang w:val="en-US"/>
        </w:rPr>
        <w:t>86</w:t>
      </w:r>
      <w:r w:rsidRPr="00023D70">
        <w:rPr>
          <w:lang w:val="en-US"/>
        </w:rPr>
        <w:t>Sr ratios varying from 0.7141 to 0.7100. Water with an increasing source ratio is defined by a convex function where the source becomes more enriched as total Sr increases in 110 ml increments every minute.</w:t>
      </w:r>
    </w:p>
    <w:p w14:paraId="68F15732" w14:textId="77777777" w:rsidR="00546A36" w:rsidRPr="00023D70" w:rsidRDefault="00546A36" w:rsidP="00546A36">
      <w:pPr>
        <w:pStyle w:val="Figurecaption"/>
        <w:spacing w:before="0" w:after="3" w:line="473" w:lineRule="auto"/>
        <w:ind w:right="144"/>
        <w:jc w:val="both"/>
        <w:rPr>
          <w:lang w:val="en-US"/>
        </w:rPr>
      </w:pPr>
      <w:r>
        <w:rPr>
          <w:lang w:val="en-US"/>
        </w:rPr>
        <w:t>-</w:t>
      </w:r>
      <w:r w:rsidRPr="00023D70">
        <w:rPr>
          <w:lang w:val="en-US"/>
        </w:rPr>
        <w:t xml:space="preserve"> </w:t>
      </w:r>
    </w:p>
    <w:p w14:paraId="0DAB1852" w14:textId="05EEFAD8" w:rsidR="00546A36" w:rsidRDefault="00546A36" w:rsidP="00546A36">
      <w:pPr>
        <w:pStyle w:val="Paragraph"/>
        <w:spacing w:after="3" w:line="473" w:lineRule="auto"/>
        <w:ind w:right="144"/>
        <w:jc w:val="both"/>
        <w:rPr>
          <w:bCs/>
          <w:lang w:val="en-US"/>
        </w:rPr>
      </w:pPr>
      <w:r>
        <w:rPr>
          <w:lang w:val="en-US"/>
        </w:rPr>
        <w:tab/>
      </w:r>
      <w:r w:rsidRPr="00023D70">
        <w:rPr>
          <w:lang w:val="en-US"/>
        </w:rPr>
        <w:t xml:space="preserve">The </w:t>
      </w:r>
      <w:r>
        <w:rPr>
          <w:lang w:val="en-US"/>
        </w:rPr>
        <w:t>S</w:t>
      </w:r>
      <w:r w:rsidRPr="00023D70">
        <w:rPr>
          <w:lang w:val="en-US"/>
        </w:rPr>
        <w:t xml:space="preserve">imulation </w:t>
      </w:r>
      <w:r>
        <w:rPr>
          <w:lang w:val="en-US"/>
        </w:rPr>
        <w:t xml:space="preserve">2 </w:t>
      </w:r>
      <w:r w:rsidRPr="00023D70">
        <w:rPr>
          <w:lang w:val="en-US"/>
        </w:rPr>
        <w:t xml:space="preserve">results also match patterns observed in real data for </w:t>
      </w:r>
      <w:r>
        <w:rPr>
          <w:lang w:val="en-US"/>
        </w:rPr>
        <w:t>a</w:t>
      </w:r>
      <w:r w:rsidRPr="00023D70">
        <w:rPr>
          <w:lang w:val="en-US"/>
        </w:rPr>
        <w:t xml:space="preserve"> </w:t>
      </w:r>
      <w:r>
        <w:rPr>
          <w:lang w:val="en-US"/>
        </w:rPr>
        <w:t xml:space="preserve">European mammoth and a </w:t>
      </w:r>
      <w:r w:rsidRPr="00023D70">
        <w:rPr>
          <w:lang w:val="en-US"/>
        </w:rPr>
        <w:t>Cone Pond water inlet</w:t>
      </w:r>
      <w:r>
        <w:rPr>
          <w:lang w:val="en-US"/>
        </w:rPr>
        <w:t xml:space="preserve"> presented in Moots et al. (2024; Supplemental Material </w:t>
      </w:r>
      <w:r>
        <w:rPr>
          <w:lang w:val="en-US"/>
        </w:rPr>
        <w:lastRenderedPageBreak/>
        <w:t xml:space="preserve">2; </w:t>
      </w:r>
      <w:r w:rsidRPr="00505461">
        <w:rPr>
          <w:bCs/>
          <w:lang w:val="en-US"/>
        </w:rPr>
        <w:t xml:space="preserve">A Mathematical Explanation for Why Ratio-Based Isotopic Analyses are </w:t>
      </w:r>
      <w:r>
        <w:rPr>
          <w:bCs/>
          <w:lang w:val="en-US"/>
        </w:rPr>
        <w:t xml:space="preserve">Commonly </w:t>
      </w:r>
      <w:r w:rsidRPr="00505461">
        <w:rPr>
          <w:bCs/>
          <w:lang w:val="en-US"/>
        </w:rPr>
        <w:t>Misleading: Data Re-evaluations for Sr Isotopes</w:t>
      </w:r>
      <w:r>
        <w:rPr>
          <w:bCs/>
          <w:lang w:val="en-US"/>
        </w:rPr>
        <w:t xml:space="preserve">). The simulation patterns also match </w:t>
      </w:r>
      <w:r>
        <w:rPr>
          <w:lang w:val="en-US"/>
        </w:rPr>
        <w:t>an</w:t>
      </w:r>
      <w:r w:rsidRPr="00023D70">
        <w:rPr>
          <w:lang w:val="en-US"/>
        </w:rPr>
        <w:t xml:space="preserve"> early time period for </w:t>
      </w:r>
      <w:r>
        <w:rPr>
          <w:lang w:val="en-US"/>
        </w:rPr>
        <w:t>a</w:t>
      </w:r>
      <w:r w:rsidRPr="00023D70">
        <w:rPr>
          <w:lang w:val="en-US"/>
        </w:rPr>
        <w:t xml:space="preserve"> </w:t>
      </w:r>
      <w:proofErr w:type="spellStart"/>
      <w:r w:rsidRPr="00023D70">
        <w:rPr>
          <w:lang w:val="en-US"/>
        </w:rPr>
        <w:t>Songjia</w:t>
      </w:r>
      <w:proofErr w:type="spellEnd"/>
      <w:r w:rsidRPr="00023D70">
        <w:rPr>
          <w:lang w:val="en-US"/>
        </w:rPr>
        <w:t xml:space="preserve"> Cave speleothem</w:t>
      </w:r>
      <w:r>
        <w:rPr>
          <w:lang w:val="en-US"/>
        </w:rPr>
        <w:t xml:space="preserve"> (Moots et al. (2024).</w:t>
      </w:r>
    </w:p>
    <w:p w14:paraId="77D0BEA1" w14:textId="77777777" w:rsidR="00546A36" w:rsidRPr="00023D70" w:rsidRDefault="00546A36" w:rsidP="00546A36">
      <w:pPr>
        <w:pStyle w:val="Paragraph"/>
        <w:spacing w:after="3" w:line="473" w:lineRule="auto"/>
        <w:ind w:right="144"/>
        <w:jc w:val="both"/>
        <w:rPr>
          <w:lang w:val="en-US"/>
        </w:rPr>
      </w:pPr>
      <w:r>
        <w:rPr>
          <w:bCs/>
          <w:lang w:val="en-US"/>
        </w:rPr>
        <w:tab/>
      </w:r>
      <w:r w:rsidRPr="00023D70">
        <w:rPr>
          <w:lang w:val="en-US"/>
        </w:rPr>
        <w:t xml:space="preserve">For Simulation 2, the exact polynomial equations describing the changing sources were known and backgrounds could be predicted. However, in real datasets, it will be difficult to extrapolate beyond the range of observed data points to identify the </w:t>
      </w:r>
      <w:r w:rsidRPr="00023D70">
        <w:rPr>
          <w:i/>
          <w:iCs/>
          <w:lang w:val="en-US"/>
        </w:rPr>
        <w:t>y</w:t>
      </w:r>
      <w:r w:rsidRPr="00023D70">
        <w:rPr>
          <w:lang w:val="en-US"/>
        </w:rPr>
        <w:t xml:space="preserve">-intercept of a complex curvilinear function. Difficulties in defining backgrounds for linear denominator vs. numerator functions have been described </w:t>
      </w:r>
      <w:r>
        <w:rPr>
          <w:lang w:val="en-US"/>
        </w:rPr>
        <w:t>(main text</w:t>
      </w:r>
      <w:r w:rsidRPr="00023D70">
        <w:rPr>
          <w:lang w:val="en-US"/>
        </w:rPr>
        <w:t>). The task of identifying backgrounds for curvilinear functions in real datasets is even more difficult.</w:t>
      </w:r>
    </w:p>
    <w:p w14:paraId="1E2E1336" w14:textId="03F64D1C" w:rsidR="00546A36" w:rsidRDefault="00546A36" w:rsidP="00546A36">
      <w:pPr>
        <w:pStyle w:val="Paragraph"/>
        <w:spacing w:before="0" w:after="3" w:line="473" w:lineRule="auto"/>
        <w:ind w:right="144" w:firstLine="720"/>
        <w:jc w:val="both"/>
        <w:rPr>
          <w:lang w:val="en-US"/>
        </w:rPr>
      </w:pPr>
      <w:r w:rsidRPr="00023D70">
        <w:rPr>
          <w:lang w:val="en-US"/>
        </w:rPr>
        <w:t xml:space="preserve">Many systems are characterized by periods of elemental gain followed by elemental loss. For example, hibernating bears and deciduous tree fruit systems, go through many gain and loss cycles. Both linear and curvilinear denominator vs. numerator relationships can be complicated by this system history. Isotopic gain patterns may not be the same as isotopic loss patterns. With the </w:t>
      </w:r>
      <w:r w:rsidR="00663FE4">
        <w:rPr>
          <w:lang w:val="en-US"/>
        </w:rPr>
        <w:t>beginning</w:t>
      </w:r>
      <w:r w:rsidRPr="00023D70">
        <w:rPr>
          <w:lang w:val="en-US"/>
        </w:rPr>
        <w:t xml:space="preserve"> of each new gain cycle, the system has a new start point. The </w:t>
      </w:r>
      <w:r w:rsidRPr="00023D70">
        <w:rPr>
          <w:i/>
          <w:iCs/>
          <w:lang w:val="en-US"/>
        </w:rPr>
        <w:t>y</w:t>
      </w:r>
      <w:r w:rsidRPr="00023D70">
        <w:rPr>
          <w:lang w:val="en-US"/>
        </w:rPr>
        <w:t>-intercept of linear, concave</w:t>
      </w:r>
      <w:r w:rsidR="00663FE4">
        <w:rPr>
          <w:lang w:val="en-US"/>
        </w:rPr>
        <w:t xml:space="preserve"> </w:t>
      </w:r>
      <w:r w:rsidRPr="00023D70">
        <w:rPr>
          <w:lang w:val="en-US"/>
        </w:rPr>
        <w:t>and convex functions with a complicated history may be difficult to evaluate and interpret. Nonetheless, changing slopes or curvature evaluations (derivatives) still define how sources change.</w:t>
      </w:r>
    </w:p>
    <w:p w14:paraId="3E18885E" w14:textId="77777777" w:rsidR="00546A36" w:rsidRPr="004C0B53" w:rsidRDefault="00546A36" w:rsidP="00546A36">
      <w:pPr>
        <w:pStyle w:val="Newparagraph"/>
        <w:spacing w:after="3" w:line="473" w:lineRule="auto"/>
        <w:ind w:right="144" w:firstLine="0"/>
        <w:jc w:val="both"/>
        <w:rPr>
          <w:b/>
          <w:bCs/>
          <w:lang w:val="en-US" w:eastAsia="ja-JP"/>
        </w:rPr>
      </w:pPr>
      <w:r>
        <w:rPr>
          <w:b/>
          <w:bCs/>
          <w:lang w:val="en-US" w:eastAsia="ja-JP"/>
        </w:rPr>
        <w:t xml:space="preserve">11. SIMULATION DEMONSTRATING WHY NOT ALL TREATMENTS IN AN EXPERIMENTAL STUDY ARE SIMILARLY CONFOUNDED </w:t>
      </w:r>
    </w:p>
    <w:p w14:paraId="4E346241" w14:textId="6776B577" w:rsidR="00546A36" w:rsidRDefault="00546A36" w:rsidP="00546A36">
      <w:pPr>
        <w:pStyle w:val="Newparagraph"/>
        <w:spacing w:after="3" w:line="473" w:lineRule="auto"/>
        <w:ind w:right="144"/>
        <w:jc w:val="both"/>
      </w:pPr>
      <w:r>
        <w:t>Experimental datasets, even when all treatments are defined with linear denominator vs. numerator functions, may not be similarly confounded for individual treatments. T</w:t>
      </w:r>
      <w:r w:rsidRPr="00C11C76">
        <w:t xml:space="preserve">he size of the non-zero </w:t>
      </w:r>
      <w:r w:rsidRPr="00C11C76">
        <w:rPr>
          <w:i/>
          <w:iCs/>
        </w:rPr>
        <w:t>y</w:t>
      </w:r>
      <w:r w:rsidRPr="00C11C76">
        <w:t xml:space="preserve">-intercept and the distance </w:t>
      </w:r>
      <w:r>
        <w:t xml:space="preserve">of data points </w:t>
      </w:r>
      <w:r w:rsidRPr="00C11C76">
        <w:t>from the origin affect isotopic ratio</w:t>
      </w:r>
      <w:r>
        <w:t>’</w:t>
      </w:r>
      <w:r w:rsidRPr="00C11C76">
        <w:t xml:space="preserve">s </w:t>
      </w:r>
      <w:r>
        <w:t xml:space="preserve">confounding severity. The effects of different </w:t>
      </w:r>
      <w:r w:rsidRPr="009F6450">
        <w:rPr>
          <w:i/>
          <w:iCs/>
        </w:rPr>
        <w:t>y</w:t>
      </w:r>
      <w:r>
        <w:t xml:space="preserve">-intercepts and the position of points (both close </w:t>
      </w:r>
      <w:r>
        <w:lastRenderedPageBreak/>
        <w:t xml:space="preserve">to and farther away from the origin) can be clearly seen in </w:t>
      </w:r>
      <w:r w:rsidR="00DD0A09">
        <w:t xml:space="preserve">main text </w:t>
      </w:r>
      <w:r>
        <w:t xml:space="preserve">Figures 1b and 1d. </w:t>
      </w:r>
      <w:r w:rsidRPr="00C11C76">
        <w:t xml:space="preserve">The distance from the origin is important because </w:t>
      </w:r>
      <w:r>
        <w:t xml:space="preserve">at </w:t>
      </w:r>
      <w:r w:rsidRPr="00C11C76">
        <w:t>large values of the denominator</w:t>
      </w:r>
      <w:r>
        <w:t>,</w:t>
      </w:r>
      <w:r w:rsidRPr="00C11C76">
        <w:t xml:space="preserve"> </w:t>
      </w:r>
      <w:r>
        <w:t>a</w:t>
      </w:r>
      <w:r w:rsidRPr="00C11C76">
        <w:t xml:space="preserve"> ratio will approach the </w:t>
      </w:r>
      <w:r>
        <w:t xml:space="preserve">denominator vs. numerator </w:t>
      </w:r>
      <w:r w:rsidRPr="00C11C76">
        <w:t xml:space="preserve">slope. </w:t>
      </w:r>
      <w:r>
        <w:t xml:space="preserve">For example, </w:t>
      </w:r>
      <w:r w:rsidR="00DD0A09">
        <w:t xml:space="preserve">for </w:t>
      </w:r>
      <w:r>
        <w:t xml:space="preserve">treatments with similar slopes and positive denominator vs. numerator </w:t>
      </w:r>
      <w:r w:rsidRPr="00AE280C">
        <w:rPr>
          <w:i/>
          <w:iCs/>
        </w:rPr>
        <w:t>y</w:t>
      </w:r>
      <w:r>
        <w:t>-intercepts, an average isotope ratio will be larger for a treatment with many low denominator values than for a treatment with higher denominator values.</w:t>
      </w:r>
    </w:p>
    <w:p w14:paraId="0BDA2835" w14:textId="77777777" w:rsidR="008E2C52" w:rsidRDefault="00546A36" w:rsidP="00546A36">
      <w:pPr>
        <w:pStyle w:val="Newparagraph"/>
        <w:spacing w:after="3" w:line="473" w:lineRule="auto"/>
        <w:ind w:right="144"/>
        <w:jc w:val="both"/>
      </w:pPr>
      <w:r>
        <w:t xml:space="preserve">The following simulation (although not a perfect model) conceptionally outlines how approximated quantitative numerical indicators of the degree of isotopic confounding can be theoretically derived. Also demonstrated is how one could predict which of several treatments are likely most confounded. This is done by combining both </w:t>
      </w:r>
      <w:r w:rsidRPr="009F6450">
        <w:rPr>
          <w:i/>
          <w:iCs/>
        </w:rPr>
        <w:t>y</w:t>
      </w:r>
      <w:r>
        <w:t xml:space="preserve">-intercept and denominator size effects. </w:t>
      </w:r>
    </w:p>
    <w:p w14:paraId="7C551689" w14:textId="4B452516" w:rsidR="00546A36" w:rsidRDefault="00546A36" w:rsidP="00546A36">
      <w:pPr>
        <w:pStyle w:val="Newparagraph"/>
        <w:spacing w:after="3" w:line="473" w:lineRule="auto"/>
        <w:ind w:right="144"/>
        <w:jc w:val="both"/>
      </w:pPr>
      <w:r>
        <w:t>This simulation represents the common situation where points of different treatments fall on different denominator vs. numerator regression lines. In Figure S</w:t>
      </w:r>
      <w:r w:rsidR="001D1147">
        <w:t>5</w:t>
      </w:r>
      <w:r>
        <w:t xml:space="preserve">a, data used for </w:t>
      </w:r>
      <w:r w:rsidR="008E2C52">
        <w:t xml:space="preserve">main text </w:t>
      </w:r>
      <w:r>
        <w:t>Figure 1b (</w:t>
      </w:r>
      <w:proofErr w:type="spellStart"/>
      <w:r>
        <w:t>umoles</w:t>
      </w:r>
      <w:proofErr w:type="spellEnd"/>
      <w:r>
        <w:t xml:space="preserve"> </w:t>
      </w:r>
      <w:r w:rsidRPr="00142295">
        <w:rPr>
          <w:vertAlign w:val="superscript"/>
        </w:rPr>
        <w:t>86</w:t>
      </w:r>
      <w:r>
        <w:t xml:space="preserve">Sr vs. </w:t>
      </w:r>
      <w:r w:rsidRPr="00142295">
        <w:rPr>
          <w:vertAlign w:val="superscript"/>
        </w:rPr>
        <w:t>87</w:t>
      </w:r>
      <w:r>
        <w:t>Sr:</w:t>
      </w:r>
      <w:r w:rsidRPr="00142295">
        <w:rPr>
          <w:vertAlign w:val="superscript"/>
        </w:rPr>
        <w:t>86</w:t>
      </w:r>
      <w:r>
        <w:t>Sr ratio) have been replotted. There are 15 different denominator concentrations (</w:t>
      </w:r>
      <w:proofErr w:type="spellStart"/>
      <w:r>
        <w:t>umole</w:t>
      </w:r>
      <w:proofErr w:type="spellEnd"/>
      <w:r>
        <w:t xml:space="preserve">/ml) for each </w:t>
      </w:r>
      <w:r w:rsidRPr="00142295">
        <w:rPr>
          <w:i/>
          <w:iCs/>
        </w:rPr>
        <w:t>y</w:t>
      </w:r>
      <w:r>
        <w:t xml:space="preserve">-intercept in this version of the figure. These 15 individual points have been combined to form five different experimental categories (three points each). The variability within each </w:t>
      </w:r>
      <w:r w:rsidRPr="002F1D03">
        <w:rPr>
          <w:i/>
          <w:iCs/>
        </w:rPr>
        <w:t>y</w:t>
      </w:r>
      <w:r>
        <w:t>-intercept data range category is entirely due to isotopic scaling since the data is derived from perfect linear denominator vs. numerator relationships all with the same slope (0.7091).</w:t>
      </w:r>
    </w:p>
    <w:p w14:paraId="674E8752" w14:textId="77777777" w:rsidR="00546A36" w:rsidRDefault="00546A36" w:rsidP="00546A36">
      <w:pPr>
        <w:spacing w:after="3" w:line="473" w:lineRule="auto"/>
        <w:ind w:right="144" w:firstLine="720"/>
        <w:jc w:val="both"/>
      </w:pPr>
      <w:r>
        <w:t xml:space="preserve">The values for </w:t>
      </w:r>
      <w:proofErr w:type="spellStart"/>
      <w:r>
        <w:t>umole</w:t>
      </w:r>
      <w:proofErr w:type="spellEnd"/>
      <w:r>
        <w:t xml:space="preserve">/ml concentrations for each group are listed above each category division. For example, </w:t>
      </w:r>
      <w:proofErr w:type="spellStart"/>
      <w:r>
        <w:t>conc</w:t>
      </w:r>
      <w:proofErr w:type="spellEnd"/>
      <w:r>
        <w:t xml:space="preserve"> 1, 2, 3 refers to the set of points on each </w:t>
      </w:r>
      <w:r w:rsidRPr="00142295">
        <w:rPr>
          <w:i/>
          <w:iCs/>
        </w:rPr>
        <w:t>y</w:t>
      </w:r>
      <w:r>
        <w:t xml:space="preserve">-intercept line that correspond to the category defined by 1, 2, and 3 </w:t>
      </w:r>
      <w:proofErr w:type="spellStart"/>
      <w:r>
        <w:t>umole</w:t>
      </w:r>
      <w:proofErr w:type="spellEnd"/>
      <w:r>
        <w:t xml:space="preserve">/ml concentrations of </w:t>
      </w:r>
      <w:r w:rsidRPr="00090E87">
        <w:rPr>
          <w:vertAlign w:val="superscript"/>
        </w:rPr>
        <w:t>86</w:t>
      </w:r>
      <w:r>
        <w:t xml:space="preserve">Sr. The </w:t>
      </w:r>
      <w:r w:rsidRPr="00090E87">
        <w:rPr>
          <w:vertAlign w:val="superscript"/>
        </w:rPr>
        <w:t>86</w:t>
      </w:r>
      <w:r>
        <w:t xml:space="preserve">Sr concentrations (2, 5, 8, 11, and 14) listed in bold represent the median concentration values of each of the three </w:t>
      </w:r>
      <w:r w:rsidRPr="006A7807">
        <w:rPr>
          <w:i/>
          <w:iCs/>
        </w:rPr>
        <w:t>y</w:t>
      </w:r>
      <w:r>
        <w:t xml:space="preserve">-intercept groups for the five different </w:t>
      </w:r>
      <w:r w:rsidRPr="006A7807">
        <w:rPr>
          <w:vertAlign w:val="superscript"/>
        </w:rPr>
        <w:t>86</w:t>
      </w:r>
      <w:r>
        <w:t>Sr data ranges. Some of the intercept-</w:t>
      </w:r>
      <w:r>
        <w:lastRenderedPageBreak/>
        <w:t xml:space="preserve">denominator categories are more variable (more confounded) than others. A standard deviation for the three points in each of 15 intercept-denominator categories can be calculated and represents the “confoundedness” of the category. Fifteen “confoundedness” values (standard deviations for three points) can be calculated (five concentration categories and three </w:t>
      </w:r>
      <w:r w:rsidRPr="00ED64CF">
        <w:rPr>
          <w:i/>
          <w:iCs/>
        </w:rPr>
        <w:t>y</w:t>
      </w:r>
      <w:r>
        <w:t>-intercept groups).</w:t>
      </w:r>
    </w:p>
    <w:p w14:paraId="4AAA30E0" w14:textId="77777777" w:rsidR="00546A36" w:rsidRDefault="00546A36" w:rsidP="00546A36">
      <w:pPr>
        <w:spacing w:after="3" w:line="473" w:lineRule="auto"/>
        <w:ind w:right="144"/>
        <w:jc w:val="both"/>
      </w:pPr>
      <w:r w:rsidRPr="001E5D84">
        <w:rPr>
          <w:noProof/>
        </w:rPr>
        <w:drawing>
          <wp:inline distT="0" distB="0" distL="0" distR="0" wp14:anchorId="37DDF08F" wp14:editId="58626B33">
            <wp:extent cx="4580952" cy="2752381"/>
            <wp:effectExtent l="0" t="0" r="0" b="0"/>
            <wp:docPr id="4079304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930462" name=""/>
                    <pic:cNvPicPr/>
                  </pic:nvPicPr>
                  <pic:blipFill>
                    <a:blip r:embed="rId25"/>
                    <a:stretch>
                      <a:fillRect/>
                    </a:stretch>
                  </pic:blipFill>
                  <pic:spPr>
                    <a:xfrm>
                      <a:off x="0" y="0"/>
                      <a:ext cx="4580952" cy="2752381"/>
                    </a:xfrm>
                    <a:prstGeom prst="rect">
                      <a:avLst/>
                    </a:prstGeom>
                  </pic:spPr>
                </pic:pic>
              </a:graphicData>
            </a:graphic>
          </wp:inline>
        </w:drawing>
      </w:r>
    </w:p>
    <w:p w14:paraId="7E21E447" w14:textId="2D4A61EB" w:rsidR="00546A36" w:rsidRDefault="00546A36" w:rsidP="00546A36">
      <w:pPr>
        <w:spacing w:after="3" w:line="473" w:lineRule="auto"/>
        <w:ind w:right="144"/>
        <w:jc w:val="both"/>
      </w:pPr>
      <w:r>
        <w:t>Figure S</w:t>
      </w:r>
      <w:r w:rsidR="001D1147">
        <w:t>5</w:t>
      </w:r>
      <w:r>
        <w:t xml:space="preserve">a. </w:t>
      </w:r>
      <w:r w:rsidRPr="00142295">
        <w:rPr>
          <w:vertAlign w:val="superscript"/>
        </w:rPr>
        <w:t>86</w:t>
      </w:r>
      <w:r>
        <w:t>Sr concentrations (</w:t>
      </w:r>
      <w:proofErr w:type="spellStart"/>
      <w:r>
        <w:t>umole</w:t>
      </w:r>
      <w:proofErr w:type="spellEnd"/>
      <w:r>
        <w:t xml:space="preserve">/ml) vs. </w:t>
      </w:r>
      <w:r w:rsidRPr="00142295">
        <w:rPr>
          <w:vertAlign w:val="superscript"/>
        </w:rPr>
        <w:t>87</w:t>
      </w:r>
      <w:r>
        <w:t>Sr:</w:t>
      </w:r>
      <w:r w:rsidRPr="00142295">
        <w:rPr>
          <w:vertAlign w:val="superscript"/>
        </w:rPr>
        <w:t>86</w:t>
      </w:r>
      <w:r>
        <w:t xml:space="preserve">Sr ratio </w:t>
      </w:r>
      <w:proofErr w:type="gramStart"/>
      <w:r>
        <w:t>similar to</w:t>
      </w:r>
      <w:proofErr w:type="gramEnd"/>
      <w:r>
        <w:t xml:space="preserve"> the values shown </w:t>
      </w:r>
      <w:r w:rsidR="00C54288">
        <w:t xml:space="preserve">in main text </w:t>
      </w:r>
      <w:r>
        <w:t>Figure 1b. There are 15 different denominator concentrations (</w:t>
      </w:r>
      <w:proofErr w:type="spellStart"/>
      <w:r>
        <w:t>umole</w:t>
      </w:r>
      <w:proofErr w:type="spellEnd"/>
      <w:r>
        <w:t xml:space="preserve">/ml) for each </w:t>
      </w:r>
      <w:r w:rsidRPr="00142295">
        <w:rPr>
          <w:i/>
          <w:iCs/>
        </w:rPr>
        <w:t>y</w:t>
      </w:r>
      <w:r>
        <w:t xml:space="preserve">-intercept in this version of the figure. These 15 individual points have been combined to form 5 different experimental categories. The </w:t>
      </w:r>
      <w:r w:rsidRPr="00090E87">
        <w:rPr>
          <w:vertAlign w:val="superscript"/>
        </w:rPr>
        <w:t>86</w:t>
      </w:r>
      <w:r>
        <w:t xml:space="preserve">Sr concentrations (2, 5, 8, 11, and 14) listed in bold represent the median concentration values of each of the three </w:t>
      </w:r>
      <w:r w:rsidRPr="006A7807">
        <w:rPr>
          <w:i/>
          <w:iCs/>
        </w:rPr>
        <w:t>y</w:t>
      </w:r>
      <w:r>
        <w:t xml:space="preserve">-intercept groups for the five different </w:t>
      </w:r>
      <w:r w:rsidRPr="006A7807">
        <w:rPr>
          <w:vertAlign w:val="superscript"/>
        </w:rPr>
        <w:t>86</w:t>
      </w:r>
      <w:r>
        <w:t xml:space="preserve">Sr data ranges. Nine replicates in simulated treatments can be created by assigning different categories on the same regression line to a particular treatment. For example, values in treatment 1 (largest </w:t>
      </w:r>
      <w:r w:rsidRPr="00FA07B6">
        <w:rPr>
          <w:i/>
          <w:iCs/>
        </w:rPr>
        <w:t>y</w:t>
      </w:r>
      <w:r>
        <w:t>-intercept [0.003] for this simulation) are marked with vertical arrows. This treatment is identified as 0.003 (11,8,5) in Figures S</w:t>
      </w:r>
      <w:r w:rsidR="001D1147">
        <w:t>5</w:t>
      </w:r>
      <w:r>
        <w:t>b, S</w:t>
      </w:r>
      <w:r w:rsidR="001D1147">
        <w:t>5</w:t>
      </w:r>
      <w:r>
        <w:t>c, and S</w:t>
      </w:r>
      <w:r w:rsidR="001D1147">
        <w:t>5</w:t>
      </w:r>
      <w:r>
        <w:t>e.</w:t>
      </w:r>
    </w:p>
    <w:p w14:paraId="753F6F00" w14:textId="77777777" w:rsidR="00546A36" w:rsidRDefault="00546A36" w:rsidP="00546A36">
      <w:pPr>
        <w:spacing w:after="3" w:line="473" w:lineRule="auto"/>
        <w:ind w:right="144"/>
        <w:jc w:val="both"/>
      </w:pPr>
      <w:r>
        <w:t>-</w:t>
      </w:r>
    </w:p>
    <w:p w14:paraId="1D9252E8" w14:textId="27DFB920" w:rsidR="00546A36" w:rsidRDefault="00546A36" w:rsidP="00546A36">
      <w:pPr>
        <w:spacing w:after="3" w:line="473" w:lineRule="auto"/>
        <w:ind w:right="144" w:firstLine="720"/>
        <w:jc w:val="both"/>
      </w:pPr>
      <w:r>
        <w:lastRenderedPageBreak/>
        <w:t>The standard deviations for six simulated treatments, consisting of 9 points each from a combined group of three intercept</w:t>
      </w:r>
      <w:r w:rsidR="00C54288">
        <w:t>-</w:t>
      </w:r>
      <w:r>
        <w:t xml:space="preserve">denominator categories, all with an </w:t>
      </w:r>
      <w:r w:rsidRPr="00CD46AA">
        <w:rPr>
          <w:vertAlign w:val="superscript"/>
        </w:rPr>
        <w:t>87</w:t>
      </w:r>
      <w:r>
        <w:t>Sr:</w:t>
      </w:r>
      <w:r w:rsidRPr="00CD46AA">
        <w:rPr>
          <w:vertAlign w:val="superscript"/>
        </w:rPr>
        <w:t>86</w:t>
      </w:r>
      <w:r>
        <w:t xml:space="preserve">Sr source </w:t>
      </w:r>
      <w:proofErr w:type="gramStart"/>
      <w:r>
        <w:t>similar to</w:t>
      </w:r>
      <w:proofErr w:type="gramEnd"/>
      <w:r>
        <w:t xml:space="preserve"> seawater can be calculated. The relationship between 1/median category values (</w:t>
      </w:r>
      <w:proofErr w:type="spellStart"/>
      <w:r>
        <w:t>umoles</w:t>
      </w:r>
      <w:proofErr w:type="spellEnd"/>
      <w:r>
        <w:t>/ml) squared and the standard deviation for each 3-point category</w:t>
      </w:r>
      <w:r w:rsidR="00C54288">
        <w:t xml:space="preserve"> that when combined define a </w:t>
      </w:r>
      <w:proofErr w:type="gramStart"/>
      <w:r w:rsidR="00C54288">
        <w:t>nine point</w:t>
      </w:r>
      <w:proofErr w:type="gramEnd"/>
      <w:r w:rsidR="00C54288">
        <w:t xml:space="preserve"> treatment</w:t>
      </w:r>
      <w:r>
        <w:t xml:space="preserve"> are shown in Figure S</w:t>
      </w:r>
      <w:r w:rsidR="001D1147">
        <w:t>5</w:t>
      </w:r>
      <w:r>
        <w:t xml:space="preserve">b. For example, standard deviations for the treatment with three categories (each with three points) defined by 11, 8, and 5 median </w:t>
      </w:r>
      <w:proofErr w:type="spellStart"/>
      <w:r>
        <w:t>umoles</w:t>
      </w:r>
      <w:proofErr w:type="spellEnd"/>
      <w:r>
        <w:t xml:space="preserve">/ml concentrations for the 0.003 </w:t>
      </w:r>
      <w:r w:rsidRPr="00F4418A">
        <w:rPr>
          <w:i/>
          <w:iCs/>
        </w:rPr>
        <w:t>y</w:t>
      </w:r>
      <w:r>
        <w:t>-intercept points are represented by open blue circles in Figure S</w:t>
      </w:r>
      <w:r w:rsidR="001D1147">
        <w:t>5</w:t>
      </w:r>
      <w:r>
        <w:t xml:space="preserve">b. </w:t>
      </w:r>
    </w:p>
    <w:p w14:paraId="11834428" w14:textId="5099CA4F" w:rsidR="00546A36" w:rsidRDefault="00546A36" w:rsidP="00546A36">
      <w:pPr>
        <w:spacing w:after="3" w:line="473" w:lineRule="auto"/>
        <w:ind w:right="144" w:firstLine="720"/>
        <w:jc w:val="both"/>
      </w:pPr>
      <w:r>
        <w:t xml:space="preserve">Although not perfect, the relationship between median concentration for a category squared, and the standard deviations for the same categories that make up six different sets of </w:t>
      </w:r>
      <w:r w:rsidR="00384A6A">
        <w:t xml:space="preserve">nine </w:t>
      </w:r>
      <w:r>
        <w:t>treatment points are approximated with linear functions (Figure S</w:t>
      </w:r>
      <w:r w:rsidR="001D1147">
        <w:t>5</w:t>
      </w:r>
      <w:r>
        <w:t xml:space="preserve">b). Regressions (0 </w:t>
      </w:r>
      <w:r w:rsidRPr="005B7C44">
        <w:rPr>
          <w:i/>
          <w:iCs/>
        </w:rPr>
        <w:t>y</w:t>
      </w:r>
      <w:r>
        <w:t xml:space="preserve">-intercept models) for each of the six simulated treatments are presented at the far right of </w:t>
      </w:r>
      <w:r w:rsidR="00384A6A">
        <w:t>F</w:t>
      </w:r>
      <w:r>
        <w:t>igure</w:t>
      </w:r>
      <w:r w:rsidR="00384A6A">
        <w:t xml:space="preserve"> S5b</w:t>
      </w:r>
      <w:r>
        <w:t>. In this example, interval median concentration squared is associated with most of the variability in standard deviations (r</w:t>
      </w:r>
      <w:r w:rsidRPr="00F76E11">
        <w:rPr>
          <w:vertAlign w:val="superscript"/>
        </w:rPr>
        <w:t>2</w:t>
      </w:r>
      <w:r>
        <w:t xml:space="preserve"> = 0.984865; shown in bold for the overall function). However, different </w:t>
      </w:r>
      <w:r w:rsidRPr="00F76E11">
        <w:rPr>
          <w:i/>
          <w:iCs/>
        </w:rPr>
        <w:t>y</w:t>
      </w:r>
      <w:r>
        <w:t xml:space="preserve">-intercepts produce different standard deviations for the same median concentration squared values associated with different </w:t>
      </w:r>
      <w:r w:rsidRPr="00F76E11">
        <w:rPr>
          <w:i/>
          <w:iCs/>
        </w:rPr>
        <w:t>y</w:t>
      </w:r>
      <w:r>
        <w:t>-intercepts. This is apparent in Figure S</w:t>
      </w:r>
      <w:r w:rsidR="001D1147">
        <w:t>5</w:t>
      </w:r>
      <w:r>
        <w:t>b and even more strongly revealed in Figure S</w:t>
      </w:r>
      <w:r w:rsidR="001D1147">
        <w:t>5</w:t>
      </w:r>
      <w:r>
        <w:t>c where relationships are shown in a narrower range. If the single very high value in Figure S</w:t>
      </w:r>
      <w:r w:rsidR="001D1147">
        <w:t>5</w:t>
      </w:r>
      <w:r>
        <w:t>b (open square at upper right) is excluded only about 85% of the variability in standard deviations are explained by median concentration values squared (Figure S</w:t>
      </w:r>
      <w:r w:rsidR="00384A6A">
        <w:t>5</w:t>
      </w:r>
      <w:r>
        <w:t>c).</w:t>
      </w:r>
    </w:p>
    <w:p w14:paraId="73DA7D02" w14:textId="77777777" w:rsidR="00546A36" w:rsidRDefault="00546A36" w:rsidP="00546A36">
      <w:pPr>
        <w:spacing w:after="3" w:line="473" w:lineRule="auto"/>
        <w:ind w:right="144"/>
        <w:jc w:val="both"/>
      </w:pPr>
      <w:r w:rsidRPr="008E6230">
        <w:rPr>
          <w:noProof/>
        </w:rPr>
        <w:lastRenderedPageBreak/>
        <w:drawing>
          <wp:inline distT="0" distB="0" distL="0" distR="0" wp14:anchorId="52B767C8" wp14:editId="61153ED8">
            <wp:extent cx="4580952" cy="2752381"/>
            <wp:effectExtent l="0" t="0" r="0" b="0"/>
            <wp:docPr id="698738940" name="Picture 1" descr="A picture containing text, screenshot, number, fo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738940" name="Picture 1" descr="A picture containing text, screenshot, number, font&#10;&#10;Description automatically generated"/>
                    <pic:cNvPicPr/>
                  </pic:nvPicPr>
                  <pic:blipFill>
                    <a:blip r:embed="rId26"/>
                    <a:stretch>
                      <a:fillRect/>
                    </a:stretch>
                  </pic:blipFill>
                  <pic:spPr>
                    <a:xfrm>
                      <a:off x="0" y="0"/>
                      <a:ext cx="4580952" cy="2752381"/>
                    </a:xfrm>
                    <a:prstGeom prst="rect">
                      <a:avLst/>
                    </a:prstGeom>
                  </pic:spPr>
                </pic:pic>
              </a:graphicData>
            </a:graphic>
          </wp:inline>
        </w:drawing>
      </w:r>
    </w:p>
    <w:p w14:paraId="1FFAA4B3" w14:textId="74BC4BF7" w:rsidR="00546A36" w:rsidRDefault="00546A36" w:rsidP="00546A36">
      <w:pPr>
        <w:spacing w:after="3" w:line="473" w:lineRule="auto"/>
        <w:ind w:right="144"/>
        <w:jc w:val="both"/>
      </w:pPr>
      <w:r>
        <w:t>Figure S</w:t>
      </w:r>
      <w:r w:rsidR="001D1147">
        <w:t>5</w:t>
      </w:r>
      <w:r>
        <w:t>b.</w:t>
      </w:r>
      <w:r w:rsidRPr="00B96A6F">
        <w:t xml:space="preserve"> </w:t>
      </w:r>
      <w:r>
        <w:t xml:space="preserve">The relationships between standard deviations for six simulated treatments (nine observations per treatment spread over 3 ranges of values on the same </w:t>
      </w:r>
      <w:r w:rsidRPr="00EC6572">
        <w:rPr>
          <w:i/>
          <w:iCs/>
        </w:rPr>
        <w:t>y</w:t>
      </w:r>
      <w:r>
        <w:t xml:space="preserve">-intercept line) and 1/ median category concentration value (middle of three values in parenthesis) squared. For example, the three standard deviation values for open blue circles are defined by 11, 8 and 5 median </w:t>
      </w:r>
      <w:proofErr w:type="spellStart"/>
      <w:r>
        <w:t>umole</w:t>
      </w:r>
      <w:proofErr w:type="spellEnd"/>
      <w:r>
        <w:t xml:space="preserve">/ml concentration categories (3 points in each category) for the 0.003 y-intercept group. Regression equations (no </w:t>
      </w:r>
      <w:r w:rsidRPr="008305FA">
        <w:rPr>
          <w:i/>
          <w:iCs/>
        </w:rPr>
        <w:t>y</w:t>
      </w:r>
      <w:r>
        <w:t>-intercept models) for each simulated treatment are presented at the far right of the figure. All data is derived from the same information presented in Figure S</w:t>
      </w:r>
      <w:r w:rsidR="001D1147">
        <w:t>5</w:t>
      </w:r>
      <w:r>
        <w:t>a.</w:t>
      </w:r>
    </w:p>
    <w:p w14:paraId="6D8D1AF3" w14:textId="77777777" w:rsidR="00546A36" w:rsidRDefault="00546A36" w:rsidP="00546A36">
      <w:pPr>
        <w:spacing w:after="3" w:line="473" w:lineRule="auto"/>
        <w:ind w:right="144"/>
        <w:jc w:val="both"/>
      </w:pPr>
    </w:p>
    <w:p w14:paraId="594FD7C2" w14:textId="77777777" w:rsidR="00546A36" w:rsidRDefault="00546A36" w:rsidP="00546A36">
      <w:pPr>
        <w:spacing w:after="3" w:line="473" w:lineRule="auto"/>
        <w:ind w:right="144"/>
        <w:jc w:val="both"/>
      </w:pPr>
      <w:r w:rsidRPr="008E6230">
        <w:rPr>
          <w:noProof/>
        </w:rPr>
        <w:lastRenderedPageBreak/>
        <w:drawing>
          <wp:inline distT="0" distB="0" distL="0" distR="0" wp14:anchorId="0718C07C" wp14:editId="5B9D0A9F">
            <wp:extent cx="4580952" cy="2752381"/>
            <wp:effectExtent l="0" t="0" r="0" b="0"/>
            <wp:docPr id="183984238" name="Picture 1" descr="A picture containing text, screenshot, number,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984238" name="Picture 1" descr="A picture containing text, screenshot, number, line&#10;&#10;Description automatically generated"/>
                    <pic:cNvPicPr/>
                  </pic:nvPicPr>
                  <pic:blipFill>
                    <a:blip r:embed="rId27"/>
                    <a:stretch>
                      <a:fillRect/>
                    </a:stretch>
                  </pic:blipFill>
                  <pic:spPr>
                    <a:xfrm>
                      <a:off x="0" y="0"/>
                      <a:ext cx="4580952" cy="2752381"/>
                    </a:xfrm>
                    <a:prstGeom prst="rect">
                      <a:avLst/>
                    </a:prstGeom>
                  </pic:spPr>
                </pic:pic>
              </a:graphicData>
            </a:graphic>
          </wp:inline>
        </w:drawing>
      </w:r>
    </w:p>
    <w:p w14:paraId="67151480" w14:textId="056DD27A" w:rsidR="00546A36" w:rsidRDefault="00546A36" w:rsidP="00546A36">
      <w:pPr>
        <w:spacing w:after="3" w:line="473" w:lineRule="auto"/>
        <w:ind w:right="144"/>
        <w:jc w:val="both"/>
      </w:pPr>
      <w:r>
        <w:t>Figure S</w:t>
      </w:r>
      <w:r w:rsidR="001D1147">
        <w:t>5</w:t>
      </w:r>
      <w:r>
        <w:t xml:space="preserve">c. The relationships between standard deviations for six simulated treatments (nine observations per treatment) and 1/ median category concentration value (middle of three values in parenthesis) squared. Regression equations (no </w:t>
      </w:r>
      <w:r w:rsidRPr="008305FA">
        <w:rPr>
          <w:i/>
          <w:iCs/>
        </w:rPr>
        <w:t>y</w:t>
      </w:r>
      <w:r>
        <w:t>-intercept models) for each treatment are presented in the far right of the figure. This figure is identical to Figure S</w:t>
      </w:r>
      <w:r w:rsidR="001D1147">
        <w:t>5</w:t>
      </w:r>
      <w:r>
        <w:t>b, as all data is derived from the same information presented in Figure S</w:t>
      </w:r>
      <w:r w:rsidR="001D1147">
        <w:t>5</w:t>
      </w:r>
      <w:r>
        <w:t xml:space="preserve">a. However, the reduced </w:t>
      </w:r>
      <w:r w:rsidRPr="008305FA">
        <w:rPr>
          <w:i/>
          <w:iCs/>
        </w:rPr>
        <w:t>x</w:t>
      </w:r>
      <w:r>
        <w:t>-axis data range better illustrates relationships for low values when the single extreme point in Figure S</w:t>
      </w:r>
      <w:r w:rsidR="001D1147">
        <w:t>5</w:t>
      </w:r>
      <w:r>
        <w:t xml:space="preserve">b is removed. </w:t>
      </w:r>
    </w:p>
    <w:p w14:paraId="2EC06956" w14:textId="77777777" w:rsidR="00546A36" w:rsidRDefault="00546A36" w:rsidP="00546A36">
      <w:pPr>
        <w:spacing w:after="3" w:line="473" w:lineRule="auto"/>
        <w:ind w:right="144"/>
        <w:jc w:val="both"/>
      </w:pPr>
      <w:r>
        <w:t>-</w:t>
      </w:r>
    </w:p>
    <w:p w14:paraId="2695E53B" w14:textId="13F8BACA" w:rsidR="00546A36" w:rsidRDefault="00546A36" w:rsidP="00546A36">
      <w:pPr>
        <w:pStyle w:val="Newparagraph"/>
        <w:spacing w:after="3" w:line="473" w:lineRule="auto"/>
        <w:ind w:right="144"/>
        <w:jc w:val="both"/>
      </w:pPr>
      <w:r>
        <w:t>Dividing a treatment slope by the overall slope (shown in bold at the bottom position in both Figures S</w:t>
      </w:r>
      <w:r w:rsidR="001D1147">
        <w:t>5</w:t>
      </w:r>
      <w:r>
        <w:t>b and S</w:t>
      </w:r>
      <w:r w:rsidR="001D1147">
        <w:t>5</w:t>
      </w:r>
      <w:r>
        <w:t>c) produces the slope factors presented in Figure S</w:t>
      </w:r>
      <w:r w:rsidR="001D1147">
        <w:t>5</w:t>
      </w:r>
      <w:r>
        <w:t>b. These slope factors and the regression equations listed in Figure S</w:t>
      </w:r>
      <w:r w:rsidR="001D1147">
        <w:t>5</w:t>
      </w:r>
      <w:r>
        <w:t>b can reasonably predict the standard deviations for each of the 15 categories defined in Figure S</w:t>
      </w:r>
      <w:r w:rsidR="001D1147">
        <w:t>5</w:t>
      </w:r>
      <w:r>
        <w:t xml:space="preserve">b as presented in Figure S4d (standard deviation = slope factor * result produced by the treatment regression equation). Once the standard deviations are predicted for individual categories, the sum of the standard deviations for the three categories that make up the different simulated treatments can also be calculated. </w:t>
      </w:r>
    </w:p>
    <w:p w14:paraId="5F87CBDE" w14:textId="561F6661" w:rsidR="00546A36" w:rsidRDefault="00546A36" w:rsidP="00546A36">
      <w:pPr>
        <w:pStyle w:val="Newparagraph"/>
        <w:spacing w:after="3" w:line="473" w:lineRule="auto"/>
        <w:ind w:right="144"/>
        <w:jc w:val="both"/>
      </w:pPr>
      <w:r>
        <w:lastRenderedPageBreak/>
        <w:t>Actual standard deviation sums and predicted standard deviation sums are in good agreement (Figure S</w:t>
      </w:r>
      <w:r w:rsidR="001D1147">
        <w:t>5</w:t>
      </w:r>
      <w:r>
        <w:t>e). The sum of the standard deviations for the categories making up a simulated treatment are a numerical indicator of the degree of isotopic confounding. The data in Figure S</w:t>
      </w:r>
      <w:r w:rsidR="001D1147">
        <w:t>5</w:t>
      </w:r>
      <w:r>
        <w:t xml:space="preserve">e clearly suggest that not all treatments have similar confounding issues. The simulated treatment with an intermediate </w:t>
      </w:r>
      <w:r w:rsidRPr="00B301D6">
        <w:rPr>
          <w:i/>
          <w:iCs/>
        </w:rPr>
        <w:t>y</w:t>
      </w:r>
      <w:r>
        <w:t xml:space="preserve">-intercept along with low denominator values (0.002 </w:t>
      </w:r>
      <w:r w:rsidRPr="00B37C88">
        <w:rPr>
          <w:i/>
          <w:iCs/>
        </w:rPr>
        <w:t>y</w:t>
      </w:r>
      <w:r>
        <w:t xml:space="preserve">-intercept; 8,5,2 median values) and the simulated treatment with a high </w:t>
      </w:r>
      <w:r w:rsidRPr="0073700A">
        <w:rPr>
          <w:i/>
          <w:iCs/>
        </w:rPr>
        <w:t>y</w:t>
      </w:r>
      <w:r>
        <w:t xml:space="preserve">-intercept along with intermediate denominator values (0.003 </w:t>
      </w:r>
      <w:r w:rsidRPr="00B37C88">
        <w:rPr>
          <w:i/>
          <w:iCs/>
        </w:rPr>
        <w:t>y</w:t>
      </w:r>
      <w:r>
        <w:t>-intercept; 11,8,5 median values) are more confounded than the other simulated treatments. All denominator vs. numerator regression equations have positive</w:t>
      </w:r>
      <w:r w:rsidRPr="0073700A">
        <w:rPr>
          <w:i/>
          <w:iCs/>
        </w:rPr>
        <w:t xml:space="preserve"> y</w:t>
      </w:r>
      <w:r>
        <w:t xml:space="preserve">-intercepts, thus mean values for </w:t>
      </w:r>
      <w:r w:rsidRPr="0073700A">
        <w:rPr>
          <w:vertAlign w:val="superscript"/>
        </w:rPr>
        <w:t>87</w:t>
      </w:r>
      <w:r>
        <w:t>Sr:</w:t>
      </w:r>
      <w:r w:rsidRPr="0073700A">
        <w:rPr>
          <w:vertAlign w:val="superscript"/>
        </w:rPr>
        <w:t>86</w:t>
      </w:r>
      <w:r>
        <w:t xml:space="preserve">Sr ratios will overestimate the source value (slopes) of 0.7091. However, only for the two treatments with large numerical confounding indicators (identified above) is this estimation substantially greater than seawater (0.7101 and 0.7097 respectively). </w:t>
      </w:r>
    </w:p>
    <w:p w14:paraId="77A4EFC4" w14:textId="77777777" w:rsidR="00546A36" w:rsidRDefault="00546A36" w:rsidP="00546A36">
      <w:pPr>
        <w:spacing w:after="3" w:line="473" w:lineRule="auto"/>
        <w:ind w:right="144" w:firstLine="720"/>
        <w:jc w:val="both"/>
      </w:pPr>
      <w:r>
        <w:t>Alternatively, these numerical indicators can be predicted by multiple regression using slope factors and the sum of 1/numerator squared values for a simulated treatment ((0.00128 * slope factor) + (0.06265 * sum of [1/</w:t>
      </w:r>
      <w:r w:rsidRPr="0073700A">
        <w:rPr>
          <w:vertAlign w:val="superscript"/>
        </w:rPr>
        <w:t>86</w:t>
      </w:r>
      <w:r>
        <w:t>Sr]</w:t>
      </w:r>
      <w:r w:rsidRPr="0073700A">
        <w:rPr>
          <w:vertAlign w:val="superscript"/>
        </w:rPr>
        <w:t>2</w:t>
      </w:r>
      <w:r>
        <w:t xml:space="preserve"> values) – 0.00012). The </w:t>
      </w:r>
      <w:r w:rsidRPr="0073700A">
        <w:rPr>
          <w:i/>
          <w:iCs/>
        </w:rPr>
        <w:t>p</w:t>
      </w:r>
      <w:r>
        <w:t xml:space="preserve">-values are 0.02834, 0.00142, and 0.02016 for the slope factor, sum of 1/numerator squared, and </w:t>
      </w:r>
      <w:r w:rsidRPr="0073700A">
        <w:rPr>
          <w:i/>
          <w:iCs/>
        </w:rPr>
        <w:t>y</w:t>
      </w:r>
      <w:r>
        <w:t>-intercept, respectively. The multiple R</w:t>
      </w:r>
      <w:r w:rsidRPr="0073700A">
        <w:rPr>
          <w:vertAlign w:val="superscript"/>
        </w:rPr>
        <w:t>2</w:t>
      </w:r>
      <w:r>
        <w:t xml:space="preserve"> value is 0.99804.</w:t>
      </w:r>
    </w:p>
    <w:p w14:paraId="0D8F3688" w14:textId="54AE6CB9" w:rsidR="00546A36" w:rsidRDefault="00546A36" w:rsidP="00546A36">
      <w:pPr>
        <w:spacing w:after="3" w:line="473" w:lineRule="auto"/>
        <w:ind w:right="144"/>
        <w:jc w:val="both"/>
      </w:pPr>
      <w:bookmarkStart w:id="1" w:name="_Hlk133534734"/>
      <w:r>
        <w:tab/>
        <w:t>A similar real data example (</w:t>
      </w:r>
      <w:r w:rsidRPr="00DD2C1A">
        <w:rPr>
          <w:lang w:val="en-US"/>
        </w:rPr>
        <w:t>Moyo et al. 2021)</w:t>
      </w:r>
      <w:r>
        <w:rPr>
          <w:lang w:val="en-US"/>
        </w:rPr>
        <w:t xml:space="preserve"> </w:t>
      </w:r>
      <w:r>
        <w:t xml:space="preserve">reveals that all species in a trophic level study have confounded </w:t>
      </w:r>
      <w:r w:rsidRPr="00287C7D">
        <w:rPr>
          <w:vertAlign w:val="superscript"/>
        </w:rPr>
        <w:t>15</w:t>
      </w:r>
      <w:r>
        <w:t>N:</w:t>
      </w:r>
      <w:r w:rsidRPr="00287C7D">
        <w:rPr>
          <w:vertAlign w:val="superscript"/>
        </w:rPr>
        <w:t>14</w:t>
      </w:r>
      <w:r>
        <w:t>N ratios (</w:t>
      </w:r>
      <w:r>
        <w:rPr>
          <w:lang w:val="en-US"/>
        </w:rPr>
        <w:t>Moots et al.</w:t>
      </w:r>
      <w:r>
        <w:t xml:space="preserve"> (2024); Supplemental Material </w:t>
      </w:r>
      <w:r w:rsidR="0079471D">
        <w:t>2</w:t>
      </w:r>
      <w:r>
        <w:t xml:space="preserve">). This occurs </w:t>
      </w:r>
      <w:r w:rsidR="00E06EC5">
        <w:t xml:space="preserve"> linear</w:t>
      </w:r>
      <w:r>
        <w:t xml:space="preserve"> </w:t>
      </w:r>
      <w:r w:rsidRPr="00CE3D0E">
        <w:rPr>
          <w:vertAlign w:val="superscript"/>
        </w:rPr>
        <w:t>14</w:t>
      </w:r>
      <w:r>
        <w:t xml:space="preserve">N vs. </w:t>
      </w:r>
      <w:r w:rsidRPr="00CE3D0E">
        <w:rPr>
          <w:vertAlign w:val="superscript"/>
        </w:rPr>
        <w:t>15</w:t>
      </w:r>
      <w:r>
        <w:t xml:space="preserve">N regression lines with different positive </w:t>
      </w:r>
      <w:r w:rsidRPr="00CE3D0E">
        <w:rPr>
          <w:i/>
          <w:iCs/>
        </w:rPr>
        <w:t>y</w:t>
      </w:r>
      <w:r>
        <w:t>-intercepts describe all species. However, the scaling consequences are severe for only two of six species evaluated.</w:t>
      </w:r>
      <w:bookmarkEnd w:id="1"/>
    </w:p>
    <w:p w14:paraId="4A2BAA7D" w14:textId="77777777" w:rsidR="00546A36" w:rsidRDefault="00546A36" w:rsidP="00546A36">
      <w:pPr>
        <w:spacing w:after="3" w:line="473" w:lineRule="auto"/>
        <w:ind w:right="144"/>
        <w:jc w:val="both"/>
      </w:pPr>
      <w:r w:rsidRPr="008E6230">
        <w:rPr>
          <w:noProof/>
        </w:rPr>
        <w:lastRenderedPageBreak/>
        <w:drawing>
          <wp:inline distT="0" distB="0" distL="0" distR="0" wp14:anchorId="32AD4ABB" wp14:editId="3D18C106">
            <wp:extent cx="4580952" cy="2752381"/>
            <wp:effectExtent l="0" t="0" r="0" b="0"/>
            <wp:docPr id="576154134" name="Picture 1" descr="A picture containing text, screenshot, line, pl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154134" name="Picture 1" descr="A picture containing text, screenshot, line, plot&#10;&#10;Description automatically generated"/>
                    <pic:cNvPicPr/>
                  </pic:nvPicPr>
                  <pic:blipFill>
                    <a:blip r:embed="rId28"/>
                    <a:stretch>
                      <a:fillRect/>
                    </a:stretch>
                  </pic:blipFill>
                  <pic:spPr>
                    <a:xfrm>
                      <a:off x="0" y="0"/>
                      <a:ext cx="4580952" cy="2752381"/>
                    </a:xfrm>
                    <a:prstGeom prst="rect">
                      <a:avLst/>
                    </a:prstGeom>
                  </pic:spPr>
                </pic:pic>
              </a:graphicData>
            </a:graphic>
          </wp:inline>
        </w:drawing>
      </w:r>
    </w:p>
    <w:p w14:paraId="08386843" w14:textId="2C646EC5" w:rsidR="00546A36" w:rsidRDefault="00546A36" w:rsidP="00546A36">
      <w:pPr>
        <w:spacing w:after="3" w:line="473" w:lineRule="auto"/>
        <w:ind w:right="144"/>
        <w:jc w:val="both"/>
      </w:pPr>
      <w:r>
        <w:t>Figure S</w:t>
      </w:r>
      <w:r w:rsidR="001D1147">
        <w:t>5</w:t>
      </w:r>
      <w:r>
        <w:t xml:space="preserve">d. The relationship between standard deviation of 15 categories identified with median </w:t>
      </w:r>
      <w:r w:rsidRPr="00F45F06">
        <w:rPr>
          <w:vertAlign w:val="superscript"/>
        </w:rPr>
        <w:t>86</w:t>
      </w:r>
      <w:r>
        <w:t xml:space="preserve">Sr concentration and </w:t>
      </w:r>
      <w:r w:rsidRPr="00337AE6">
        <w:rPr>
          <w:vertAlign w:val="superscript"/>
        </w:rPr>
        <w:t>86</w:t>
      </w:r>
      <w:r>
        <w:t xml:space="preserve">Sr vs. </w:t>
      </w:r>
      <w:r w:rsidRPr="00337AE6">
        <w:rPr>
          <w:vertAlign w:val="superscript"/>
        </w:rPr>
        <w:t>87</w:t>
      </w:r>
      <w:r>
        <w:t xml:space="preserve">Sr </w:t>
      </w:r>
      <w:r w:rsidRPr="00337AE6">
        <w:rPr>
          <w:i/>
          <w:iCs/>
        </w:rPr>
        <w:t>y</w:t>
      </w:r>
      <w:r>
        <w:t>-intercepts (presented in Figure S</w:t>
      </w:r>
      <w:r w:rsidR="001D1147">
        <w:t>5</w:t>
      </w:r>
      <w:r>
        <w:t>a) and predicted standard deviations for the same category. Slope factors and the regression equations listed in Figure S</w:t>
      </w:r>
      <w:r w:rsidR="001D1147">
        <w:t>5</w:t>
      </w:r>
      <w:r>
        <w:t>b for each simulated treatment can reasonably predict the standard deviations for each of the 15 categories even though the relationship is not perfect.</w:t>
      </w:r>
    </w:p>
    <w:p w14:paraId="3120275E" w14:textId="3993130C" w:rsidR="00EF2E88" w:rsidRDefault="00EF2E88" w:rsidP="00546A36">
      <w:pPr>
        <w:spacing w:after="3" w:line="473" w:lineRule="auto"/>
        <w:ind w:right="144"/>
        <w:jc w:val="both"/>
      </w:pPr>
      <w:r>
        <w:t>-</w:t>
      </w:r>
    </w:p>
    <w:p w14:paraId="69D1A4C7" w14:textId="77777777" w:rsidR="001D1147" w:rsidRPr="00546A36" w:rsidRDefault="00EF2E88" w:rsidP="001D1147">
      <w:pPr>
        <w:pStyle w:val="Newparagraph"/>
        <w:spacing w:after="3" w:line="473" w:lineRule="auto"/>
        <w:ind w:right="144"/>
        <w:jc w:val="both"/>
      </w:pPr>
      <w:r>
        <w:t xml:space="preserve">Approximated quantitative numerical indicators of the degree of isotopic confounding can be theoretically determined. This can be done by combining both </w:t>
      </w:r>
      <w:r w:rsidRPr="009F6450">
        <w:rPr>
          <w:i/>
          <w:iCs/>
        </w:rPr>
        <w:t>y</w:t>
      </w:r>
      <w:r>
        <w:t>-intercept and denominator</w:t>
      </w:r>
      <w:r w:rsidR="001D1147">
        <w:t xml:space="preserve"> size effects. Although not perfect, the simulation provides a good example of the concepts involved. </w:t>
      </w:r>
    </w:p>
    <w:p w14:paraId="0FDCAE1D" w14:textId="2AAB63F3" w:rsidR="00EF2E88" w:rsidRDefault="00EF2E88" w:rsidP="00546A36">
      <w:pPr>
        <w:spacing w:after="3" w:line="473" w:lineRule="auto"/>
        <w:ind w:right="144"/>
        <w:jc w:val="both"/>
      </w:pPr>
    </w:p>
    <w:p w14:paraId="77048690" w14:textId="77777777" w:rsidR="00546A36" w:rsidRDefault="00546A36" w:rsidP="00546A36">
      <w:pPr>
        <w:spacing w:after="3" w:line="473" w:lineRule="auto"/>
        <w:ind w:right="144"/>
        <w:jc w:val="both"/>
      </w:pPr>
      <w:r w:rsidRPr="008E6230">
        <w:rPr>
          <w:noProof/>
        </w:rPr>
        <w:lastRenderedPageBreak/>
        <w:drawing>
          <wp:inline distT="0" distB="0" distL="0" distR="0" wp14:anchorId="79B1DBE4" wp14:editId="374DBC6E">
            <wp:extent cx="4580952" cy="3742857"/>
            <wp:effectExtent l="0" t="0" r="0" b="0"/>
            <wp:docPr id="654551420" name="Picture 1" descr="A picture containing text, screenshot, number,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4551420" name="Picture 1" descr="A picture containing text, screenshot, number, diagram&#10;&#10;Description automatically generated"/>
                    <pic:cNvPicPr/>
                  </pic:nvPicPr>
                  <pic:blipFill>
                    <a:blip r:embed="rId29"/>
                    <a:stretch>
                      <a:fillRect/>
                    </a:stretch>
                  </pic:blipFill>
                  <pic:spPr>
                    <a:xfrm>
                      <a:off x="0" y="0"/>
                      <a:ext cx="4580952" cy="3742857"/>
                    </a:xfrm>
                    <a:prstGeom prst="rect">
                      <a:avLst/>
                    </a:prstGeom>
                  </pic:spPr>
                </pic:pic>
              </a:graphicData>
            </a:graphic>
          </wp:inline>
        </w:drawing>
      </w:r>
    </w:p>
    <w:p w14:paraId="03AB334F" w14:textId="77777777" w:rsidR="00546A36" w:rsidRDefault="00546A36" w:rsidP="00546A36">
      <w:pPr>
        <w:spacing w:after="3" w:line="473" w:lineRule="auto"/>
        <w:ind w:right="144"/>
        <w:jc w:val="both"/>
      </w:pPr>
    </w:p>
    <w:p w14:paraId="59DC0DE0" w14:textId="71330F33" w:rsidR="00546A36" w:rsidRDefault="00546A36" w:rsidP="00546A36">
      <w:pPr>
        <w:spacing w:after="3" w:line="473" w:lineRule="auto"/>
        <w:ind w:right="144"/>
        <w:jc w:val="both"/>
      </w:pPr>
      <w:r>
        <w:t xml:space="preserve">Figure </w:t>
      </w:r>
      <w:r w:rsidR="001D1147">
        <w:t>5</w:t>
      </w:r>
      <w:r>
        <w:t>e. The sum of the standard deviations for the three (three-point) observations in each of the six (nine-point) simulated treatments listed in Figure S</w:t>
      </w:r>
      <w:r w:rsidR="001D1147">
        <w:t>5</w:t>
      </w:r>
      <w:r>
        <w:t>b and c. Once the standard deviations are predicted for individual categories, the sum of the standard deviations for the three categories that make up the simulated treatments can also be calculated. Actual standard deviation sums and predicted standard deviation sums are in good agreement</w:t>
      </w:r>
      <w:r w:rsidR="00AD4C75">
        <w:t>.</w:t>
      </w:r>
      <w:r>
        <w:t xml:space="preserve"> The sum of the standard deviations for the categories making up a simulated treatment are a numerical indicator of the degree of isotopic confounding.</w:t>
      </w:r>
    </w:p>
    <w:p w14:paraId="6A0D42B5" w14:textId="77777777" w:rsidR="00546A36" w:rsidRDefault="00546A36" w:rsidP="00546A36">
      <w:pPr>
        <w:spacing w:after="3" w:line="473" w:lineRule="auto"/>
        <w:ind w:right="144"/>
        <w:jc w:val="both"/>
      </w:pPr>
      <w:r>
        <w:t>-</w:t>
      </w:r>
    </w:p>
    <w:p w14:paraId="259E75BA" w14:textId="2351BBF1" w:rsidR="00D0619D" w:rsidRDefault="00352F8C" w:rsidP="002631CE">
      <w:pPr>
        <w:pStyle w:val="Heading1"/>
        <w:spacing w:before="0" w:after="3" w:line="473" w:lineRule="auto"/>
        <w:ind w:right="144"/>
        <w:jc w:val="both"/>
        <w:rPr>
          <w:lang w:val="en-US"/>
        </w:rPr>
      </w:pPr>
      <w:r>
        <w:rPr>
          <w:lang w:val="en-US"/>
        </w:rPr>
        <w:t>1</w:t>
      </w:r>
      <w:r w:rsidR="00546A36">
        <w:rPr>
          <w:lang w:val="en-US"/>
        </w:rPr>
        <w:t>2</w:t>
      </w:r>
      <w:r w:rsidR="00D0619D" w:rsidRPr="00E255E3">
        <w:rPr>
          <w:lang w:val="en-US"/>
        </w:rPr>
        <w:t xml:space="preserve">. </w:t>
      </w:r>
      <w:r w:rsidR="00D0619D">
        <w:rPr>
          <w:lang w:val="en-US"/>
        </w:rPr>
        <w:t>TABLE</w:t>
      </w:r>
      <w:r w:rsidR="00143C89">
        <w:rPr>
          <w:lang w:val="en-US"/>
        </w:rPr>
        <w:t>S</w:t>
      </w:r>
      <w:r w:rsidR="00D0619D">
        <w:rPr>
          <w:lang w:val="en-US"/>
        </w:rPr>
        <w:t xml:space="preserve"> S1 </w:t>
      </w:r>
      <w:r w:rsidR="00143C89">
        <w:rPr>
          <w:lang w:val="en-US"/>
        </w:rPr>
        <w:t>AND S2</w:t>
      </w:r>
    </w:p>
    <w:p w14:paraId="44A3E099" w14:textId="77777777" w:rsidR="003A7EA8" w:rsidRPr="00BC76FD" w:rsidRDefault="003A7EA8" w:rsidP="002631CE">
      <w:pPr>
        <w:pStyle w:val="Newparagraph"/>
        <w:spacing w:after="3" w:line="473" w:lineRule="auto"/>
        <w:ind w:right="144"/>
        <w:jc w:val="both"/>
        <w:rPr>
          <w:lang w:val="en-US"/>
        </w:rPr>
        <w:sectPr w:rsidR="003A7EA8" w:rsidRPr="00BC76FD" w:rsidSect="002A0E7A">
          <w:footerReference w:type="default" r:id="rId30"/>
          <w:pgSz w:w="12240" w:h="15840" w:code="1"/>
          <w:pgMar w:top="1440" w:right="1440" w:bottom="1440" w:left="1440" w:header="720" w:footer="720" w:gutter="0"/>
          <w:cols w:space="720"/>
          <w:docGrid w:linePitch="360"/>
        </w:sectPr>
      </w:pPr>
      <w:r w:rsidRPr="00BC76FD">
        <w:rPr>
          <w:lang w:val="en-US"/>
        </w:rPr>
        <w:t xml:space="preserve">. </w:t>
      </w:r>
    </w:p>
    <w:p w14:paraId="5DEC3A00" w14:textId="7493D62B" w:rsidR="003A7EA8" w:rsidRDefault="003A7EA8" w:rsidP="002631CE">
      <w:pPr>
        <w:pStyle w:val="Tabletitle"/>
        <w:spacing w:before="0" w:after="3" w:line="473" w:lineRule="auto"/>
        <w:ind w:right="144"/>
        <w:jc w:val="both"/>
        <w:rPr>
          <w:lang w:val="en-US"/>
        </w:rPr>
      </w:pPr>
      <w:r w:rsidRPr="00BC76FD">
        <w:rPr>
          <w:lang w:val="en-US"/>
        </w:rPr>
        <w:lastRenderedPageBreak/>
        <w:t xml:space="preserve">Table </w:t>
      </w:r>
      <w:r w:rsidR="003C2937">
        <w:rPr>
          <w:lang w:val="en-US"/>
        </w:rPr>
        <w:t>S1</w:t>
      </w:r>
      <w:r w:rsidRPr="00BC76FD">
        <w:rPr>
          <w:lang w:val="en-US"/>
        </w:rPr>
        <w:t>. Patterns for the relationship between total isotope and isotopic ratio differ</w:t>
      </w:r>
      <w:r w:rsidRPr="00BC76FD">
        <w:rPr>
          <w:b/>
          <w:bCs/>
          <w:lang w:val="en-US"/>
        </w:rPr>
        <w:t xml:space="preserve"> </w:t>
      </w:r>
      <w:r w:rsidRPr="00BC76FD">
        <w:rPr>
          <w:lang w:val="en-US"/>
        </w:rPr>
        <w:t xml:space="preserve">among nine possible functions that define how isotopic ratio denominator and numerator are related to each other. Function types are: - Row 1 linear, concave, and convex functions, with positive </w:t>
      </w:r>
      <w:r w:rsidRPr="00BC76FD">
        <w:rPr>
          <w:i/>
          <w:iCs/>
          <w:lang w:val="en-US"/>
        </w:rPr>
        <w:t>y</w:t>
      </w:r>
      <w:r w:rsidRPr="00BC76FD">
        <w:rPr>
          <w:lang w:val="en-US"/>
        </w:rPr>
        <w:t xml:space="preserve">-intercepts; - Row 2 linear, </w:t>
      </w:r>
      <w:r w:rsidR="00BB0068" w:rsidRPr="00BC76FD">
        <w:rPr>
          <w:lang w:val="en-US"/>
        </w:rPr>
        <w:t>concave,</w:t>
      </w:r>
      <w:r w:rsidRPr="00BC76FD">
        <w:rPr>
          <w:lang w:val="en-US"/>
        </w:rPr>
        <w:t xml:space="preserve"> and convex functions, with zero </w:t>
      </w:r>
      <w:r w:rsidRPr="00BC76FD">
        <w:rPr>
          <w:i/>
          <w:iCs/>
          <w:lang w:val="en-US"/>
        </w:rPr>
        <w:t>y</w:t>
      </w:r>
      <w:r w:rsidRPr="00BC76FD">
        <w:rPr>
          <w:lang w:val="en-US"/>
        </w:rPr>
        <w:t xml:space="preserve">-intercepts; and - Row 3 – linear, </w:t>
      </w:r>
      <w:r w:rsidR="00BB0068" w:rsidRPr="00BC76FD">
        <w:rPr>
          <w:lang w:val="en-US"/>
        </w:rPr>
        <w:t>concave,</w:t>
      </w:r>
      <w:r w:rsidRPr="00BC76FD">
        <w:rPr>
          <w:lang w:val="en-US"/>
        </w:rPr>
        <w:t xml:space="preserve"> and convex functions, with negative </w:t>
      </w:r>
      <w:r w:rsidRPr="00BC76FD">
        <w:rPr>
          <w:i/>
          <w:iCs/>
          <w:lang w:val="en-US"/>
        </w:rPr>
        <w:t>y</w:t>
      </w:r>
      <w:r w:rsidRPr="00BC76FD">
        <w:rPr>
          <w:lang w:val="en-US"/>
        </w:rPr>
        <w:t xml:space="preserve">-intercepts. Diagrams inserted into the boxes indicate the shape of the denominator vs. observed ratio (right corner; total concentration of denominator isotope </w:t>
      </w:r>
      <w:r w:rsidR="004A636B">
        <w:rPr>
          <w:lang w:val="en-US"/>
        </w:rPr>
        <w:t>(</w:t>
      </w:r>
      <w:r w:rsidRPr="00BC76FD">
        <w:rPr>
          <w:i/>
          <w:iCs/>
          <w:lang w:val="en-US"/>
        </w:rPr>
        <w:t>x</w:t>
      </w:r>
      <w:r w:rsidRPr="00BC76FD">
        <w:rPr>
          <w:lang w:val="en-US"/>
        </w:rPr>
        <w:t>-axis) vs. observed isotopic ratio (</w:t>
      </w:r>
      <w:r w:rsidRPr="00BC76FD">
        <w:rPr>
          <w:i/>
          <w:iCs/>
          <w:lang w:val="en-US"/>
        </w:rPr>
        <w:t>y</w:t>
      </w:r>
      <w:r w:rsidRPr="00BC76FD">
        <w:rPr>
          <w:lang w:val="en-US"/>
        </w:rPr>
        <w:t>-axis)), and the shape of the denominator isotopic concentration vs. numerator isotope concentration (left corner; denominator concentration (</w:t>
      </w:r>
      <w:r w:rsidRPr="00BC76FD">
        <w:rPr>
          <w:i/>
          <w:iCs/>
          <w:lang w:val="en-US"/>
        </w:rPr>
        <w:t>x</w:t>
      </w:r>
      <w:r w:rsidRPr="00BC76FD">
        <w:rPr>
          <w:lang w:val="en-US"/>
        </w:rPr>
        <w:t>-axis) and numerator concentration (</w:t>
      </w:r>
      <w:r w:rsidRPr="00BC76FD">
        <w:rPr>
          <w:i/>
          <w:iCs/>
          <w:lang w:val="en-US"/>
        </w:rPr>
        <w:t>y</w:t>
      </w:r>
      <w:r w:rsidRPr="00BC76FD">
        <w:rPr>
          <w:lang w:val="en-US"/>
        </w:rPr>
        <w:t xml:space="preserve">-axis)) for all nine function categories. The +, 0, and - notation in the figures refer to positive, zero and negative </w:t>
      </w:r>
      <w:r w:rsidRPr="00BC76FD">
        <w:rPr>
          <w:i/>
          <w:iCs/>
          <w:lang w:val="en-US"/>
        </w:rPr>
        <w:t>y</w:t>
      </w:r>
      <w:r w:rsidRPr="00BC76FD">
        <w:rPr>
          <w:lang w:val="en-US"/>
        </w:rPr>
        <w:t xml:space="preserve">-intercepts. Red curves of the right corner figures depict the shape of the total concentration of the denominator isotope vs. observed isotopic ratio shape. Blue curves depict what the total concentration of denominator vs. isotopic ratio curve would be if the function evaluated had a zero </w:t>
      </w:r>
      <w:r w:rsidRPr="00BC76FD">
        <w:rPr>
          <w:i/>
          <w:iCs/>
          <w:lang w:val="en-US"/>
        </w:rPr>
        <w:t>y</w:t>
      </w:r>
      <w:r w:rsidRPr="00BC76FD">
        <w:rPr>
          <w:lang w:val="en-US"/>
        </w:rPr>
        <w:t xml:space="preserve">-intercept. The </w:t>
      </w:r>
      <w:r w:rsidRPr="00BC76FD">
        <w:rPr>
          <w:i/>
          <w:iCs/>
          <w:lang w:val="en-US"/>
        </w:rPr>
        <w:t>y</w:t>
      </w:r>
      <w:r w:rsidRPr="00BC76FD">
        <w:rPr>
          <w:lang w:val="en-US"/>
        </w:rPr>
        <w:t xml:space="preserve">-intercepts of denominator vs. numerator functions are mathematically related to backgrounds. Both function curvature (for concave and convex functions) and non-zero </w:t>
      </w:r>
      <w:r w:rsidRPr="00BC76FD">
        <w:rPr>
          <w:i/>
          <w:iCs/>
          <w:lang w:val="en-US"/>
        </w:rPr>
        <w:t>y</w:t>
      </w:r>
      <w:r w:rsidRPr="00BC76FD">
        <w:rPr>
          <w:lang w:val="en-US"/>
        </w:rPr>
        <w:t xml:space="preserve">-intercepts cause changes in isotopic ratio as ratio denominator changes. For </w:t>
      </w:r>
      <w:r w:rsidRPr="00BC76FD">
        <w:rPr>
          <w:i/>
          <w:iCs/>
          <w:lang w:val="en-US"/>
        </w:rPr>
        <w:t>y</w:t>
      </w:r>
      <w:r w:rsidRPr="00BC76FD">
        <w:rPr>
          <w:lang w:val="en-US"/>
        </w:rPr>
        <w:t>-intercept effects, both denominator vs. ratio patterns and total element vs. ratio patterns are similar. This occurs because isotope ratio denominators are always strongly correlated to total element since the portion of total for each isotope is essentially constant.</w:t>
      </w:r>
    </w:p>
    <w:p w14:paraId="0F8796B4" w14:textId="77777777" w:rsidR="00813D2D" w:rsidRDefault="00813D2D" w:rsidP="002631CE">
      <w:pPr>
        <w:spacing w:after="3" w:line="473" w:lineRule="auto"/>
        <w:ind w:right="144"/>
        <w:jc w:val="both"/>
        <w:rPr>
          <w:lang w:val="en-US"/>
        </w:rPr>
      </w:pPr>
    </w:p>
    <w:p w14:paraId="10750248" w14:textId="77777777" w:rsidR="00813D2D" w:rsidRDefault="00813D2D" w:rsidP="002631CE">
      <w:pPr>
        <w:spacing w:after="3" w:line="473" w:lineRule="auto"/>
        <w:ind w:right="144"/>
        <w:jc w:val="both"/>
        <w:rPr>
          <w:lang w:val="en-US"/>
        </w:rPr>
      </w:pPr>
    </w:p>
    <w:p w14:paraId="7C16ECDA" w14:textId="77777777" w:rsidR="002631CE" w:rsidRPr="00813D2D" w:rsidRDefault="002631CE" w:rsidP="002631CE">
      <w:pPr>
        <w:spacing w:after="3" w:line="473" w:lineRule="auto"/>
        <w:ind w:right="144"/>
        <w:jc w:val="both"/>
        <w:rPr>
          <w:lang w:val="en-US"/>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39"/>
        <w:gridCol w:w="3908"/>
        <w:gridCol w:w="3905"/>
        <w:gridCol w:w="3908"/>
      </w:tblGrid>
      <w:tr w:rsidR="003A7EA8" w14:paraId="186894CA" w14:textId="77777777" w:rsidTr="00B35CC0">
        <w:tc>
          <w:tcPr>
            <w:tcW w:w="0" w:type="auto"/>
            <w:vAlign w:val="center"/>
          </w:tcPr>
          <w:p w14:paraId="4D06F762" w14:textId="77777777" w:rsidR="003A7EA8" w:rsidRDefault="003A7EA8" w:rsidP="002631CE">
            <w:pPr>
              <w:tabs>
                <w:tab w:val="left" w:pos="2160"/>
                <w:tab w:val="left" w:pos="4410"/>
                <w:tab w:val="left" w:pos="6570"/>
                <w:tab w:val="left" w:pos="8010"/>
              </w:tabs>
              <w:spacing w:after="3" w:line="473" w:lineRule="auto"/>
              <w:ind w:right="144"/>
              <w:jc w:val="both"/>
              <w:rPr>
                <w:rFonts w:asciiTheme="majorBidi" w:hAnsiTheme="majorBidi" w:cstheme="majorBidi"/>
                <w:lang w:val="en-US"/>
              </w:rPr>
            </w:pPr>
            <w:r w:rsidRPr="004D5160">
              <w:rPr>
                <w:rFonts w:asciiTheme="majorBidi" w:hAnsiTheme="majorBidi" w:cstheme="majorBidi"/>
                <w:lang w:val="en-US"/>
              </w:rPr>
              <w:lastRenderedPageBreak/>
              <w:t xml:space="preserve">Intercept </w:t>
            </w:r>
          </w:p>
          <w:p w14:paraId="2B1AD3DE" w14:textId="77777777" w:rsidR="006A76ED" w:rsidRDefault="006A76ED" w:rsidP="002631CE">
            <w:pPr>
              <w:tabs>
                <w:tab w:val="left" w:pos="2160"/>
                <w:tab w:val="left" w:pos="4410"/>
                <w:tab w:val="left" w:pos="6570"/>
                <w:tab w:val="left" w:pos="8010"/>
              </w:tabs>
              <w:spacing w:after="3" w:line="473" w:lineRule="auto"/>
              <w:ind w:right="144"/>
              <w:jc w:val="both"/>
              <w:rPr>
                <w:rFonts w:asciiTheme="majorBidi" w:hAnsiTheme="majorBidi" w:cstheme="majorBidi"/>
                <w:lang w:val="en-US"/>
              </w:rPr>
            </w:pPr>
          </w:p>
          <w:p w14:paraId="76006790" w14:textId="77777777" w:rsidR="006A76ED" w:rsidRDefault="006A76ED" w:rsidP="002631CE">
            <w:pPr>
              <w:tabs>
                <w:tab w:val="left" w:pos="2160"/>
                <w:tab w:val="left" w:pos="4410"/>
                <w:tab w:val="left" w:pos="6570"/>
                <w:tab w:val="left" w:pos="8010"/>
              </w:tabs>
              <w:spacing w:after="3" w:line="473" w:lineRule="auto"/>
              <w:ind w:right="144"/>
              <w:jc w:val="both"/>
              <w:rPr>
                <w:rFonts w:asciiTheme="majorBidi" w:hAnsiTheme="majorBidi" w:cstheme="majorBidi"/>
                <w:lang w:val="en-US"/>
              </w:rPr>
            </w:pPr>
          </w:p>
          <w:p w14:paraId="4A7A0BD5" w14:textId="277534FF" w:rsidR="006A76ED" w:rsidRPr="004D5160" w:rsidRDefault="006A76ED" w:rsidP="002631CE">
            <w:pPr>
              <w:tabs>
                <w:tab w:val="left" w:pos="2160"/>
                <w:tab w:val="left" w:pos="4410"/>
                <w:tab w:val="left" w:pos="6570"/>
                <w:tab w:val="left" w:pos="8010"/>
              </w:tabs>
              <w:spacing w:after="3" w:line="473" w:lineRule="auto"/>
              <w:ind w:right="144"/>
              <w:jc w:val="both"/>
              <w:rPr>
                <w:rFonts w:asciiTheme="majorBidi" w:hAnsiTheme="majorBidi" w:cstheme="majorBidi"/>
                <w:lang w:val="en-US"/>
              </w:rPr>
            </w:pPr>
          </w:p>
        </w:tc>
        <w:tc>
          <w:tcPr>
            <w:tcW w:w="0" w:type="auto"/>
            <w:vAlign w:val="center"/>
          </w:tcPr>
          <w:p w14:paraId="4724D18E" w14:textId="66A0CA6B" w:rsidR="003A7EA8" w:rsidRPr="004D5160" w:rsidRDefault="003A7EA8" w:rsidP="002631CE">
            <w:pPr>
              <w:tabs>
                <w:tab w:val="left" w:pos="2160"/>
                <w:tab w:val="left" w:pos="4410"/>
                <w:tab w:val="left" w:pos="6570"/>
                <w:tab w:val="left" w:pos="8010"/>
              </w:tabs>
              <w:spacing w:after="3" w:line="473" w:lineRule="auto"/>
              <w:ind w:right="144"/>
              <w:jc w:val="both"/>
              <w:rPr>
                <w:rFonts w:asciiTheme="majorBidi" w:hAnsiTheme="majorBidi" w:cstheme="majorBidi"/>
                <w:noProof/>
                <w:lang w:val="en-US" w:eastAsia="en-IN" w:bidi="he-IL"/>
              </w:rPr>
            </w:pPr>
            <w:r w:rsidRPr="004D5160">
              <w:rPr>
                <w:rFonts w:asciiTheme="majorBidi" w:hAnsiTheme="majorBidi" w:cstheme="majorBidi"/>
                <w:lang w:val="en-US"/>
              </w:rPr>
              <w:t xml:space="preserve"> </w:t>
            </w:r>
            <w:r w:rsidR="005D2A6D">
              <w:rPr>
                <w:rFonts w:asciiTheme="majorBidi" w:hAnsiTheme="majorBidi" w:cstheme="majorBidi"/>
                <w:lang w:val="en-US"/>
              </w:rPr>
              <w:t xml:space="preserve">                       </w:t>
            </w:r>
            <w:r w:rsidRPr="004D5160">
              <w:rPr>
                <w:rFonts w:asciiTheme="majorBidi" w:hAnsiTheme="majorBidi" w:cstheme="majorBidi"/>
                <w:lang w:val="en-US"/>
              </w:rPr>
              <w:t>Linear</w:t>
            </w:r>
          </w:p>
        </w:tc>
        <w:tc>
          <w:tcPr>
            <w:tcW w:w="0" w:type="auto"/>
            <w:vAlign w:val="center"/>
          </w:tcPr>
          <w:p w14:paraId="6A8812FE" w14:textId="0B1B7253" w:rsidR="003A7EA8" w:rsidRPr="004D5160" w:rsidRDefault="005D2A6D" w:rsidP="002631CE">
            <w:pPr>
              <w:tabs>
                <w:tab w:val="left" w:pos="2160"/>
                <w:tab w:val="left" w:pos="4410"/>
                <w:tab w:val="left" w:pos="6570"/>
                <w:tab w:val="left" w:pos="8010"/>
              </w:tabs>
              <w:spacing w:after="3" w:line="473" w:lineRule="auto"/>
              <w:ind w:right="144"/>
              <w:jc w:val="both"/>
              <w:rPr>
                <w:rFonts w:asciiTheme="majorBidi" w:hAnsiTheme="majorBidi" w:cstheme="majorBidi"/>
                <w:noProof/>
                <w:lang w:val="en-US" w:eastAsia="en-IN" w:bidi="he-IL"/>
              </w:rPr>
            </w:pPr>
            <w:r>
              <w:rPr>
                <w:rFonts w:asciiTheme="majorBidi" w:hAnsiTheme="majorBidi" w:cstheme="majorBidi"/>
                <w:lang w:val="en-US"/>
              </w:rPr>
              <w:t xml:space="preserve">                    </w:t>
            </w:r>
            <w:r w:rsidR="003A7EA8" w:rsidRPr="004D5160">
              <w:rPr>
                <w:rFonts w:asciiTheme="majorBidi" w:hAnsiTheme="majorBidi" w:cstheme="majorBidi"/>
                <w:lang w:val="en-US"/>
              </w:rPr>
              <w:t>Concave</w:t>
            </w:r>
          </w:p>
        </w:tc>
        <w:tc>
          <w:tcPr>
            <w:tcW w:w="0" w:type="auto"/>
            <w:vAlign w:val="center"/>
          </w:tcPr>
          <w:p w14:paraId="014D9563" w14:textId="4DE1BA11" w:rsidR="003A7EA8" w:rsidRPr="004D5160" w:rsidRDefault="005D2A6D" w:rsidP="002631CE">
            <w:pPr>
              <w:tabs>
                <w:tab w:val="left" w:pos="2160"/>
                <w:tab w:val="left" w:pos="4410"/>
                <w:tab w:val="left" w:pos="6570"/>
                <w:tab w:val="left" w:pos="8010"/>
              </w:tabs>
              <w:spacing w:after="3" w:line="473" w:lineRule="auto"/>
              <w:ind w:right="144"/>
              <w:jc w:val="both"/>
              <w:rPr>
                <w:rFonts w:asciiTheme="majorBidi" w:hAnsiTheme="majorBidi" w:cstheme="majorBidi"/>
                <w:noProof/>
                <w:lang w:val="en-US" w:eastAsia="en-IN" w:bidi="he-IL"/>
              </w:rPr>
            </w:pPr>
            <w:r>
              <w:rPr>
                <w:rFonts w:asciiTheme="majorBidi" w:hAnsiTheme="majorBidi" w:cstheme="majorBidi"/>
                <w:lang w:val="en-US"/>
              </w:rPr>
              <w:t xml:space="preserve">                        </w:t>
            </w:r>
            <w:r w:rsidR="003A7EA8" w:rsidRPr="004D5160">
              <w:rPr>
                <w:rFonts w:asciiTheme="majorBidi" w:hAnsiTheme="majorBidi" w:cstheme="majorBidi"/>
                <w:lang w:val="en-US"/>
              </w:rPr>
              <w:t>Convex</w:t>
            </w:r>
          </w:p>
        </w:tc>
      </w:tr>
      <w:tr w:rsidR="003A7EA8" w14:paraId="28913A98" w14:textId="77777777" w:rsidTr="00B35CC0">
        <w:tc>
          <w:tcPr>
            <w:tcW w:w="0" w:type="auto"/>
            <w:vAlign w:val="center"/>
          </w:tcPr>
          <w:p w14:paraId="7F20C818" w14:textId="77777777" w:rsidR="003A7EA8" w:rsidRPr="00BC76FD" w:rsidRDefault="003A7EA8" w:rsidP="002631CE">
            <w:pPr>
              <w:tabs>
                <w:tab w:val="left" w:pos="2160"/>
                <w:tab w:val="left" w:pos="4410"/>
                <w:tab w:val="left" w:pos="6570"/>
                <w:tab w:val="left" w:pos="8010"/>
              </w:tabs>
              <w:spacing w:after="3" w:line="473" w:lineRule="auto"/>
              <w:ind w:right="144"/>
              <w:jc w:val="both"/>
              <w:rPr>
                <w:rFonts w:asciiTheme="majorBidi" w:hAnsiTheme="majorBidi" w:cstheme="majorBidi"/>
                <w:lang w:val="en-US"/>
              </w:rPr>
            </w:pPr>
            <w:r w:rsidRPr="00BC76FD">
              <w:rPr>
                <w:rFonts w:asciiTheme="majorBidi" w:hAnsiTheme="majorBidi" w:cstheme="majorBidi"/>
                <w:lang w:val="en-US"/>
              </w:rPr>
              <w:t>Positive</w:t>
            </w:r>
          </w:p>
          <w:p w14:paraId="27A94DB3" w14:textId="77777777" w:rsidR="003A7EA8" w:rsidRPr="00BC76FD" w:rsidRDefault="003A7EA8" w:rsidP="002631CE">
            <w:pPr>
              <w:tabs>
                <w:tab w:val="left" w:pos="2160"/>
                <w:tab w:val="left" w:pos="4410"/>
                <w:tab w:val="left" w:pos="6570"/>
                <w:tab w:val="left" w:pos="8010"/>
              </w:tabs>
              <w:spacing w:after="3" w:line="473" w:lineRule="auto"/>
              <w:ind w:right="144"/>
              <w:jc w:val="both"/>
              <w:rPr>
                <w:rFonts w:asciiTheme="majorBidi" w:hAnsiTheme="majorBidi" w:cstheme="majorBidi"/>
                <w:lang w:val="en-US"/>
              </w:rPr>
            </w:pPr>
            <w:r w:rsidRPr="00BC76FD">
              <w:rPr>
                <w:rFonts w:asciiTheme="majorBidi" w:hAnsiTheme="majorBidi" w:cstheme="majorBidi"/>
                <w:i/>
                <w:iCs/>
                <w:lang w:val="en-US"/>
              </w:rPr>
              <w:t>y</w:t>
            </w:r>
            <w:r w:rsidRPr="00BC76FD">
              <w:rPr>
                <w:rFonts w:asciiTheme="majorBidi" w:hAnsiTheme="majorBidi" w:cstheme="majorBidi"/>
                <w:lang w:val="en-US"/>
              </w:rPr>
              <w:t>-intercept</w:t>
            </w:r>
          </w:p>
        </w:tc>
        <w:tc>
          <w:tcPr>
            <w:tcW w:w="0" w:type="auto"/>
            <w:vAlign w:val="center"/>
          </w:tcPr>
          <w:p w14:paraId="67572004" w14:textId="035D85B4" w:rsidR="005F3982" w:rsidRPr="006A76ED" w:rsidRDefault="006A76ED" w:rsidP="002631CE">
            <w:pPr>
              <w:tabs>
                <w:tab w:val="left" w:pos="2160"/>
                <w:tab w:val="left" w:pos="4410"/>
                <w:tab w:val="left" w:pos="6570"/>
                <w:tab w:val="left" w:pos="8010"/>
              </w:tabs>
              <w:spacing w:after="3" w:line="473" w:lineRule="auto"/>
              <w:ind w:right="144"/>
              <w:jc w:val="both"/>
              <w:rPr>
                <w:rFonts w:asciiTheme="majorBidi" w:hAnsiTheme="majorBidi" w:cstheme="majorBidi"/>
                <w:sz w:val="22"/>
                <w:szCs w:val="22"/>
                <w:lang w:val="en-US"/>
              </w:rPr>
            </w:pPr>
            <w:r w:rsidRPr="006A76ED">
              <w:rPr>
                <w:noProof/>
                <w:sz w:val="22"/>
                <w:szCs w:val="22"/>
              </w:rPr>
              <mc:AlternateContent>
                <mc:Choice Requires="wps">
                  <w:drawing>
                    <wp:anchor distT="0" distB="0" distL="114300" distR="114300" simplePos="0" relativeHeight="251583488" behindDoc="0" locked="0" layoutInCell="1" allowOverlap="1" wp14:anchorId="79CF4CAB" wp14:editId="7832173D">
                      <wp:simplePos x="0" y="0"/>
                      <wp:positionH relativeFrom="column">
                        <wp:posOffset>69215</wp:posOffset>
                      </wp:positionH>
                      <wp:positionV relativeFrom="paragraph">
                        <wp:posOffset>-615950</wp:posOffset>
                      </wp:positionV>
                      <wp:extent cx="923925" cy="1019175"/>
                      <wp:effectExtent l="6350" t="12700" r="12700" b="6350"/>
                      <wp:wrapTopAndBottom/>
                      <wp:docPr id="231688295" name="Rectangle: Rounded Corners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23925" cy="1019175"/>
                              </a:xfrm>
                              <a:prstGeom prst="roundRect">
                                <a:avLst>
                                  <a:gd name="adj" fmla="val 16667"/>
                                </a:avLst>
                              </a:prstGeom>
                              <a:blipFill dpi="0" rotWithShape="1">
                                <a:blip r:embed="rId31"/>
                                <a:srcRect/>
                                <a:stretch>
                                  <a:fillRect/>
                                </a:stretch>
                              </a:blipFill>
                              <a:ln w="12700">
                                <a:solidFill>
                                  <a:schemeClr val="accent1">
                                    <a:lumMod val="50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2855C05D" id="Rectangle: Rounded Corners 58" o:spid="_x0000_s1026" style="position:absolute;margin-left:5.45pt;margin-top:-48.5pt;width:72.75pt;height:80.25pt;z-index:251583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" strokecolor="#1f3763 [1604]" strokeweight="1pt">
                      <v:fill r:id="rId32" o:title="" recolor="t" rotate="t" type="frame"/>
                      <v:stroke joinstyle="miter"/>
                      <w10:wrap type="topAndBottom"/>
                    </v:roundrect>
                  </w:pict>
                </mc:Fallback>
              </mc:AlternateContent>
            </w:r>
            <w:r w:rsidR="009B37D0" w:rsidRPr="006A76ED">
              <w:rPr>
                <w:noProof/>
                <w:sz w:val="22"/>
                <w:szCs w:val="22"/>
              </w:rPr>
              <mc:AlternateContent>
                <mc:Choice Requires="wps">
                  <w:drawing>
                    <wp:anchor distT="0" distB="0" distL="114300" distR="114300" simplePos="0" relativeHeight="251735040" behindDoc="0" locked="0" layoutInCell="1" allowOverlap="1" wp14:anchorId="76DDDF71" wp14:editId="471A7C89">
                      <wp:simplePos x="0" y="0"/>
                      <wp:positionH relativeFrom="column">
                        <wp:posOffset>1462405</wp:posOffset>
                      </wp:positionH>
                      <wp:positionV relativeFrom="paragraph">
                        <wp:posOffset>48895</wp:posOffset>
                      </wp:positionV>
                      <wp:extent cx="837565" cy="1009650"/>
                      <wp:effectExtent l="6350" t="8890" r="13335" b="10160"/>
                      <wp:wrapNone/>
                      <wp:docPr id="1153494983" name="Rectangl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7565" cy="1009650"/>
                              </a:xfrm>
                              <a:prstGeom prst="rect">
                                <a:avLst/>
                              </a:prstGeom>
                              <a:blipFill dpi="0" rotWithShape="1">
                                <a:blip r:embed="rId33"/>
                                <a:srcRect/>
                                <a:stretch>
                                  <a:fillRect/>
                                </a:stretch>
                              </a:blipFill>
                              <a:ln w="12700">
                                <a:solidFill>
                                  <a:schemeClr val="accent1">
                                    <a:lumMod val="50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04EA1592" id="Rectangle 56" o:spid="_x0000_s1026" style="position:absolute;margin-left:115.15pt;margin-top:3.85pt;width:65.95pt;height:79.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" strokecolor="#1f3763 [1604]" strokeweight="1pt">
                      <v:fill r:id="rId34" o:title="" recolor="t" rotate="t" type="frame"/>
                    </v:rect>
                  </w:pict>
                </mc:Fallback>
              </mc:AlternateContent>
            </w:r>
          </w:p>
          <w:p w14:paraId="57A646E9" w14:textId="6F4527A0" w:rsidR="003A7EA8" w:rsidRPr="006A76ED" w:rsidRDefault="003A7EA8" w:rsidP="002631CE">
            <w:pPr>
              <w:tabs>
                <w:tab w:val="left" w:pos="2160"/>
                <w:tab w:val="left" w:pos="4410"/>
                <w:tab w:val="left" w:pos="6570"/>
                <w:tab w:val="left" w:pos="8010"/>
              </w:tabs>
              <w:spacing w:after="3" w:line="473" w:lineRule="auto"/>
              <w:ind w:right="144"/>
              <w:jc w:val="both"/>
              <w:rPr>
                <w:rFonts w:asciiTheme="majorBidi" w:hAnsiTheme="majorBidi" w:cstheme="majorBidi"/>
                <w:sz w:val="22"/>
                <w:szCs w:val="22"/>
                <w:lang w:val="en-US"/>
              </w:rPr>
            </w:pPr>
            <w:r w:rsidRPr="006A76ED">
              <w:rPr>
                <w:rFonts w:asciiTheme="majorBidi" w:hAnsiTheme="majorBidi" w:cstheme="majorBidi"/>
                <w:sz w:val="22"/>
                <w:szCs w:val="22"/>
                <w:lang w:val="en-US"/>
              </w:rPr>
              <w:t xml:space="preserve">The observed isotopic ratio must decline with either increasing denominator or total element concentration due to a positive </w:t>
            </w:r>
            <w:r w:rsidRPr="006A76ED">
              <w:rPr>
                <w:rFonts w:asciiTheme="majorBidi" w:hAnsiTheme="majorBidi" w:cstheme="majorBidi"/>
                <w:i/>
                <w:iCs/>
                <w:sz w:val="22"/>
                <w:szCs w:val="22"/>
                <w:lang w:val="en-US"/>
              </w:rPr>
              <w:t>y</w:t>
            </w:r>
            <w:r w:rsidRPr="006A76ED">
              <w:rPr>
                <w:rFonts w:asciiTheme="majorBidi" w:hAnsiTheme="majorBidi" w:cstheme="majorBidi"/>
                <w:sz w:val="22"/>
                <w:szCs w:val="22"/>
                <w:lang w:val="en-US"/>
              </w:rPr>
              <w:t xml:space="preserve">-intercept (background &gt; source) effect. For all linear functions </w:t>
            </w:r>
            <w:r w:rsidRPr="006A76ED">
              <w:rPr>
                <w:rFonts w:asciiTheme="majorBidi" w:hAnsiTheme="majorBidi" w:cstheme="majorBidi"/>
                <w:i/>
                <w:iCs/>
                <w:sz w:val="22"/>
                <w:szCs w:val="22"/>
                <w:lang w:val="en-US"/>
              </w:rPr>
              <w:t xml:space="preserve">y </w:t>
            </w:r>
            <w:r w:rsidRPr="006A76ED">
              <w:rPr>
                <w:rFonts w:asciiTheme="majorBidi" w:hAnsiTheme="majorBidi" w:cstheme="majorBidi"/>
                <w:sz w:val="22"/>
                <w:szCs w:val="22"/>
                <w:lang w:val="en-US"/>
              </w:rPr>
              <w:t>= m</w:t>
            </w:r>
            <w:r w:rsidRPr="006A76ED">
              <w:rPr>
                <w:rFonts w:asciiTheme="majorBidi" w:hAnsiTheme="majorBidi" w:cstheme="majorBidi"/>
                <w:i/>
                <w:iCs/>
                <w:sz w:val="22"/>
                <w:szCs w:val="22"/>
                <w:lang w:val="en-US"/>
              </w:rPr>
              <w:t>x</w:t>
            </w:r>
            <w:r w:rsidRPr="006A76ED">
              <w:rPr>
                <w:rFonts w:asciiTheme="majorBidi" w:hAnsiTheme="majorBidi" w:cstheme="majorBidi"/>
                <w:sz w:val="22"/>
                <w:szCs w:val="22"/>
                <w:lang w:val="en-US"/>
              </w:rPr>
              <w:t xml:space="preserve"> + b; and </w:t>
            </w:r>
            <w:r w:rsidRPr="006A76ED">
              <w:rPr>
                <w:rFonts w:asciiTheme="majorBidi" w:hAnsiTheme="majorBidi" w:cstheme="majorBidi"/>
                <w:i/>
                <w:iCs/>
                <w:sz w:val="22"/>
                <w:szCs w:val="22"/>
                <w:lang w:val="en-US"/>
              </w:rPr>
              <w:t>y</w:t>
            </w:r>
            <w:r w:rsidRPr="006A76ED">
              <w:rPr>
                <w:rFonts w:asciiTheme="majorBidi" w:hAnsiTheme="majorBidi" w:cstheme="majorBidi"/>
                <w:sz w:val="22"/>
                <w:szCs w:val="22"/>
                <w:lang w:val="en-US"/>
              </w:rPr>
              <w:t>/</w:t>
            </w:r>
            <w:r w:rsidRPr="006A76ED">
              <w:rPr>
                <w:rFonts w:asciiTheme="majorBidi" w:hAnsiTheme="majorBidi" w:cstheme="majorBidi"/>
                <w:i/>
                <w:iCs/>
                <w:sz w:val="22"/>
                <w:szCs w:val="22"/>
                <w:lang w:val="en-US"/>
              </w:rPr>
              <w:t xml:space="preserve">x </w:t>
            </w:r>
            <w:r w:rsidRPr="006A76ED">
              <w:rPr>
                <w:rFonts w:asciiTheme="majorBidi" w:hAnsiTheme="majorBidi" w:cstheme="majorBidi"/>
                <w:sz w:val="22"/>
                <w:szCs w:val="22"/>
                <w:lang w:val="en-US"/>
              </w:rPr>
              <w:t>= (1/</w:t>
            </w:r>
            <w:r w:rsidRPr="006A76ED">
              <w:rPr>
                <w:rFonts w:asciiTheme="majorBidi" w:hAnsiTheme="majorBidi" w:cstheme="majorBidi"/>
                <w:i/>
                <w:iCs/>
                <w:sz w:val="22"/>
                <w:szCs w:val="22"/>
                <w:lang w:val="en-US"/>
              </w:rPr>
              <w:t>x</w:t>
            </w:r>
            <w:r w:rsidRPr="006A76ED">
              <w:rPr>
                <w:rFonts w:asciiTheme="majorBidi" w:hAnsiTheme="majorBidi" w:cstheme="majorBidi"/>
                <w:sz w:val="22"/>
                <w:szCs w:val="22"/>
                <w:lang w:val="en-US"/>
              </w:rPr>
              <w:t xml:space="preserve">) b + m. Therefore, the observed ratio (red) will decline and asymptotically approach the slope of the original denominator vs. </w:t>
            </w:r>
            <w:r w:rsidRPr="006A76ED">
              <w:rPr>
                <w:rFonts w:asciiTheme="majorBidi" w:hAnsiTheme="majorBidi" w:cstheme="majorBidi"/>
                <w:sz w:val="22"/>
                <w:szCs w:val="22"/>
                <w:lang w:val="en-US"/>
              </w:rPr>
              <w:lastRenderedPageBreak/>
              <w:t xml:space="preserve">numerator function. If the original denominator vs. numerator function had a zero y-intercept the isotopic ratio would not change with either denominator size or total elemental concentration (shown in blue). The original denominator vs. numerator slope (left side figure) equals the observed constant isotopic ratio shown in blue for the upper right corner figure. The drivers of isotopic ratio changes in this example are the background (indicated by the positive </w:t>
            </w:r>
            <w:r w:rsidRPr="006A76ED">
              <w:rPr>
                <w:rFonts w:asciiTheme="majorBidi" w:hAnsiTheme="majorBidi" w:cstheme="majorBidi"/>
                <w:i/>
                <w:iCs/>
                <w:sz w:val="22"/>
                <w:szCs w:val="22"/>
                <w:lang w:val="en-US"/>
              </w:rPr>
              <w:t>y</w:t>
            </w:r>
            <w:r w:rsidRPr="006A76ED">
              <w:rPr>
                <w:rFonts w:asciiTheme="majorBidi" w:hAnsiTheme="majorBidi" w:cstheme="majorBidi"/>
                <w:sz w:val="22"/>
                <w:szCs w:val="22"/>
                <w:lang w:val="en-US"/>
              </w:rPr>
              <w:t>-intercept of the original denominator vs. function) and total elemental concentration.</w:t>
            </w:r>
          </w:p>
          <w:p w14:paraId="5F371771" w14:textId="77777777" w:rsidR="009048D2" w:rsidRPr="006A76ED" w:rsidRDefault="009048D2" w:rsidP="002631CE">
            <w:pPr>
              <w:tabs>
                <w:tab w:val="left" w:pos="2160"/>
                <w:tab w:val="left" w:pos="4410"/>
                <w:tab w:val="left" w:pos="6570"/>
                <w:tab w:val="left" w:pos="8010"/>
              </w:tabs>
              <w:spacing w:after="3" w:line="473" w:lineRule="auto"/>
              <w:ind w:right="144"/>
              <w:jc w:val="both"/>
              <w:rPr>
                <w:rFonts w:asciiTheme="majorBidi" w:hAnsiTheme="majorBidi" w:cstheme="majorBidi"/>
                <w:sz w:val="22"/>
                <w:szCs w:val="22"/>
                <w:lang w:val="en-US"/>
              </w:rPr>
            </w:pPr>
          </w:p>
          <w:p w14:paraId="7B39CD7A" w14:textId="77777777" w:rsidR="009048D2" w:rsidRPr="006A76ED" w:rsidRDefault="009048D2" w:rsidP="002631CE">
            <w:pPr>
              <w:tabs>
                <w:tab w:val="left" w:pos="2160"/>
                <w:tab w:val="left" w:pos="4410"/>
                <w:tab w:val="left" w:pos="6570"/>
                <w:tab w:val="left" w:pos="8010"/>
              </w:tabs>
              <w:spacing w:after="3" w:line="473" w:lineRule="auto"/>
              <w:ind w:right="144"/>
              <w:jc w:val="both"/>
              <w:rPr>
                <w:rFonts w:asciiTheme="majorBidi" w:hAnsiTheme="majorBidi" w:cstheme="majorBidi"/>
                <w:sz w:val="22"/>
                <w:szCs w:val="22"/>
                <w:lang w:val="en-US"/>
              </w:rPr>
            </w:pPr>
          </w:p>
          <w:p w14:paraId="25168965" w14:textId="2507690C" w:rsidR="009048D2" w:rsidRPr="006A76ED" w:rsidRDefault="009048D2" w:rsidP="002631CE">
            <w:pPr>
              <w:tabs>
                <w:tab w:val="left" w:pos="2160"/>
                <w:tab w:val="left" w:pos="4410"/>
                <w:tab w:val="left" w:pos="6570"/>
                <w:tab w:val="left" w:pos="8010"/>
              </w:tabs>
              <w:spacing w:after="3" w:line="473" w:lineRule="auto"/>
              <w:ind w:right="144"/>
              <w:jc w:val="both"/>
              <w:rPr>
                <w:rFonts w:asciiTheme="majorBidi" w:hAnsiTheme="majorBidi" w:cstheme="majorBidi"/>
                <w:sz w:val="22"/>
                <w:szCs w:val="22"/>
                <w:lang w:val="en-US"/>
              </w:rPr>
            </w:pPr>
          </w:p>
        </w:tc>
        <w:tc>
          <w:tcPr>
            <w:tcW w:w="0" w:type="auto"/>
            <w:vAlign w:val="center"/>
          </w:tcPr>
          <w:p w14:paraId="473F9173" w14:textId="199D217D" w:rsidR="005F3982" w:rsidRPr="006A76ED" w:rsidRDefault="00F21C3D" w:rsidP="002631CE">
            <w:pPr>
              <w:tabs>
                <w:tab w:val="left" w:pos="2160"/>
                <w:tab w:val="left" w:pos="4410"/>
                <w:tab w:val="left" w:pos="6570"/>
                <w:tab w:val="left" w:pos="8010"/>
              </w:tabs>
              <w:spacing w:after="3" w:line="473" w:lineRule="auto"/>
              <w:ind w:right="144"/>
              <w:jc w:val="both"/>
              <w:rPr>
                <w:rFonts w:asciiTheme="majorBidi" w:hAnsiTheme="majorBidi" w:cstheme="majorBidi"/>
                <w:sz w:val="22"/>
                <w:szCs w:val="22"/>
                <w:lang w:val="en-US"/>
              </w:rPr>
            </w:pPr>
            <w:r w:rsidRPr="006A76ED">
              <w:rPr>
                <w:noProof/>
                <w:sz w:val="22"/>
                <w:szCs w:val="22"/>
              </w:rPr>
              <w:lastRenderedPageBreak/>
              <mc:AlternateContent>
                <mc:Choice Requires="wps">
                  <w:drawing>
                    <wp:anchor distT="0" distB="0" distL="114300" distR="114300" simplePos="0" relativeHeight="251648000" behindDoc="0" locked="0" layoutInCell="1" allowOverlap="1" wp14:anchorId="20D6FF35" wp14:editId="339F4273">
                      <wp:simplePos x="0" y="0"/>
                      <wp:positionH relativeFrom="column">
                        <wp:posOffset>215265</wp:posOffset>
                      </wp:positionH>
                      <wp:positionV relativeFrom="paragraph">
                        <wp:posOffset>62865</wp:posOffset>
                      </wp:positionV>
                      <wp:extent cx="838200" cy="1047750"/>
                      <wp:effectExtent l="14605" t="13335" r="13970" b="15240"/>
                      <wp:wrapTopAndBottom/>
                      <wp:docPr id="1704749925" name="Rectangle: Rounded Corners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8200" cy="1047750"/>
                              </a:xfrm>
                              <a:prstGeom prst="roundRect">
                                <a:avLst>
                                  <a:gd name="adj" fmla="val 16667"/>
                                </a:avLst>
                              </a:prstGeom>
                              <a:blipFill dpi="0" rotWithShape="1">
                                <a:blip r:embed="rId35"/>
                                <a:srcRect/>
                                <a:stretch>
                                  <a:fillRect/>
                                </a:stretch>
                              </a:blipFill>
                              <a:ln w="12700">
                                <a:solidFill>
                                  <a:schemeClr val="accent1">
                                    <a:lumMod val="50000"/>
                                    <a:lumOff val="0"/>
                                  </a:schemeClr>
                                </a:solidFill>
                                <a:miter lim="800000"/>
                                <a:headEnd/>
                                <a:tailEnd/>
                              </a:ln>
                            </wps:spPr>
                            <wps:txbx>
                              <w:txbxContent>
                                <w:p w14:paraId="23D1A0B8" w14:textId="77777777" w:rsidR="003A7EA8" w:rsidRDefault="003A7EA8" w:rsidP="003A7EA8">
                                  <w:pPr>
                                    <w:jc w:val="cente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20D6FF35" id="Rectangle: Rounded Corners 60" o:spid="_x0000_s1026" style="position:absolute;left:0;text-align:left;margin-left:16.95pt;margin-top:4.95pt;width:66pt;height:82.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" strokecolor="#1f3763 [1604]" strokeweight="1pt">
                      <v:fill r:id="rId36" o:title="" recolor="t" rotate="t" type="frame"/>
                      <v:stroke joinstyle="miter"/>
                      <v:textbox>
                        <w:txbxContent>
                          <w:p w14:paraId="23D1A0B8" w14:textId="77777777" w:rsidR="003A7EA8" w:rsidRDefault="003A7EA8" w:rsidP="003A7EA8">
                            <w:pPr>
                              <w:jc w:val="center"/>
                            </w:pPr>
                          </w:p>
                        </w:txbxContent>
                      </v:textbox>
                      <w10:wrap type="topAndBottom"/>
                    </v:roundrect>
                  </w:pict>
                </mc:Fallback>
              </mc:AlternateContent>
            </w:r>
            <w:r w:rsidR="009B37D0" w:rsidRPr="006A76ED">
              <w:rPr>
                <w:noProof/>
                <w:sz w:val="22"/>
                <w:szCs w:val="22"/>
              </w:rPr>
              <mc:AlternateContent>
                <mc:Choice Requires="wps">
                  <w:drawing>
                    <wp:anchor distT="0" distB="0" distL="114300" distR="114300" simplePos="0" relativeHeight="251657216" behindDoc="0" locked="0" layoutInCell="1" allowOverlap="1" wp14:anchorId="7483EFAD" wp14:editId="1F35C41A">
                      <wp:simplePos x="0" y="0"/>
                      <wp:positionH relativeFrom="column">
                        <wp:posOffset>1355090</wp:posOffset>
                      </wp:positionH>
                      <wp:positionV relativeFrom="paragraph">
                        <wp:posOffset>68580</wp:posOffset>
                      </wp:positionV>
                      <wp:extent cx="866775" cy="1038225"/>
                      <wp:effectExtent l="11430" t="9525" r="7620" b="9525"/>
                      <wp:wrapNone/>
                      <wp:docPr id="2090554165"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1038225"/>
                              </a:xfrm>
                              <a:prstGeom prst="rect">
                                <a:avLst/>
                              </a:prstGeom>
                              <a:blipFill dpi="0" rotWithShape="1">
                                <a:blip r:embed="rId37"/>
                                <a:srcRect/>
                                <a:stretch>
                                  <a:fillRect/>
                                </a:stretch>
                              </a:blipFill>
                              <a:ln w="12700">
                                <a:solidFill>
                                  <a:schemeClr val="accent1">
                                    <a:lumMod val="50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1CCFB2C1" id="Rectangle 59" o:spid="_x0000_s1026" style="position:absolute;margin-left:106.7pt;margin-top:5.4pt;width:68.25pt;height:81.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" strokecolor="#1f3763 [1604]" strokeweight="1pt">
                      <v:fill r:id="rId38" o:title="" recolor="t" rotate="t" type="frame"/>
                    </v:rect>
                  </w:pict>
                </mc:Fallback>
              </mc:AlternateContent>
            </w:r>
          </w:p>
          <w:p w14:paraId="6CA1B876" w14:textId="371AF233" w:rsidR="003A7EA8" w:rsidRPr="006A76ED" w:rsidRDefault="003A7EA8" w:rsidP="002631CE">
            <w:pPr>
              <w:tabs>
                <w:tab w:val="left" w:pos="2160"/>
                <w:tab w:val="left" w:pos="4410"/>
                <w:tab w:val="left" w:pos="6570"/>
                <w:tab w:val="left" w:pos="8010"/>
              </w:tabs>
              <w:spacing w:after="3" w:line="473" w:lineRule="auto"/>
              <w:ind w:right="144"/>
              <w:jc w:val="both"/>
              <w:rPr>
                <w:rFonts w:asciiTheme="majorBidi" w:hAnsiTheme="majorBidi" w:cstheme="majorBidi"/>
                <w:b/>
                <w:bCs/>
                <w:sz w:val="22"/>
                <w:szCs w:val="22"/>
                <w:u w:val="single"/>
                <w:lang w:val="en-US"/>
              </w:rPr>
            </w:pPr>
            <w:r w:rsidRPr="006A76ED">
              <w:rPr>
                <w:rFonts w:asciiTheme="majorBidi" w:hAnsiTheme="majorBidi" w:cstheme="majorBidi"/>
                <w:sz w:val="22"/>
                <w:szCs w:val="22"/>
                <w:lang w:val="en-US"/>
              </w:rPr>
              <w:t xml:space="preserve">In addition to the positive </w:t>
            </w:r>
            <w:r w:rsidRPr="006A76ED">
              <w:rPr>
                <w:rFonts w:asciiTheme="majorBidi" w:hAnsiTheme="majorBidi" w:cstheme="majorBidi"/>
                <w:i/>
                <w:iCs/>
                <w:sz w:val="22"/>
                <w:szCs w:val="22"/>
                <w:lang w:val="en-US"/>
              </w:rPr>
              <w:t>y</w:t>
            </w:r>
            <w:r w:rsidRPr="006A76ED">
              <w:rPr>
                <w:rFonts w:asciiTheme="majorBidi" w:hAnsiTheme="majorBidi" w:cstheme="majorBidi"/>
                <w:sz w:val="22"/>
                <w:szCs w:val="22"/>
                <w:lang w:val="en-US"/>
              </w:rPr>
              <w:t xml:space="preserve">-intercept (background &gt; source) effect described for linear functions which produces declining ratios as denominator or total element increases; changing concave curvature (representing a source that is becoming more depleted) also results in declining ratios. The combined intercept and curvature effects produces a pattern </w:t>
            </w:r>
            <w:r w:rsidRPr="006A76ED">
              <w:rPr>
                <w:rFonts w:asciiTheme="majorBidi" w:hAnsiTheme="majorBidi" w:cstheme="majorBidi"/>
                <w:sz w:val="22"/>
                <w:szCs w:val="22"/>
                <w:lang w:val="en-US"/>
              </w:rPr>
              <w:lastRenderedPageBreak/>
              <w:t xml:space="preserve">where the observed ratio (red) starts higher and declines more quickly than what occurs for a concave function with a zero </w:t>
            </w:r>
            <w:r w:rsidRPr="006A76ED">
              <w:rPr>
                <w:rFonts w:asciiTheme="majorBidi" w:hAnsiTheme="majorBidi" w:cstheme="majorBidi"/>
                <w:i/>
                <w:iCs/>
                <w:sz w:val="22"/>
                <w:szCs w:val="22"/>
                <w:lang w:val="en-US"/>
              </w:rPr>
              <w:t>y</w:t>
            </w:r>
            <w:r w:rsidRPr="006A76ED">
              <w:rPr>
                <w:rFonts w:asciiTheme="majorBidi" w:hAnsiTheme="majorBidi" w:cstheme="majorBidi"/>
                <w:sz w:val="22"/>
                <w:szCs w:val="22"/>
                <w:lang w:val="en-US"/>
              </w:rPr>
              <w:t xml:space="preserve">-intercept (shown in blue). However, the observed ratio will asymptotically approach the concave zero </w:t>
            </w:r>
            <w:r w:rsidRPr="006A76ED">
              <w:rPr>
                <w:rFonts w:asciiTheme="majorBidi" w:hAnsiTheme="majorBidi" w:cstheme="majorBidi"/>
                <w:i/>
                <w:iCs/>
                <w:sz w:val="22"/>
                <w:szCs w:val="22"/>
                <w:lang w:val="en-US"/>
              </w:rPr>
              <w:t>y</w:t>
            </w:r>
            <w:r w:rsidRPr="006A76ED">
              <w:rPr>
                <w:rFonts w:asciiTheme="majorBidi" w:hAnsiTheme="majorBidi" w:cstheme="majorBidi"/>
                <w:sz w:val="22"/>
                <w:szCs w:val="22"/>
                <w:lang w:val="en-US"/>
              </w:rPr>
              <w:t xml:space="preserve">-intercept values (blue) for large denominator or total element concentrations. The background (indicated by a positive </w:t>
            </w:r>
            <w:r w:rsidRPr="006A76ED">
              <w:rPr>
                <w:rFonts w:asciiTheme="majorBidi" w:hAnsiTheme="majorBidi" w:cstheme="majorBidi"/>
                <w:i/>
                <w:iCs/>
                <w:sz w:val="22"/>
                <w:szCs w:val="22"/>
                <w:lang w:val="en-US"/>
              </w:rPr>
              <w:t>y</w:t>
            </w:r>
            <w:r w:rsidRPr="006A76ED">
              <w:rPr>
                <w:rFonts w:asciiTheme="majorBidi" w:hAnsiTheme="majorBidi" w:cstheme="majorBidi"/>
                <w:sz w:val="22"/>
                <w:szCs w:val="22"/>
                <w:lang w:val="en-US"/>
              </w:rPr>
              <w:t>-intercept in the original denominator vs. numerator relationship) is the major driver during the early increase in total element concentration. A changing source (indicated by the concave denominator vs. numerator function) is the major driver during the late increase in total element concentration.</w:t>
            </w:r>
          </w:p>
        </w:tc>
        <w:tc>
          <w:tcPr>
            <w:tcW w:w="0" w:type="auto"/>
            <w:vAlign w:val="center"/>
          </w:tcPr>
          <w:p w14:paraId="78658D3E" w14:textId="2C371A3F" w:rsidR="005F3982" w:rsidRPr="006A76ED" w:rsidRDefault="009B37D0" w:rsidP="002631CE">
            <w:pPr>
              <w:tabs>
                <w:tab w:val="left" w:pos="2160"/>
                <w:tab w:val="left" w:pos="4410"/>
                <w:tab w:val="left" w:pos="6570"/>
                <w:tab w:val="left" w:pos="8010"/>
              </w:tabs>
              <w:spacing w:after="3" w:line="473" w:lineRule="auto"/>
              <w:ind w:right="144"/>
              <w:jc w:val="both"/>
              <w:rPr>
                <w:rFonts w:asciiTheme="majorBidi" w:hAnsiTheme="majorBidi" w:cstheme="majorBidi"/>
                <w:sz w:val="22"/>
                <w:szCs w:val="22"/>
                <w:lang w:val="en-US"/>
              </w:rPr>
            </w:pPr>
            <w:r w:rsidRPr="006A76ED">
              <w:rPr>
                <w:noProof/>
                <w:sz w:val="22"/>
                <w:szCs w:val="22"/>
              </w:rPr>
              <w:lastRenderedPageBreak/>
              <mc:AlternateContent>
                <mc:Choice Requires="wps">
                  <w:drawing>
                    <wp:anchor distT="0" distB="0" distL="114300" distR="114300" simplePos="0" relativeHeight="251660288" behindDoc="0" locked="0" layoutInCell="1" allowOverlap="1" wp14:anchorId="7A7F3AD8" wp14:editId="30AE5D1E">
                      <wp:simplePos x="0" y="0"/>
                      <wp:positionH relativeFrom="column">
                        <wp:posOffset>1527810</wp:posOffset>
                      </wp:positionH>
                      <wp:positionV relativeFrom="paragraph">
                        <wp:posOffset>173355</wp:posOffset>
                      </wp:positionV>
                      <wp:extent cx="847090" cy="1000125"/>
                      <wp:effectExtent l="9525" t="14605" r="10160" b="13970"/>
                      <wp:wrapNone/>
                      <wp:docPr id="1976107454" name="Rectangle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47090" cy="1000125"/>
                              </a:xfrm>
                              <a:prstGeom prst="rect">
                                <a:avLst/>
                              </a:prstGeom>
                              <a:blipFill dpi="0" rotWithShape="1">
                                <a:blip r:embed="rId39"/>
                                <a:srcRect/>
                                <a:stretch>
                                  <a:fillRect/>
                                </a:stretch>
                              </a:blipFill>
                              <a:ln w="12700">
                                <a:solidFill>
                                  <a:schemeClr val="accent1">
                                    <a:lumMod val="50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24DBEDE2" id="Rectangle 66" o:spid="_x0000_s1026" style="position:absolute;margin-left:120.3pt;margin-top:13.65pt;width:66.7pt;height:78.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" strokecolor="#1f3763 [1604]" strokeweight="1pt">
                      <v:fill r:id="rId40" o:title="" recolor="t" rotate="t" type="frame"/>
                    </v:rect>
                  </w:pict>
                </mc:Fallback>
              </mc:AlternateContent>
            </w:r>
            <w:r w:rsidRPr="006A76ED">
              <w:rPr>
                <w:noProof/>
                <w:sz w:val="22"/>
                <w:szCs w:val="22"/>
              </w:rPr>
              <mc:AlternateContent>
                <mc:Choice Requires="wps">
                  <w:drawing>
                    <wp:anchor distT="0" distB="0" distL="114300" distR="114300" simplePos="0" relativeHeight="251623424" behindDoc="0" locked="0" layoutInCell="1" allowOverlap="1" wp14:anchorId="7C49E44A" wp14:editId="01100BF0">
                      <wp:simplePos x="0" y="0"/>
                      <wp:positionH relativeFrom="column">
                        <wp:posOffset>137160</wp:posOffset>
                      </wp:positionH>
                      <wp:positionV relativeFrom="paragraph">
                        <wp:posOffset>116205</wp:posOffset>
                      </wp:positionV>
                      <wp:extent cx="923925" cy="1028700"/>
                      <wp:effectExtent l="9525" t="14605" r="9525" b="13970"/>
                      <wp:wrapTopAndBottom/>
                      <wp:docPr id="1524862132" name="Rectangle: Rounded Corners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23925" cy="1028700"/>
                              </a:xfrm>
                              <a:prstGeom prst="roundRect">
                                <a:avLst>
                                  <a:gd name="adj" fmla="val 16667"/>
                                </a:avLst>
                              </a:prstGeom>
                              <a:blipFill dpi="0" rotWithShape="1">
                                <a:blip r:embed="rId41"/>
                                <a:srcRect/>
                                <a:stretch>
                                  <a:fillRect/>
                                </a:stretch>
                              </a:blipFill>
                              <a:ln w="12700">
                                <a:solidFill>
                                  <a:schemeClr val="accent1">
                                    <a:lumMod val="50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6FD95F43" id="Rectangle: Rounded Corners 67" o:spid="_x0000_s1026" style="position:absolute;margin-left:10.8pt;margin-top:9.15pt;width:72.75pt;height:81pt;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" strokecolor="#1f3763 [1604]" strokeweight="1pt">
                      <v:fill r:id="rId42" o:title="" recolor="t" rotate="t" type="frame"/>
                      <v:stroke joinstyle="miter"/>
                      <w10:wrap type="topAndBottom"/>
                    </v:roundrect>
                  </w:pict>
                </mc:Fallback>
              </mc:AlternateContent>
            </w:r>
          </w:p>
          <w:p w14:paraId="5C39BF69" w14:textId="328A4F28" w:rsidR="003A7EA8" w:rsidRPr="006A76ED" w:rsidRDefault="003A7EA8" w:rsidP="002631CE">
            <w:pPr>
              <w:tabs>
                <w:tab w:val="left" w:pos="2160"/>
                <w:tab w:val="left" w:pos="4410"/>
                <w:tab w:val="left" w:pos="6570"/>
                <w:tab w:val="left" w:pos="8010"/>
              </w:tabs>
              <w:spacing w:after="3" w:line="473" w:lineRule="auto"/>
              <w:ind w:right="144"/>
              <w:jc w:val="both"/>
              <w:rPr>
                <w:rFonts w:asciiTheme="majorBidi" w:hAnsiTheme="majorBidi" w:cstheme="majorBidi"/>
                <w:sz w:val="22"/>
                <w:szCs w:val="22"/>
                <w:lang w:val="en-US"/>
              </w:rPr>
            </w:pPr>
            <w:r w:rsidRPr="006A76ED">
              <w:rPr>
                <w:rFonts w:asciiTheme="majorBidi" w:hAnsiTheme="majorBidi" w:cstheme="majorBidi"/>
                <w:sz w:val="22"/>
                <w:szCs w:val="22"/>
                <w:lang w:val="en-US"/>
              </w:rPr>
              <w:t xml:space="preserve">In addition to the positive </w:t>
            </w:r>
            <w:r w:rsidRPr="006A76ED">
              <w:rPr>
                <w:rFonts w:asciiTheme="majorBidi" w:hAnsiTheme="majorBidi" w:cstheme="majorBidi"/>
                <w:i/>
                <w:iCs/>
                <w:sz w:val="22"/>
                <w:szCs w:val="22"/>
                <w:lang w:val="en-US"/>
              </w:rPr>
              <w:t>y</w:t>
            </w:r>
            <w:r w:rsidRPr="006A76ED">
              <w:rPr>
                <w:rFonts w:asciiTheme="majorBidi" w:hAnsiTheme="majorBidi" w:cstheme="majorBidi"/>
                <w:sz w:val="22"/>
                <w:szCs w:val="22"/>
                <w:lang w:val="en-US"/>
              </w:rPr>
              <w:t xml:space="preserve">-intercept (background &gt; source) effect described for linear functions which initially produces decreasing observed ratios (red) as denominator or total element increases, changing convex curvature (representing a source that is becoming more enriched) eventually results in increasing ratios. The combined </w:t>
            </w:r>
            <w:r w:rsidRPr="006A76ED">
              <w:rPr>
                <w:rFonts w:asciiTheme="majorBidi" w:hAnsiTheme="majorBidi" w:cstheme="majorBidi"/>
                <w:sz w:val="22"/>
                <w:szCs w:val="22"/>
                <w:lang w:val="en-US"/>
              </w:rPr>
              <w:lastRenderedPageBreak/>
              <w:t xml:space="preserve">intercept and curvature effects produces a pattern where the ratio first decreases and then flattens at a minimum value before increasing. Eventually, the ratio will asymptotically approach the concave zero </w:t>
            </w:r>
            <w:r w:rsidRPr="006A76ED">
              <w:rPr>
                <w:rFonts w:asciiTheme="majorBidi" w:hAnsiTheme="majorBidi" w:cstheme="majorBidi"/>
                <w:i/>
                <w:iCs/>
                <w:sz w:val="22"/>
                <w:szCs w:val="22"/>
                <w:lang w:val="en-US"/>
              </w:rPr>
              <w:t>y</w:t>
            </w:r>
            <w:r w:rsidRPr="006A76ED">
              <w:rPr>
                <w:rFonts w:asciiTheme="majorBidi" w:hAnsiTheme="majorBidi" w:cstheme="majorBidi"/>
                <w:sz w:val="22"/>
                <w:szCs w:val="22"/>
                <w:lang w:val="en-US"/>
              </w:rPr>
              <w:t xml:space="preserve">-intercept values (blue) for large denominator or total element concentrations. The background (indicated by a positive </w:t>
            </w:r>
            <w:r w:rsidRPr="006A76ED">
              <w:rPr>
                <w:rFonts w:asciiTheme="majorBidi" w:hAnsiTheme="majorBidi" w:cstheme="majorBidi"/>
                <w:i/>
                <w:iCs/>
                <w:sz w:val="22"/>
                <w:szCs w:val="22"/>
                <w:lang w:val="en-US"/>
              </w:rPr>
              <w:t>y</w:t>
            </w:r>
            <w:r w:rsidRPr="006A76ED">
              <w:rPr>
                <w:rFonts w:asciiTheme="majorBidi" w:hAnsiTheme="majorBidi" w:cstheme="majorBidi"/>
                <w:sz w:val="22"/>
                <w:szCs w:val="22"/>
                <w:lang w:val="en-US"/>
              </w:rPr>
              <w:t>-intercept in the original denominator vs. numerator relationship) is the major driver during the early increase in total element concentration. A changing source (indicated by the convex denominator vs. numerator function) is the major driver during the late increase in total element concentration.</w:t>
            </w:r>
          </w:p>
          <w:p w14:paraId="79E6DBF5" w14:textId="679924D3" w:rsidR="009048D2" w:rsidRPr="006A76ED" w:rsidRDefault="009048D2" w:rsidP="002631CE">
            <w:pPr>
              <w:tabs>
                <w:tab w:val="left" w:pos="2160"/>
                <w:tab w:val="left" w:pos="4410"/>
                <w:tab w:val="left" w:pos="6570"/>
                <w:tab w:val="left" w:pos="8010"/>
              </w:tabs>
              <w:spacing w:after="3" w:line="473" w:lineRule="auto"/>
              <w:ind w:right="144"/>
              <w:jc w:val="both"/>
              <w:rPr>
                <w:rFonts w:asciiTheme="majorBidi" w:hAnsiTheme="majorBidi" w:cstheme="majorBidi"/>
                <w:b/>
                <w:bCs/>
                <w:sz w:val="22"/>
                <w:szCs w:val="22"/>
                <w:u w:val="single"/>
                <w:lang w:val="en-US"/>
              </w:rPr>
            </w:pPr>
          </w:p>
        </w:tc>
      </w:tr>
      <w:tr w:rsidR="003A7EA8" w14:paraId="17D840D6" w14:textId="77777777" w:rsidTr="00B35CC0">
        <w:tc>
          <w:tcPr>
            <w:tcW w:w="0" w:type="auto"/>
            <w:vAlign w:val="center"/>
          </w:tcPr>
          <w:p w14:paraId="6681A4F8" w14:textId="73740D8E" w:rsidR="003A7EA8" w:rsidRPr="00BC76FD" w:rsidRDefault="003A7EA8" w:rsidP="002631CE">
            <w:pPr>
              <w:tabs>
                <w:tab w:val="left" w:pos="2160"/>
                <w:tab w:val="left" w:pos="4410"/>
                <w:tab w:val="left" w:pos="6570"/>
                <w:tab w:val="left" w:pos="8010"/>
              </w:tabs>
              <w:spacing w:after="3" w:line="473" w:lineRule="auto"/>
              <w:ind w:right="144"/>
              <w:jc w:val="both"/>
              <w:rPr>
                <w:rFonts w:asciiTheme="majorBidi" w:hAnsiTheme="majorBidi" w:cstheme="majorBidi"/>
                <w:lang w:val="en-US"/>
              </w:rPr>
            </w:pPr>
            <w:r w:rsidRPr="00BC76FD">
              <w:rPr>
                <w:rFonts w:asciiTheme="majorBidi" w:hAnsiTheme="majorBidi" w:cstheme="majorBidi"/>
                <w:lang w:val="en-US"/>
              </w:rPr>
              <w:lastRenderedPageBreak/>
              <w:t>Zero</w:t>
            </w:r>
          </w:p>
          <w:p w14:paraId="16A2B070" w14:textId="77777777" w:rsidR="003A7EA8" w:rsidRPr="00BC76FD" w:rsidRDefault="003A7EA8" w:rsidP="002631CE">
            <w:pPr>
              <w:tabs>
                <w:tab w:val="left" w:pos="2160"/>
                <w:tab w:val="left" w:pos="4410"/>
                <w:tab w:val="left" w:pos="6570"/>
                <w:tab w:val="left" w:pos="8010"/>
              </w:tabs>
              <w:spacing w:after="3" w:line="473" w:lineRule="auto"/>
              <w:ind w:right="144"/>
              <w:jc w:val="both"/>
              <w:rPr>
                <w:rFonts w:asciiTheme="majorBidi" w:hAnsiTheme="majorBidi" w:cstheme="majorBidi"/>
                <w:lang w:val="en-US"/>
              </w:rPr>
            </w:pPr>
            <w:r w:rsidRPr="00BC76FD">
              <w:rPr>
                <w:rFonts w:asciiTheme="majorBidi" w:hAnsiTheme="majorBidi" w:cstheme="majorBidi"/>
                <w:i/>
                <w:iCs/>
                <w:lang w:val="en-US"/>
              </w:rPr>
              <w:t>y</w:t>
            </w:r>
            <w:r w:rsidRPr="00BC76FD">
              <w:rPr>
                <w:rFonts w:asciiTheme="majorBidi" w:hAnsiTheme="majorBidi" w:cstheme="majorBidi"/>
                <w:lang w:val="en-US"/>
              </w:rPr>
              <w:t>-intercept</w:t>
            </w:r>
          </w:p>
        </w:tc>
        <w:tc>
          <w:tcPr>
            <w:tcW w:w="0" w:type="auto"/>
            <w:vAlign w:val="center"/>
          </w:tcPr>
          <w:p w14:paraId="10701AE4" w14:textId="5B81EA1C" w:rsidR="009048D2" w:rsidRPr="005D2A6D" w:rsidRDefault="00FE10FA" w:rsidP="00E240A7">
            <w:pPr>
              <w:tabs>
                <w:tab w:val="left" w:pos="2160"/>
                <w:tab w:val="left" w:pos="4410"/>
                <w:tab w:val="left" w:pos="6570"/>
                <w:tab w:val="left" w:pos="8010"/>
              </w:tabs>
              <w:spacing w:before="240" w:line="473" w:lineRule="auto"/>
              <w:ind w:right="144"/>
              <w:jc w:val="both"/>
              <w:rPr>
                <w:rFonts w:asciiTheme="majorBidi" w:hAnsiTheme="majorBidi" w:cstheme="majorBidi"/>
                <w:sz w:val="22"/>
                <w:szCs w:val="22"/>
                <w:lang w:val="en-US"/>
              </w:rPr>
            </w:pPr>
            <w:r w:rsidRPr="005D2A6D">
              <w:rPr>
                <w:noProof/>
                <w:sz w:val="22"/>
                <w:szCs w:val="22"/>
              </w:rPr>
              <mc:AlternateContent>
                <mc:Choice Requires="wps">
                  <w:drawing>
                    <wp:anchor distT="0" distB="0" distL="114300" distR="114300" simplePos="0" relativeHeight="251676672" behindDoc="0" locked="0" layoutInCell="1" allowOverlap="1" wp14:anchorId="15B2BF6E" wp14:editId="198F0F4C">
                      <wp:simplePos x="0" y="0"/>
                      <wp:positionH relativeFrom="column">
                        <wp:posOffset>1432560</wp:posOffset>
                      </wp:positionH>
                      <wp:positionV relativeFrom="paragraph">
                        <wp:posOffset>-2540</wp:posOffset>
                      </wp:positionV>
                      <wp:extent cx="792480" cy="878840"/>
                      <wp:effectExtent l="15240" t="8890" r="11430" b="7620"/>
                      <wp:wrapNone/>
                      <wp:docPr id="855869800" name="Rectangle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2480" cy="878840"/>
                              </a:xfrm>
                              <a:prstGeom prst="rect">
                                <a:avLst/>
                              </a:prstGeom>
                              <a:blipFill dpi="0" rotWithShape="1">
                                <a:blip r:embed="rId43"/>
                                <a:srcRect/>
                                <a:stretch>
                                  <a:fillRect/>
                                </a:stretch>
                              </a:blipFill>
                              <a:ln w="12700">
                                <a:solidFill>
                                  <a:schemeClr val="accent1">
                                    <a:lumMod val="50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71799CC8" id="Rectangle 68" o:spid="_x0000_s1026" style="position:absolute;margin-left:112.8pt;margin-top:-.2pt;width:62.4pt;height:69.2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" strokecolor="#1f3763 [1604]" strokeweight="1pt">
                      <v:fill r:id="rId44" o:title="" recolor="t" rotate="t" type="frame"/>
                    </v:rect>
                  </w:pict>
                </mc:Fallback>
              </mc:AlternateContent>
            </w:r>
            <w:r w:rsidRPr="005D2A6D">
              <w:rPr>
                <w:noProof/>
                <w:sz w:val="22"/>
                <w:szCs w:val="22"/>
              </w:rPr>
              <mc:AlternateContent>
                <mc:Choice Requires="wps">
                  <w:drawing>
                    <wp:anchor distT="0" distB="0" distL="114300" distR="114300" simplePos="0" relativeHeight="251597824" behindDoc="0" locked="0" layoutInCell="1" allowOverlap="1" wp14:anchorId="07C82CE3" wp14:editId="111AE1B6">
                      <wp:simplePos x="0" y="0"/>
                      <wp:positionH relativeFrom="column">
                        <wp:posOffset>156845</wp:posOffset>
                      </wp:positionH>
                      <wp:positionV relativeFrom="paragraph">
                        <wp:posOffset>-252730</wp:posOffset>
                      </wp:positionV>
                      <wp:extent cx="798195" cy="895350"/>
                      <wp:effectExtent l="7620" t="9525" r="13335" b="9525"/>
                      <wp:wrapTopAndBottom/>
                      <wp:docPr id="777929555" name="Rectangle: Rounded Corners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8195" cy="895350"/>
                              </a:xfrm>
                              <a:prstGeom prst="roundRect">
                                <a:avLst>
                                  <a:gd name="adj" fmla="val 16667"/>
                                </a:avLst>
                              </a:prstGeom>
                              <a:blipFill dpi="0" rotWithShape="1">
                                <a:blip r:embed="rId45"/>
                                <a:srcRect/>
                                <a:stretch>
                                  <a:fillRect/>
                                </a:stretch>
                              </a:blipFill>
                              <a:ln w="12700">
                                <a:solidFill>
                                  <a:schemeClr val="accent1">
                                    <a:lumMod val="50000"/>
                                    <a:lumOff val="0"/>
                                  </a:schemeClr>
                                </a:solidFill>
                                <a:miter lim="800000"/>
                                <a:headEnd/>
                                <a:tailEnd/>
                              </a:ln>
                            </wps:spPr>
                            <wps:txbx>
                              <w:txbxContent>
                                <w:p w14:paraId="60AB5177" w14:textId="77777777" w:rsidR="003A7EA8" w:rsidRDefault="003A7EA8" w:rsidP="003A7EA8">
                                  <w:pPr>
                                    <w:jc w:val="cente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07C82CE3" id="Rectangle: Rounded Corners 69" o:spid="_x0000_s1027" style="position:absolute;left:0;text-align:left;margin-left:12.35pt;margin-top:-19.9pt;width:62.85pt;height:70.5pt;z-index:251597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" strokecolor="#1f3763 [1604]" strokeweight="1pt">
                      <v:fill r:id="rId46" o:title="" recolor="t" rotate="t" type="frame"/>
                      <v:stroke joinstyle="miter"/>
                      <v:textbox>
                        <w:txbxContent>
                          <w:p w14:paraId="60AB5177" w14:textId="77777777" w:rsidR="003A7EA8" w:rsidRDefault="003A7EA8" w:rsidP="003A7EA8">
                            <w:pPr>
                              <w:jc w:val="center"/>
                            </w:pPr>
                          </w:p>
                        </w:txbxContent>
                      </v:textbox>
                      <w10:wrap type="topAndBottom"/>
                    </v:roundrect>
                  </w:pict>
                </mc:Fallback>
              </mc:AlternateContent>
            </w:r>
          </w:p>
          <w:p w14:paraId="570A4574" w14:textId="0AB5E53F" w:rsidR="00FA6B1E" w:rsidRPr="005D2A6D" w:rsidRDefault="003A7EA8" w:rsidP="00E240A7">
            <w:pPr>
              <w:tabs>
                <w:tab w:val="left" w:pos="2160"/>
                <w:tab w:val="left" w:pos="4410"/>
                <w:tab w:val="left" w:pos="6570"/>
                <w:tab w:val="left" w:pos="8010"/>
              </w:tabs>
              <w:spacing w:before="3" w:line="473" w:lineRule="auto"/>
              <w:ind w:right="144"/>
              <w:jc w:val="both"/>
              <w:rPr>
                <w:rFonts w:asciiTheme="majorBidi" w:hAnsiTheme="majorBidi" w:cstheme="majorBidi"/>
                <w:sz w:val="22"/>
                <w:szCs w:val="22"/>
                <w:lang w:val="en-US"/>
              </w:rPr>
            </w:pPr>
            <w:r w:rsidRPr="005D2A6D">
              <w:rPr>
                <w:rFonts w:asciiTheme="majorBidi" w:hAnsiTheme="majorBidi" w:cstheme="majorBidi"/>
                <w:sz w:val="22"/>
                <w:szCs w:val="22"/>
                <w:lang w:val="en-US"/>
              </w:rPr>
              <w:t>The observed ratio (blue in the right figure) does not change with increasing denominator or total element concentration. For all linear functions (</w:t>
            </w:r>
            <w:r w:rsidRPr="005D2A6D">
              <w:rPr>
                <w:rFonts w:asciiTheme="majorBidi" w:hAnsiTheme="majorBidi" w:cstheme="majorBidi"/>
                <w:i/>
                <w:iCs/>
                <w:sz w:val="22"/>
                <w:szCs w:val="22"/>
                <w:lang w:val="en-US"/>
              </w:rPr>
              <w:t xml:space="preserve">y </w:t>
            </w:r>
            <w:r w:rsidRPr="005D2A6D">
              <w:rPr>
                <w:rFonts w:asciiTheme="majorBidi" w:hAnsiTheme="majorBidi" w:cstheme="majorBidi"/>
                <w:sz w:val="22"/>
                <w:szCs w:val="22"/>
                <w:lang w:val="en-US"/>
              </w:rPr>
              <w:t>= m</w:t>
            </w:r>
            <w:r w:rsidRPr="005D2A6D">
              <w:rPr>
                <w:rFonts w:asciiTheme="majorBidi" w:hAnsiTheme="majorBidi" w:cstheme="majorBidi"/>
                <w:i/>
                <w:iCs/>
                <w:sz w:val="22"/>
                <w:szCs w:val="22"/>
                <w:lang w:val="en-US"/>
              </w:rPr>
              <w:t>x</w:t>
            </w:r>
            <w:r w:rsidRPr="005D2A6D">
              <w:rPr>
                <w:rFonts w:asciiTheme="majorBidi" w:hAnsiTheme="majorBidi" w:cstheme="majorBidi"/>
                <w:sz w:val="22"/>
                <w:szCs w:val="22"/>
                <w:lang w:val="en-US"/>
              </w:rPr>
              <w:t xml:space="preserve"> +b; and </w:t>
            </w:r>
            <w:r w:rsidRPr="005D2A6D">
              <w:rPr>
                <w:rFonts w:asciiTheme="majorBidi" w:hAnsiTheme="majorBidi" w:cstheme="majorBidi"/>
                <w:i/>
                <w:iCs/>
                <w:sz w:val="22"/>
                <w:szCs w:val="22"/>
                <w:lang w:val="en-US"/>
              </w:rPr>
              <w:t>y</w:t>
            </w:r>
            <w:r w:rsidRPr="005D2A6D">
              <w:rPr>
                <w:rFonts w:asciiTheme="majorBidi" w:hAnsiTheme="majorBidi" w:cstheme="majorBidi"/>
                <w:sz w:val="22"/>
                <w:szCs w:val="22"/>
                <w:lang w:val="en-US"/>
              </w:rPr>
              <w:t>/</w:t>
            </w:r>
            <w:r w:rsidRPr="005D2A6D">
              <w:rPr>
                <w:rFonts w:asciiTheme="majorBidi" w:hAnsiTheme="majorBidi" w:cstheme="majorBidi"/>
                <w:i/>
                <w:iCs/>
                <w:sz w:val="22"/>
                <w:szCs w:val="22"/>
                <w:lang w:val="en-US"/>
              </w:rPr>
              <w:t xml:space="preserve">x </w:t>
            </w:r>
            <w:r w:rsidRPr="005D2A6D">
              <w:rPr>
                <w:rFonts w:asciiTheme="majorBidi" w:hAnsiTheme="majorBidi" w:cstheme="majorBidi"/>
                <w:sz w:val="22"/>
                <w:szCs w:val="22"/>
                <w:lang w:val="en-US"/>
              </w:rPr>
              <w:t>= (1/</w:t>
            </w:r>
            <w:r w:rsidRPr="005D2A6D">
              <w:rPr>
                <w:rFonts w:asciiTheme="majorBidi" w:hAnsiTheme="majorBidi" w:cstheme="majorBidi"/>
                <w:i/>
                <w:iCs/>
                <w:sz w:val="22"/>
                <w:szCs w:val="22"/>
                <w:lang w:val="en-US"/>
              </w:rPr>
              <w:t>x</w:t>
            </w:r>
            <w:r w:rsidRPr="005D2A6D">
              <w:rPr>
                <w:rFonts w:asciiTheme="majorBidi" w:hAnsiTheme="majorBidi" w:cstheme="majorBidi"/>
                <w:sz w:val="22"/>
                <w:szCs w:val="22"/>
                <w:lang w:val="en-US"/>
              </w:rPr>
              <w:t>) b + m</w:t>
            </w:r>
            <w:r w:rsidR="00FA6B1E" w:rsidRPr="005D2A6D">
              <w:rPr>
                <w:rFonts w:asciiTheme="majorBidi" w:hAnsiTheme="majorBidi" w:cstheme="majorBidi"/>
                <w:sz w:val="22"/>
                <w:szCs w:val="22"/>
                <w:lang w:val="en-US"/>
              </w:rPr>
              <w:t>,</w:t>
            </w:r>
            <w:r w:rsidRPr="005D2A6D">
              <w:rPr>
                <w:rFonts w:asciiTheme="majorBidi" w:hAnsiTheme="majorBidi" w:cstheme="majorBidi"/>
                <w:sz w:val="22"/>
                <w:szCs w:val="22"/>
                <w:lang w:val="en-US"/>
              </w:rPr>
              <w:t xml:space="preserve"> </w:t>
            </w:r>
            <w:r w:rsidR="00FA6B1E" w:rsidRPr="005D2A6D">
              <w:rPr>
                <w:rFonts w:asciiTheme="majorBidi" w:hAnsiTheme="majorBidi" w:cstheme="majorBidi"/>
                <w:sz w:val="22"/>
                <w:szCs w:val="22"/>
                <w:lang w:val="en-US"/>
              </w:rPr>
              <w:t>i</w:t>
            </w:r>
            <w:r w:rsidRPr="005D2A6D">
              <w:rPr>
                <w:rFonts w:asciiTheme="majorBidi" w:hAnsiTheme="majorBidi" w:cstheme="majorBidi"/>
                <w:sz w:val="22"/>
                <w:szCs w:val="22"/>
                <w:lang w:val="en-US"/>
              </w:rPr>
              <w:t>f b in the first equation is zero (background = source) the slope m in the first equation and the observed ratio in the second equation are the same. The slope equals the constant source and both source and background are similar</w:t>
            </w:r>
            <w:r w:rsidR="00FA6B1E" w:rsidRPr="005D2A6D">
              <w:rPr>
                <w:rFonts w:asciiTheme="majorBidi" w:hAnsiTheme="majorBidi" w:cstheme="majorBidi"/>
                <w:sz w:val="22"/>
                <w:szCs w:val="22"/>
                <w:lang w:val="en-US"/>
              </w:rPr>
              <w:t xml:space="preserve">. </w:t>
            </w:r>
            <w:r w:rsidR="00141BBB" w:rsidRPr="005D2A6D">
              <w:rPr>
                <w:rFonts w:asciiTheme="majorBidi" w:hAnsiTheme="majorBidi" w:cstheme="majorBidi"/>
                <w:sz w:val="22"/>
                <w:szCs w:val="22"/>
                <w:lang w:val="en-US"/>
              </w:rPr>
              <w:t>Thus,</w:t>
            </w:r>
            <w:r w:rsidRPr="005D2A6D">
              <w:rPr>
                <w:rFonts w:asciiTheme="majorBidi" w:hAnsiTheme="majorBidi" w:cstheme="majorBidi"/>
                <w:sz w:val="22"/>
                <w:szCs w:val="22"/>
                <w:lang w:val="en-US"/>
              </w:rPr>
              <w:t xml:space="preserve"> the observed ratio will not change. There are no drivers to change isotopic ratios.</w:t>
            </w:r>
          </w:p>
          <w:p w14:paraId="7A577334" w14:textId="57AC2366" w:rsidR="009048D2" w:rsidRPr="005D2A6D" w:rsidRDefault="009048D2" w:rsidP="002631CE">
            <w:pPr>
              <w:tabs>
                <w:tab w:val="left" w:pos="2160"/>
                <w:tab w:val="left" w:pos="4410"/>
                <w:tab w:val="left" w:pos="6570"/>
                <w:tab w:val="left" w:pos="8010"/>
              </w:tabs>
              <w:spacing w:after="3" w:line="473" w:lineRule="auto"/>
              <w:ind w:right="144"/>
              <w:jc w:val="both"/>
              <w:rPr>
                <w:rFonts w:asciiTheme="majorBidi" w:hAnsiTheme="majorBidi" w:cstheme="majorBidi"/>
                <w:b/>
                <w:bCs/>
                <w:sz w:val="22"/>
                <w:szCs w:val="22"/>
                <w:u w:val="single"/>
                <w:lang w:val="en-US"/>
              </w:rPr>
            </w:pPr>
          </w:p>
        </w:tc>
        <w:tc>
          <w:tcPr>
            <w:tcW w:w="0" w:type="auto"/>
            <w:vAlign w:val="center"/>
          </w:tcPr>
          <w:p w14:paraId="719B2232" w14:textId="7BA3F3CF" w:rsidR="00A12C44" w:rsidRPr="005D2A6D" w:rsidRDefault="00FE10FA" w:rsidP="002631CE">
            <w:pPr>
              <w:tabs>
                <w:tab w:val="left" w:pos="2160"/>
                <w:tab w:val="left" w:pos="4410"/>
                <w:tab w:val="left" w:pos="6570"/>
                <w:tab w:val="left" w:pos="8010"/>
              </w:tabs>
              <w:spacing w:after="3" w:line="473" w:lineRule="auto"/>
              <w:ind w:right="144"/>
              <w:jc w:val="both"/>
              <w:rPr>
                <w:rFonts w:asciiTheme="majorBidi" w:hAnsiTheme="majorBidi" w:cstheme="majorBidi"/>
                <w:sz w:val="22"/>
                <w:szCs w:val="22"/>
                <w:lang w:val="en-US"/>
              </w:rPr>
            </w:pPr>
            <w:r w:rsidRPr="005D2A6D">
              <w:rPr>
                <w:noProof/>
                <w:sz w:val="22"/>
                <w:szCs w:val="22"/>
              </w:rPr>
              <mc:AlternateContent>
                <mc:Choice Requires="wps">
                  <w:drawing>
                    <wp:anchor distT="0" distB="0" distL="114300" distR="114300" simplePos="0" relativeHeight="251702272" behindDoc="0" locked="0" layoutInCell="1" allowOverlap="1" wp14:anchorId="79C727B5" wp14:editId="56C6730B">
                      <wp:simplePos x="0" y="0"/>
                      <wp:positionH relativeFrom="column">
                        <wp:posOffset>1376045</wp:posOffset>
                      </wp:positionH>
                      <wp:positionV relativeFrom="paragraph">
                        <wp:posOffset>-889635</wp:posOffset>
                      </wp:positionV>
                      <wp:extent cx="798830" cy="925195"/>
                      <wp:effectExtent l="8890" t="8255" r="11430" b="9525"/>
                      <wp:wrapNone/>
                      <wp:docPr id="96814775" name="Rectangle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8830" cy="925195"/>
                              </a:xfrm>
                              <a:prstGeom prst="rect">
                                <a:avLst/>
                              </a:prstGeom>
                              <a:blipFill dpi="0" rotWithShape="1">
                                <a:blip r:embed="rId47"/>
                                <a:srcRect/>
                                <a:stretch>
                                  <a:fillRect/>
                                </a:stretch>
                              </a:blipFill>
                              <a:ln w="12700">
                                <a:solidFill>
                                  <a:schemeClr val="accent1">
                                    <a:lumMod val="50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24D8F93D" id="Rectangle 70" o:spid="_x0000_s1026" style="position:absolute;margin-left:108.35pt;margin-top:-70.05pt;width:62.9pt;height:72.8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" strokecolor="#1f3763 [1604]" strokeweight="1pt">
                      <v:fill r:id="rId48" o:title="" recolor="t" rotate="t" type="frame"/>
                    </v:rect>
                  </w:pict>
                </mc:Fallback>
              </mc:AlternateContent>
            </w:r>
            <w:r w:rsidR="008A23A2" w:rsidRPr="005D2A6D">
              <w:rPr>
                <w:noProof/>
                <w:sz w:val="22"/>
                <w:szCs w:val="22"/>
              </w:rPr>
              <mc:AlternateContent>
                <mc:Choice Requires="wps">
                  <w:drawing>
                    <wp:anchor distT="0" distB="0" distL="114300" distR="114300" simplePos="0" relativeHeight="251620352" behindDoc="0" locked="0" layoutInCell="1" allowOverlap="1" wp14:anchorId="3CEF00CB" wp14:editId="487DA4AA">
                      <wp:simplePos x="0" y="0"/>
                      <wp:positionH relativeFrom="column">
                        <wp:posOffset>170815</wp:posOffset>
                      </wp:positionH>
                      <wp:positionV relativeFrom="paragraph">
                        <wp:posOffset>-925830</wp:posOffset>
                      </wp:positionV>
                      <wp:extent cx="835025" cy="927735"/>
                      <wp:effectExtent l="6350" t="12065" r="6350" b="12700"/>
                      <wp:wrapNone/>
                      <wp:docPr id="417697251" name="Rectangle: Rounded Corners 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5025" cy="927735"/>
                              </a:xfrm>
                              <a:prstGeom prst="roundRect">
                                <a:avLst>
                                  <a:gd name="adj" fmla="val 16667"/>
                                </a:avLst>
                              </a:prstGeom>
                              <a:blipFill dpi="0" rotWithShape="1">
                                <a:blip r:embed="rId49"/>
                                <a:srcRect/>
                                <a:stretch>
                                  <a:fillRect/>
                                </a:stretch>
                              </a:blipFill>
                              <a:ln w="12700">
                                <a:solidFill>
                                  <a:schemeClr val="accent1">
                                    <a:lumMod val="50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12557A85" id="Rectangle: Rounded Corners 71" o:spid="_x0000_s1026" style="position:absolute;margin-left:13.45pt;margin-top:-72.9pt;width:65.75pt;height:73.05pt;z-index:25162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" strokecolor="#1f3763 [1604]" strokeweight="1pt">
                      <v:fill r:id="rId50" o:title="" recolor="t" rotate="t" type="frame"/>
                      <v:stroke joinstyle="miter"/>
                    </v:roundrect>
                  </w:pict>
                </mc:Fallback>
              </mc:AlternateContent>
            </w:r>
          </w:p>
          <w:p w14:paraId="2087452F" w14:textId="59B990DA" w:rsidR="00077CAE" w:rsidRPr="005D2A6D" w:rsidRDefault="003A7EA8" w:rsidP="00F203B8">
            <w:pPr>
              <w:tabs>
                <w:tab w:val="left" w:pos="2160"/>
                <w:tab w:val="left" w:pos="4410"/>
                <w:tab w:val="left" w:pos="6570"/>
                <w:tab w:val="left" w:pos="8010"/>
              </w:tabs>
              <w:spacing w:before="240" w:after="3" w:line="473" w:lineRule="auto"/>
              <w:ind w:right="144"/>
              <w:jc w:val="both"/>
              <w:rPr>
                <w:rFonts w:asciiTheme="majorBidi" w:hAnsiTheme="majorBidi" w:cstheme="majorBidi"/>
                <w:sz w:val="22"/>
                <w:szCs w:val="22"/>
                <w:lang w:val="en-US"/>
              </w:rPr>
            </w:pPr>
            <w:r w:rsidRPr="005D2A6D">
              <w:rPr>
                <w:rFonts w:asciiTheme="majorBidi" w:hAnsiTheme="majorBidi" w:cstheme="majorBidi"/>
                <w:sz w:val="22"/>
                <w:szCs w:val="22"/>
                <w:lang w:val="en-US"/>
              </w:rPr>
              <w:t>There is not an intercept (background) effect. The ratio (blue) will decline with increasing denominator or total element concentration because as the concave curvature suggests, the source is becoming more depleted. The original denominator vs. numerator concave curvature (indicating a changing source) is the only driver for changes in isotopic ratio.</w:t>
            </w:r>
          </w:p>
          <w:p w14:paraId="72845D92" w14:textId="77777777" w:rsidR="003A7EA8" w:rsidRPr="005D2A6D" w:rsidRDefault="003A7EA8" w:rsidP="002631CE">
            <w:pPr>
              <w:tabs>
                <w:tab w:val="left" w:pos="2160"/>
                <w:tab w:val="left" w:pos="4410"/>
                <w:tab w:val="left" w:pos="6570"/>
                <w:tab w:val="left" w:pos="8010"/>
              </w:tabs>
              <w:spacing w:after="3" w:line="473" w:lineRule="auto"/>
              <w:ind w:right="144"/>
              <w:jc w:val="both"/>
              <w:rPr>
                <w:rFonts w:asciiTheme="majorBidi" w:hAnsiTheme="majorBidi" w:cstheme="majorBidi"/>
                <w:b/>
                <w:bCs/>
                <w:sz w:val="22"/>
                <w:szCs w:val="22"/>
                <w:u w:val="single"/>
                <w:lang w:val="en-US"/>
              </w:rPr>
            </w:pPr>
          </w:p>
        </w:tc>
        <w:tc>
          <w:tcPr>
            <w:tcW w:w="0" w:type="auto"/>
            <w:vAlign w:val="center"/>
          </w:tcPr>
          <w:p w14:paraId="4BE4DEFF" w14:textId="0F45375E" w:rsidR="005D2A6D" w:rsidRPr="00715CAD" w:rsidRDefault="00552198" w:rsidP="002631CE">
            <w:pPr>
              <w:tabs>
                <w:tab w:val="left" w:pos="2160"/>
                <w:tab w:val="left" w:pos="4410"/>
                <w:tab w:val="left" w:pos="6570"/>
                <w:tab w:val="left" w:pos="8010"/>
              </w:tabs>
              <w:spacing w:after="3" w:line="473" w:lineRule="auto"/>
              <w:ind w:right="144"/>
              <w:jc w:val="both"/>
              <w:rPr>
                <w:rFonts w:asciiTheme="majorBidi" w:hAnsiTheme="majorBidi" w:cstheme="majorBidi"/>
                <w:sz w:val="22"/>
                <w:szCs w:val="22"/>
                <w:lang w:val="en-US"/>
              </w:rPr>
            </w:pPr>
            <w:r w:rsidRPr="00715CAD">
              <w:rPr>
                <w:noProof/>
                <w:sz w:val="22"/>
                <w:szCs w:val="22"/>
              </w:rPr>
              <mc:AlternateContent>
                <mc:Choice Requires="wps">
                  <w:drawing>
                    <wp:anchor distT="0" distB="0" distL="114300" distR="114300" simplePos="0" relativeHeight="251724800" behindDoc="0" locked="0" layoutInCell="1" allowOverlap="1" wp14:anchorId="2951A387" wp14:editId="42C29554">
                      <wp:simplePos x="0" y="0"/>
                      <wp:positionH relativeFrom="column">
                        <wp:posOffset>1341120</wp:posOffset>
                      </wp:positionH>
                      <wp:positionV relativeFrom="paragraph">
                        <wp:posOffset>-897255</wp:posOffset>
                      </wp:positionV>
                      <wp:extent cx="842645" cy="962025"/>
                      <wp:effectExtent l="13970" t="13970" r="10160" b="14605"/>
                      <wp:wrapNone/>
                      <wp:docPr id="1206301230" name="Rectangle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42645" cy="962025"/>
                              </a:xfrm>
                              <a:prstGeom prst="rect">
                                <a:avLst/>
                              </a:prstGeom>
                              <a:blipFill dpi="0" rotWithShape="1">
                                <a:blip r:embed="rId51"/>
                                <a:srcRect/>
                                <a:stretch>
                                  <a:fillRect/>
                                </a:stretch>
                              </a:blipFill>
                              <a:ln w="12700">
                                <a:solidFill>
                                  <a:schemeClr val="accent1">
                                    <a:lumMod val="50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1E30D886" id="Rectangle 72" o:spid="_x0000_s1026" style="position:absolute;margin-left:105.6pt;margin-top:-70.65pt;width:66.35pt;height:75.7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" strokecolor="#1f3763 [1604]" strokeweight="1pt">
                      <v:fill r:id="rId52" o:title="" recolor="t" rotate="t" type="frame"/>
                    </v:rect>
                  </w:pict>
                </mc:Fallback>
              </mc:AlternateContent>
            </w:r>
            <w:r w:rsidRPr="00715CAD">
              <w:rPr>
                <w:noProof/>
                <w:sz w:val="22"/>
                <w:szCs w:val="22"/>
              </w:rPr>
              <mc:AlternateContent>
                <mc:Choice Requires="wps">
                  <w:drawing>
                    <wp:anchor distT="0" distB="0" distL="114300" distR="114300" simplePos="0" relativeHeight="251644928" behindDoc="0" locked="0" layoutInCell="1" allowOverlap="1" wp14:anchorId="08D607B9" wp14:editId="19468365">
                      <wp:simplePos x="0" y="0"/>
                      <wp:positionH relativeFrom="column">
                        <wp:posOffset>127000</wp:posOffset>
                      </wp:positionH>
                      <wp:positionV relativeFrom="paragraph">
                        <wp:posOffset>-928370</wp:posOffset>
                      </wp:positionV>
                      <wp:extent cx="914400" cy="981075"/>
                      <wp:effectExtent l="15240" t="8255" r="13335" b="10795"/>
                      <wp:wrapNone/>
                      <wp:docPr id="533334895" name="Rectangle: Rounded Corners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981075"/>
                              </a:xfrm>
                              <a:prstGeom prst="roundRect">
                                <a:avLst>
                                  <a:gd name="adj" fmla="val 16667"/>
                                </a:avLst>
                              </a:prstGeom>
                              <a:blipFill dpi="0" rotWithShape="1">
                                <a:blip r:embed="rId53"/>
                                <a:srcRect/>
                                <a:stretch>
                                  <a:fillRect/>
                                </a:stretch>
                              </a:blipFill>
                              <a:ln w="12700">
                                <a:solidFill>
                                  <a:schemeClr val="accent1">
                                    <a:lumMod val="50000"/>
                                    <a:lumOff val="0"/>
                                  </a:schemeClr>
                                </a:solidFill>
                                <a:miter lim="800000"/>
                                <a:headEnd/>
                                <a:tailEnd/>
                              </a:ln>
                            </wps:spPr>
                            <wps:txbx>
                              <w:txbxContent>
                                <w:p w14:paraId="5A6AF215" w14:textId="77777777" w:rsidR="00EE4C5A" w:rsidRDefault="00EE4C5A"/>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08D607B9" id="Rectangle: Rounded Corners 73" o:spid="_x0000_s1028" style="position:absolute;left:0;text-align:left;margin-left:10pt;margin-top:-73.1pt;width:1in;height:77.2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" strokecolor="#1f3763 [1604]" strokeweight="1pt">
                      <v:fill r:id="rId54" o:title="" recolor="t" rotate="t" type="frame"/>
                      <v:stroke joinstyle="miter"/>
                      <v:textbox>
                        <w:txbxContent>
                          <w:p w14:paraId="5A6AF215" w14:textId="77777777" w:rsidR="00EE4C5A" w:rsidRDefault="00EE4C5A"/>
                        </w:txbxContent>
                      </v:textbox>
                    </v:roundrect>
                  </w:pict>
                </mc:Fallback>
              </mc:AlternateContent>
            </w:r>
          </w:p>
          <w:p w14:paraId="5B069B7B" w14:textId="01482C7F" w:rsidR="003A7EA8" w:rsidRPr="00715CAD" w:rsidRDefault="003A7EA8" w:rsidP="00F203B8">
            <w:pPr>
              <w:tabs>
                <w:tab w:val="left" w:pos="2160"/>
                <w:tab w:val="left" w:pos="4410"/>
                <w:tab w:val="left" w:pos="6570"/>
                <w:tab w:val="left" w:pos="8010"/>
              </w:tabs>
              <w:spacing w:before="240" w:after="3" w:line="473" w:lineRule="auto"/>
              <w:ind w:right="144"/>
              <w:jc w:val="both"/>
              <w:rPr>
                <w:rFonts w:asciiTheme="majorBidi" w:hAnsiTheme="majorBidi" w:cstheme="majorBidi"/>
                <w:sz w:val="22"/>
                <w:szCs w:val="22"/>
                <w:lang w:val="en-US"/>
              </w:rPr>
            </w:pPr>
            <w:r w:rsidRPr="00715CAD">
              <w:rPr>
                <w:rFonts w:asciiTheme="majorBidi" w:hAnsiTheme="majorBidi" w:cstheme="majorBidi"/>
                <w:sz w:val="22"/>
                <w:szCs w:val="22"/>
                <w:lang w:val="en-US"/>
              </w:rPr>
              <w:t>There is not an intercept (background) effect. The ratio (blue) will increase with increasing denominator or total element concentration because as the convex curvature suggests, the source is becoming more enriched. The original denominator vs. numerator convex curvature (indicating a changing source) is the only driver for changes in isotopic ratio.</w:t>
            </w:r>
          </w:p>
          <w:p w14:paraId="278797D3" w14:textId="77777777" w:rsidR="003A7EA8" w:rsidRPr="00715CAD" w:rsidRDefault="003A7EA8" w:rsidP="002631CE">
            <w:pPr>
              <w:tabs>
                <w:tab w:val="left" w:pos="2160"/>
                <w:tab w:val="left" w:pos="4410"/>
                <w:tab w:val="left" w:pos="6570"/>
                <w:tab w:val="left" w:pos="8010"/>
              </w:tabs>
              <w:spacing w:after="3" w:line="473" w:lineRule="auto"/>
              <w:ind w:right="144"/>
              <w:jc w:val="both"/>
              <w:rPr>
                <w:rFonts w:asciiTheme="majorBidi" w:hAnsiTheme="majorBidi" w:cstheme="majorBidi"/>
                <w:b/>
                <w:bCs/>
                <w:sz w:val="22"/>
                <w:szCs w:val="22"/>
                <w:u w:val="single"/>
                <w:lang w:val="en-US"/>
              </w:rPr>
            </w:pPr>
          </w:p>
        </w:tc>
      </w:tr>
      <w:tr w:rsidR="003A7EA8" w14:paraId="7F8250BA" w14:textId="77777777" w:rsidTr="00B35CC0">
        <w:tc>
          <w:tcPr>
            <w:tcW w:w="0" w:type="auto"/>
            <w:vAlign w:val="center"/>
          </w:tcPr>
          <w:p w14:paraId="5E3C1AA5" w14:textId="241C9562" w:rsidR="003A7EA8" w:rsidRPr="00BC76FD" w:rsidRDefault="003A7EA8" w:rsidP="002631CE">
            <w:pPr>
              <w:tabs>
                <w:tab w:val="left" w:pos="2160"/>
                <w:tab w:val="left" w:pos="4410"/>
                <w:tab w:val="left" w:pos="6570"/>
                <w:tab w:val="left" w:pos="8010"/>
              </w:tabs>
              <w:spacing w:after="3" w:line="473" w:lineRule="auto"/>
              <w:ind w:right="144"/>
              <w:jc w:val="both"/>
              <w:rPr>
                <w:rFonts w:asciiTheme="majorBidi" w:hAnsiTheme="majorBidi" w:cstheme="majorBidi"/>
                <w:lang w:val="en-US"/>
              </w:rPr>
            </w:pPr>
            <w:r w:rsidRPr="00BC76FD">
              <w:rPr>
                <w:rFonts w:asciiTheme="majorBidi" w:hAnsiTheme="majorBidi" w:cstheme="majorBidi"/>
                <w:lang w:val="en-US"/>
              </w:rPr>
              <w:lastRenderedPageBreak/>
              <w:t>Negative</w:t>
            </w:r>
          </w:p>
          <w:p w14:paraId="42D72207" w14:textId="77777777" w:rsidR="003A7EA8" w:rsidRPr="00BC76FD" w:rsidRDefault="003A7EA8" w:rsidP="002631CE">
            <w:pPr>
              <w:tabs>
                <w:tab w:val="left" w:pos="2160"/>
                <w:tab w:val="left" w:pos="4410"/>
                <w:tab w:val="left" w:pos="6570"/>
                <w:tab w:val="left" w:pos="8010"/>
              </w:tabs>
              <w:spacing w:after="3" w:line="473" w:lineRule="auto"/>
              <w:ind w:right="144"/>
              <w:jc w:val="both"/>
              <w:rPr>
                <w:rFonts w:asciiTheme="majorBidi" w:hAnsiTheme="majorBidi" w:cstheme="majorBidi"/>
                <w:lang w:val="en-US"/>
              </w:rPr>
            </w:pPr>
            <w:r w:rsidRPr="00BC76FD">
              <w:rPr>
                <w:rFonts w:asciiTheme="majorBidi" w:hAnsiTheme="majorBidi" w:cstheme="majorBidi"/>
                <w:i/>
                <w:iCs/>
                <w:lang w:val="en-US"/>
              </w:rPr>
              <w:t>y</w:t>
            </w:r>
            <w:r w:rsidRPr="00BC76FD">
              <w:rPr>
                <w:rFonts w:asciiTheme="majorBidi" w:hAnsiTheme="majorBidi" w:cstheme="majorBidi"/>
                <w:lang w:val="en-US"/>
              </w:rPr>
              <w:t>-intercept</w:t>
            </w:r>
          </w:p>
        </w:tc>
        <w:tc>
          <w:tcPr>
            <w:tcW w:w="0" w:type="auto"/>
            <w:vAlign w:val="center"/>
          </w:tcPr>
          <w:p w14:paraId="7BAE4340" w14:textId="4C5083E8" w:rsidR="00077CAE" w:rsidRPr="005D2A6D" w:rsidRDefault="009B37D0" w:rsidP="002631CE">
            <w:pPr>
              <w:tabs>
                <w:tab w:val="left" w:pos="2160"/>
                <w:tab w:val="left" w:pos="4410"/>
                <w:tab w:val="left" w:pos="6570"/>
                <w:tab w:val="left" w:pos="8010"/>
              </w:tabs>
              <w:spacing w:after="3" w:line="473" w:lineRule="auto"/>
              <w:ind w:right="144"/>
              <w:jc w:val="both"/>
              <w:rPr>
                <w:rFonts w:asciiTheme="majorBidi" w:hAnsiTheme="majorBidi" w:cstheme="majorBidi"/>
                <w:sz w:val="22"/>
                <w:szCs w:val="22"/>
                <w:lang w:val="en-US"/>
              </w:rPr>
            </w:pPr>
            <w:r w:rsidRPr="005D2A6D">
              <w:rPr>
                <w:noProof/>
                <w:sz w:val="22"/>
                <w:szCs w:val="22"/>
              </w:rPr>
              <mc:AlternateContent>
                <mc:Choice Requires="wps">
                  <w:drawing>
                    <wp:anchor distT="0" distB="0" distL="114300" distR="114300" simplePos="0" relativeHeight="251650048" behindDoc="0" locked="0" layoutInCell="1" allowOverlap="1" wp14:anchorId="34DC2D36" wp14:editId="06FDA931">
                      <wp:simplePos x="0" y="0"/>
                      <wp:positionH relativeFrom="column">
                        <wp:posOffset>102870</wp:posOffset>
                      </wp:positionH>
                      <wp:positionV relativeFrom="paragraph">
                        <wp:posOffset>49530</wp:posOffset>
                      </wp:positionV>
                      <wp:extent cx="885825" cy="981075"/>
                      <wp:effectExtent l="8890" t="8255" r="10160" b="10795"/>
                      <wp:wrapNone/>
                      <wp:docPr id="292059225" name="Rectangle: Rounded Corners 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5825" cy="981075"/>
                              </a:xfrm>
                              <a:prstGeom prst="roundRect">
                                <a:avLst>
                                  <a:gd name="adj" fmla="val 16667"/>
                                </a:avLst>
                              </a:prstGeom>
                              <a:blipFill dpi="0" rotWithShape="1">
                                <a:blip r:embed="rId55"/>
                                <a:srcRect/>
                                <a:stretch>
                                  <a:fillRect/>
                                </a:stretch>
                              </a:blipFill>
                              <a:ln w="12700">
                                <a:solidFill>
                                  <a:schemeClr val="accent1">
                                    <a:lumMod val="50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48162142" id="Rectangle: Rounded Corners 75" o:spid="_x0000_s1026" style="position:absolute;margin-left:8.1pt;margin-top:3.9pt;width:69.75pt;height:77.2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" strokecolor="#1f3763 [1604]" strokeweight="1pt">
                      <v:fill r:id="rId56" o:title="" recolor="t" rotate="t" type="frame"/>
                      <v:stroke joinstyle="miter"/>
                    </v:roundrect>
                  </w:pict>
                </mc:Fallback>
              </mc:AlternateContent>
            </w:r>
            <w:r w:rsidRPr="005D2A6D">
              <w:rPr>
                <w:noProof/>
                <w:sz w:val="22"/>
                <w:szCs w:val="22"/>
              </w:rPr>
              <mc:AlternateContent>
                <mc:Choice Requires="wps">
                  <w:drawing>
                    <wp:anchor distT="0" distB="0" distL="114300" distR="114300" simplePos="0" relativeHeight="251726848" behindDoc="0" locked="0" layoutInCell="1" allowOverlap="1" wp14:anchorId="35445A1D" wp14:editId="39D19527">
                      <wp:simplePos x="0" y="0"/>
                      <wp:positionH relativeFrom="column">
                        <wp:posOffset>1551305</wp:posOffset>
                      </wp:positionH>
                      <wp:positionV relativeFrom="paragraph">
                        <wp:posOffset>31750</wp:posOffset>
                      </wp:positionV>
                      <wp:extent cx="859155" cy="990600"/>
                      <wp:effectExtent l="9525" t="9525" r="7620" b="9525"/>
                      <wp:wrapNone/>
                      <wp:docPr id="599529711" name="Rectangle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59155" cy="990600"/>
                              </a:xfrm>
                              <a:prstGeom prst="rect">
                                <a:avLst/>
                              </a:prstGeom>
                              <a:blipFill dpi="0" rotWithShape="1">
                                <a:blip r:embed="rId57"/>
                                <a:srcRect/>
                                <a:stretch>
                                  <a:fillRect/>
                                </a:stretch>
                              </a:blipFill>
                              <a:ln w="12700">
                                <a:solidFill>
                                  <a:schemeClr val="accent1">
                                    <a:lumMod val="50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26D0BD63" id="Rectangle 74" o:spid="_x0000_s1026" style="position:absolute;margin-left:122.15pt;margin-top:2.5pt;width:67.65pt;height:78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" strokecolor="#1f3763 [1604]" strokeweight="1pt">
                      <v:fill r:id="rId58" o:title="" recolor="t" rotate="t" type="frame"/>
                    </v:rect>
                  </w:pict>
                </mc:Fallback>
              </mc:AlternateContent>
            </w:r>
          </w:p>
          <w:p w14:paraId="6E76A12B" w14:textId="77777777" w:rsidR="00CB2660" w:rsidRPr="005D2A6D" w:rsidRDefault="00CB2660" w:rsidP="002631CE">
            <w:pPr>
              <w:tabs>
                <w:tab w:val="left" w:pos="2160"/>
                <w:tab w:val="left" w:pos="4410"/>
                <w:tab w:val="left" w:pos="6570"/>
                <w:tab w:val="left" w:pos="8010"/>
              </w:tabs>
              <w:spacing w:after="3" w:line="473" w:lineRule="auto"/>
              <w:ind w:right="144"/>
              <w:jc w:val="both"/>
              <w:rPr>
                <w:rFonts w:asciiTheme="majorBidi" w:hAnsiTheme="majorBidi" w:cstheme="majorBidi"/>
                <w:sz w:val="22"/>
                <w:szCs w:val="22"/>
                <w:lang w:val="en-US"/>
              </w:rPr>
            </w:pPr>
          </w:p>
          <w:p w14:paraId="40D91F6F" w14:textId="77777777" w:rsidR="00CB2660" w:rsidRPr="005D2A6D" w:rsidRDefault="00CB2660" w:rsidP="002631CE">
            <w:pPr>
              <w:tabs>
                <w:tab w:val="left" w:pos="2160"/>
                <w:tab w:val="left" w:pos="4410"/>
                <w:tab w:val="left" w:pos="6570"/>
                <w:tab w:val="left" w:pos="8010"/>
              </w:tabs>
              <w:spacing w:after="3" w:line="473" w:lineRule="auto"/>
              <w:ind w:right="144"/>
              <w:jc w:val="both"/>
              <w:rPr>
                <w:rFonts w:asciiTheme="majorBidi" w:hAnsiTheme="majorBidi" w:cstheme="majorBidi"/>
                <w:sz w:val="22"/>
                <w:szCs w:val="22"/>
                <w:lang w:val="en-US"/>
              </w:rPr>
            </w:pPr>
          </w:p>
          <w:p w14:paraId="2D091A5F" w14:textId="77777777" w:rsidR="00CB2660" w:rsidRPr="005D2A6D" w:rsidRDefault="00CB2660" w:rsidP="002631CE">
            <w:pPr>
              <w:tabs>
                <w:tab w:val="left" w:pos="2160"/>
                <w:tab w:val="left" w:pos="4410"/>
                <w:tab w:val="left" w:pos="6570"/>
                <w:tab w:val="left" w:pos="8010"/>
              </w:tabs>
              <w:spacing w:after="3" w:line="473" w:lineRule="auto"/>
              <w:ind w:right="144"/>
              <w:jc w:val="both"/>
              <w:rPr>
                <w:rFonts w:asciiTheme="majorBidi" w:hAnsiTheme="majorBidi" w:cstheme="majorBidi"/>
                <w:sz w:val="22"/>
                <w:szCs w:val="22"/>
                <w:lang w:val="en-US"/>
              </w:rPr>
            </w:pPr>
          </w:p>
          <w:p w14:paraId="7B33B6E3" w14:textId="786B0C35" w:rsidR="003A7EA8" w:rsidRPr="005D2A6D" w:rsidRDefault="003A7EA8" w:rsidP="002631CE">
            <w:pPr>
              <w:tabs>
                <w:tab w:val="left" w:pos="2160"/>
                <w:tab w:val="left" w:pos="4410"/>
                <w:tab w:val="left" w:pos="6570"/>
                <w:tab w:val="left" w:pos="8010"/>
              </w:tabs>
              <w:spacing w:after="3" w:line="473" w:lineRule="auto"/>
              <w:ind w:right="144"/>
              <w:jc w:val="both"/>
              <w:rPr>
                <w:rFonts w:asciiTheme="majorBidi" w:hAnsiTheme="majorBidi" w:cstheme="majorBidi"/>
                <w:sz w:val="22"/>
                <w:szCs w:val="22"/>
                <w:lang w:val="en-US"/>
              </w:rPr>
            </w:pPr>
            <w:r w:rsidRPr="005D2A6D">
              <w:rPr>
                <w:rFonts w:asciiTheme="majorBidi" w:hAnsiTheme="majorBidi" w:cstheme="majorBidi"/>
                <w:sz w:val="22"/>
                <w:szCs w:val="22"/>
                <w:lang w:val="en-US"/>
              </w:rPr>
              <w:t xml:space="preserve">The observed isotopic ratio must increase with either increasing denominator or total element concentration due to a negative </w:t>
            </w:r>
            <w:r w:rsidRPr="005D2A6D">
              <w:rPr>
                <w:rFonts w:asciiTheme="majorBidi" w:hAnsiTheme="majorBidi" w:cstheme="majorBidi"/>
                <w:i/>
                <w:iCs/>
                <w:sz w:val="22"/>
                <w:szCs w:val="22"/>
                <w:lang w:val="en-US"/>
              </w:rPr>
              <w:t>y</w:t>
            </w:r>
            <w:r w:rsidRPr="005D2A6D">
              <w:rPr>
                <w:rFonts w:asciiTheme="majorBidi" w:hAnsiTheme="majorBidi" w:cstheme="majorBidi"/>
                <w:sz w:val="22"/>
                <w:szCs w:val="22"/>
                <w:lang w:val="en-US"/>
              </w:rPr>
              <w:t xml:space="preserve">-intercept (source &gt; background) effect. For all linear functions </w:t>
            </w:r>
            <w:r w:rsidRPr="005D2A6D">
              <w:rPr>
                <w:rFonts w:asciiTheme="majorBidi" w:hAnsiTheme="majorBidi" w:cstheme="majorBidi"/>
                <w:i/>
                <w:iCs/>
                <w:sz w:val="22"/>
                <w:szCs w:val="22"/>
                <w:lang w:val="en-US"/>
              </w:rPr>
              <w:t xml:space="preserve">y </w:t>
            </w:r>
            <w:r w:rsidRPr="005D2A6D">
              <w:rPr>
                <w:rFonts w:asciiTheme="majorBidi" w:hAnsiTheme="majorBidi" w:cstheme="majorBidi"/>
                <w:sz w:val="22"/>
                <w:szCs w:val="22"/>
                <w:lang w:val="en-US"/>
              </w:rPr>
              <w:t>= m</w:t>
            </w:r>
            <w:r w:rsidRPr="005D2A6D">
              <w:rPr>
                <w:rFonts w:asciiTheme="majorBidi" w:hAnsiTheme="majorBidi" w:cstheme="majorBidi"/>
                <w:i/>
                <w:iCs/>
                <w:sz w:val="22"/>
                <w:szCs w:val="22"/>
                <w:lang w:val="en-US"/>
              </w:rPr>
              <w:t>x</w:t>
            </w:r>
            <w:r w:rsidRPr="005D2A6D">
              <w:rPr>
                <w:rFonts w:asciiTheme="majorBidi" w:hAnsiTheme="majorBidi" w:cstheme="majorBidi"/>
                <w:sz w:val="22"/>
                <w:szCs w:val="22"/>
                <w:lang w:val="en-US"/>
              </w:rPr>
              <w:t xml:space="preserve"> + b; and </w:t>
            </w:r>
            <w:r w:rsidRPr="005D2A6D">
              <w:rPr>
                <w:rFonts w:asciiTheme="majorBidi" w:hAnsiTheme="majorBidi" w:cstheme="majorBidi"/>
                <w:i/>
                <w:iCs/>
                <w:sz w:val="22"/>
                <w:szCs w:val="22"/>
                <w:lang w:val="en-US"/>
              </w:rPr>
              <w:t>y</w:t>
            </w:r>
            <w:r w:rsidRPr="005D2A6D">
              <w:rPr>
                <w:rFonts w:asciiTheme="majorBidi" w:hAnsiTheme="majorBidi" w:cstheme="majorBidi"/>
                <w:sz w:val="22"/>
                <w:szCs w:val="22"/>
                <w:lang w:val="en-US"/>
              </w:rPr>
              <w:t>/</w:t>
            </w:r>
            <w:r w:rsidRPr="005D2A6D">
              <w:rPr>
                <w:rFonts w:asciiTheme="majorBidi" w:hAnsiTheme="majorBidi" w:cstheme="majorBidi"/>
                <w:i/>
                <w:iCs/>
                <w:sz w:val="22"/>
                <w:szCs w:val="22"/>
                <w:lang w:val="en-US"/>
              </w:rPr>
              <w:t xml:space="preserve">x </w:t>
            </w:r>
            <w:r w:rsidRPr="005D2A6D">
              <w:rPr>
                <w:rFonts w:asciiTheme="majorBidi" w:hAnsiTheme="majorBidi" w:cstheme="majorBidi"/>
                <w:sz w:val="22"/>
                <w:szCs w:val="22"/>
                <w:lang w:val="en-US"/>
              </w:rPr>
              <w:t>= (1/</w:t>
            </w:r>
            <w:r w:rsidRPr="005D2A6D">
              <w:rPr>
                <w:rFonts w:asciiTheme="majorBidi" w:hAnsiTheme="majorBidi" w:cstheme="majorBidi"/>
                <w:i/>
                <w:iCs/>
                <w:sz w:val="22"/>
                <w:szCs w:val="22"/>
                <w:lang w:val="en-US"/>
              </w:rPr>
              <w:t>x</w:t>
            </w:r>
            <w:r w:rsidRPr="005D2A6D">
              <w:rPr>
                <w:rFonts w:asciiTheme="majorBidi" w:hAnsiTheme="majorBidi" w:cstheme="majorBidi"/>
                <w:sz w:val="22"/>
                <w:szCs w:val="22"/>
                <w:lang w:val="en-US"/>
              </w:rPr>
              <w:t xml:space="preserve">) b + m. Therefore, the observed ratio (red) will increase and asymptotically approach the slope of the original denominator vs. numerator function. If the original denominator vs. numerator function had a zero </w:t>
            </w:r>
            <w:r w:rsidRPr="005D2A6D">
              <w:rPr>
                <w:rFonts w:asciiTheme="majorBidi" w:hAnsiTheme="majorBidi" w:cstheme="majorBidi"/>
                <w:i/>
                <w:iCs/>
                <w:sz w:val="22"/>
                <w:szCs w:val="22"/>
                <w:lang w:val="en-US"/>
              </w:rPr>
              <w:t>y</w:t>
            </w:r>
            <w:r w:rsidRPr="005D2A6D">
              <w:rPr>
                <w:rFonts w:asciiTheme="majorBidi" w:hAnsiTheme="majorBidi" w:cstheme="majorBidi"/>
                <w:sz w:val="22"/>
                <w:szCs w:val="22"/>
                <w:lang w:val="en-US"/>
              </w:rPr>
              <w:t xml:space="preserve">-intercept the isotopic ratio would not change with either denominator size or </w:t>
            </w:r>
            <w:r w:rsidRPr="005D2A6D">
              <w:rPr>
                <w:rFonts w:asciiTheme="majorBidi" w:hAnsiTheme="majorBidi" w:cstheme="majorBidi"/>
                <w:sz w:val="22"/>
                <w:szCs w:val="22"/>
                <w:lang w:val="en-US"/>
              </w:rPr>
              <w:lastRenderedPageBreak/>
              <w:t xml:space="preserve">total elemental concentration (shown in blue). The original denominator vs. numerator slope (left side figure) equals the observed constant isotopic ratio shown in blue for the upper right corner figure. The drivers of isotopic ratio changes in this example are the background (indicated by the positive </w:t>
            </w:r>
            <w:r w:rsidRPr="005D2A6D">
              <w:rPr>
                <w:rFonts w:asciiTheme="majorBidi" w:hAnsiTheme="majorBidi" w:cstheme="majorBidi"/>
                <w:i/>
                <w:iCs/>
                <w:sz w:val="22"/>
                <w:szCs w:val="22"/>
                <w:lang w:val="en-US"/>
              </w:rPr>
              <w:t>y</w:t>
            </w:r>
            <w:r w:rsidRPr="005D2A6D">
              <w:rPr>
                <w:rFonts w:asciiTheme="majorBidi" w:hAnsiTheme="majorBidi" w:cstheme="majorBidi"/>
                <w:sz w:val="22"/>
                <w:szCs w:val="22"/>
                <w:lang w:val="en-US"/>
              </w:rPr>
              <w:t>-intercept of the original denominator vs. function) and total elemental concentration.</w:t>
            </w:r>
          </w:p>
        </w:tc>
        <w:tc>
          <w:tcPr>
            <w:tcW w:w="0" w:type="auto"/>
            <w:vAlign w:val="center"/>
          </w:tcPr>
          <w:p w14:paraId="72E60A9F" w14:textId="608B0AD8" w:rsidR="00CB2660" w:rsidRPr="005D2A6D" w:rsidRDefault="009B37D0" w:rsidP="002631CE">
            <w:pPr>
              <w:tabs>
                <w:tab w:val="left" w:pos="2160"/>
                <w:tab w:val="left" w:pos="4410"/>
                <w:tab w:val="left" w:pos="6570"/>
                <w:tab w:val="left" w:pos="8010"/>
              </w:tabs>
              <w:spacing w:after="3" w:line="473" w:lineRule="auto"/>
              <w:ind w:right="144"/>
              <w:jc w:val="both"/>
              <w:rPr>
                <w:rFonts w:asciiTheme="majorBidi" w:hAnsiTheme="majorBidi" w:cstheme="majorBidi"/>
                <w:sz w:val="22"/>
                <w:szCs w:val="22"/>
                <w:lang w:val="en-US"/>
              </w:rPr>
            </w:pPr>
            <w:r w:rsidRPr="005D2A6D">
              <w:rPr>
                <w:noProof/>
                <w:sz w:val="22"/>
                <w:szCs w:val="22"/>
              </w:rPr>
              <w:lastRenderedPageBreak/>
              <mc:AlternateContent>
                <mc:Choice Requires="wps">
                  <w:drawing>
                    <wp:anchor distT="0" distB="0" distL="114300" distR="114300" simplePos="0" relativeHeight="251652096" behindDoc="0" locked="0" layoutInCell="1" allowOverlap="1" wp14:anchorId="39F3FFF2" wp14:editId="240EA2DF">
                      <wp:simplePos x="0" y="0"/>
                      <wp:positionH relativeFrom="column">
                        <wp:posOffset>167005</wp:posOffset>
                      </wp:positionH>
                      <wp:positionV relativeFrom="paragraph">
                        <wp:posOffset>-1059180</wp:posOffset>
                      </wp:positionV>
                      <wp:extent cx="885825" cy="952500"/>
                      <wp:effectExtent l="13970" t="13970" r="14605" b="14605"/>
                      <wp:wrapTopAndBottom/>
                      <wp:docPr id="1554988714" name="Rectangle: Rounded Corners 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5825" cy="952500"/>
                              </a:xfrm>
                              <a:prstGeom prst="roundRect">
                                <a:avLst>
                                  <a:gd name="adj" fmla="val 16667"/>
                                </a:avLst>
                              </a:prstGeom>
                              <a:blipFill dpi="0" rotWithShape="1">
                                <a:blip r:embed="rId59"/>
                                <a:srcRect/>
                                <a:stretch>
                                  <a:fillRect/>
                                </a:stretch>
                              </a:blipFill>
                              <a:ln w="12700">
                                <a:solidFill>
                                  <a:schemeClr val="accent1">
                                    <a:lumMod val="50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263AA3EF" id="Rectangle: Rounded Corners 77" o:spid="_x0000_s1026" style="position:absolute;margin-left:13.15pt;margin-top:-83.4pt;width:69.75pt;height:7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" strokecolor="#1f3763 [1604]" strokeweight="1pt">
                      <v:fill r:id="rId60" o:title="" recolor="t" rotate="t" type="frame"/>
                      <v:stroke joinstyle="miter"/>
                      <w10:wrap type="topAndBottom"/>
                    </v:roundrect>
                  </w:pict>
                </mc:Fallback>
              </mc:AlternateContent>
            </w:r>
            <w:r w:rsidRPr="005D2A6D">
              <w:rPr>
                <w:noProof/>
                <w:sz w:val="22"/>
                <w:szCs w:val="22"/>
              </w:rPr>
              <mc:AlternateContent>
                <mc:Choice Requires="wps">
                  <w:drawing>
                    <wp:anchor distT="0" distB="0" distL="114300" distR="114300" simplePos="0" relativeHeight="251730944" behindDoc="0" locked="0" layoutInCell="1" allowOverlap="1" wp14:anchorId="304DB474" wp14:editId="35B59875">
                      <wp:simplePos x="0" y="0"/>
                      <wp:positionH relativeFrom="column">
                        <wp:posOffset>1457960</wp:posOffset>
                      </wp:positionH>
                      <wp:positionV relativeFrom="paragraph">
                        <wp:posOffset>17780</wp:posOffset>
                      </wp:positionV>
                      <wp:extent cx="906780" cy="923925"/>
                      <wp:effectExtent l="9525" t="14605" r="7620" b="13970"/>
                      <wp:wrapNone/>
                      <wp:docPr id="1182741303" name="Rectangle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6780" cy="923925"/>
                              </a:xfrm>
                              <a:prstGeom prst="rect">
                                <a:avLst/>
                              </a:prstGeom>
                              <a:blipFill dpi="0" rotWithShape="1">
                                <a:blip r:embed="rId61"/>
                                <a:srcRect/>
                                <a:stretch>
                                  <a:fillRect/>
                                </a:stretch>
                              </a:blipFill>
                              <a:ln w="12700">
                                <a:solidFill>
                                  <a:schemeClr val="accent1">
                                    <a:lumMod val="50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46FBD69C" id="Rectangle 76" o:spid="_x0000_s1026" style="position:absolute;margin-left:114.8pt;margin-top:1.4pt;width:71.4pt;height:72.7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" strokecolor="#1f3763 [1604]" strokeweight="1pt">
                      <v:fill r:id="rId62" o:title="" recolor="t" rotate="t" type="frame"/>
                    </v:rect>
                  </w:pict>
                </mc:Fallback>
              </mc:AlternateContent>
            </w:r>
          </w:p>
          <w:p w14:paraId="09FC1303" w14:textId="1D5EB2E5" w:rsidR="003A7EA8" w:rsidRPr="005D2A6D" w:rsidRDefault="003A7EA8" w:rsidP="002631CE">
            <w:pPr>
              <w:tabs>
                <w:tab w:val="left" w:pos="2160"/>
                <w:tab w:val="left" w:pos="4410"/>
                <w:tab w:val="left" w:pos="6570"/>
                <w:tab w:val="left" w:pos="8010"/>
              </w:tabs>
              <w:spacing w:after="3" w:line="473" w:lineRule="auto"/>
              <w:ind w:right="144"/>
              <w:jc w:val="both"/>
              <w:rPr>
                <w:rFonts w:asciiTheme="majorBidi" w:hAnsiTheme="majorBidi" w:cstheme="majorBidi"/>
                <w:b/>
                <w:bCs/>
                <w:sz w:val="22"/>
                <w:szCs w:val="22"/>
                <w:u w:val="single"/>
                <w:lang w:val="en-US"/>
              </w:rPr>
            </w:pPr>
            <w:r w:rsidRPr="005D2A6D">
              <w:rPr>
                <w:rFonts w:asciiTheme="majorBidi" w:hAnsiTheme="majorBidi" w:cstheme="majorBidi"/>
                <w:sz w:val="22"/>
                <w:szCs w:val="22"/>
                <w:lang w:val="en-US"/>
              </w:rPr>
              <w:t xml:space="preserve">In addition to the negative </w:t>
            </w:r>
            <w:r w:rsidRPr="005D2A6D">
              <w:rPr>
                <w:rFonts w:asciiTheme="majorBidi" w:hAnsiTheme="majorBidi" w:cstheme="majorBidi"/>
                <w:i/>
                <w:iCs/>
                <w:sz w:val="22"/>
                <w:szCs w:val="22"/>
                <w:lang w:val="en-US"/>
              </w:rPr>
              <w:t>y</w:t>
            </w:r>
            <w:r w:rsidRPr="005D2A6D">
              <w:rPr>
                <w:rFonts w:asciiTheme="majorBidi" w:hAnsiTheme="majorBidi" w:cstheme="majorBidi"/>
                <w:sz w:val="22"/>
                <w:szCs w:val="22"/>
                <w:lang w:val="en-US"/>
              </w:rPr>
              <w:t xml:space="preserve">-intercept (source &gt; background) effect described for linear functions which initially produces increasing ratios as denominator or total element increases; changing concave curvature (representing a source that is becoming more depleted) eventually results in declining ratios. However, the observed ratio will asymptotically approach the concave zero </w:t>
            </w:r>
            <w:r w:rsidRPr="005D2A6D">
              <w:rPr>
                <w:rFonts w:asciiTheme="majorBidi" w:hAnsiTheme="majorBidi" w:cstheme="majorBidi"/>
                <w:i/>
                <w:iCs/>
                <w:sz w:val="22"/>
                <w:szCs w:val="22"/>
                <w:lang w:val="en-US"/>
              </w:rPr>
              <w:t>y</w:t>
            </w:r>
            <w:r w:rsidRPr="005D2A6D">
              <w:rPr>
                <w:rFonts w:asciiTheme="majorBidi" w:hAnsiTheme="majorBidi" w:cstheme="majorBidi"/>
                <w:sz w:val="22"/>
                <w:szCs w:val="22"/>
                <w:lang w:val="en-US"/>
              </w:rPr>
              <w:t xml:space="preserve">-intercept values (blue) for large denominator or total element concentrations. The combined intercept and concave curvature effects produce a </w:t>
            </w:r>
            <w:r w:rsidRPr="005D2A6D">
              <w:rPr>
                <w:rFonts w:asciiTheme="majorBidi" w:hAnsiTheme="majorBidi" w:cstheme="majorBidi"/>
                <w:sz w:val="22"/>
                <w:szCs w:val="22"/>
                <w:lang w:val="en-US"/>
              </w:rPr>
              <w:lastRenderedPageBreak/>
              <w:t xml:space="preserve">pattern (red) that is different from what occurs for a concave function with a zero </w:t>
            </w:r>
            <w:r w:rsidRPr="005D2A6D">
              <w:rPr>
                <w:rFonts w:asciiTheme="majorBidi" w:hAnsiTheme="majorBidi" w:cstheme="majorBidi"/>
                <w:i/>
                <w:iCs/>
                <w:sz w:val="22"/>
                <w:szCs w:val="22"/>
                <w:lang w:val="en-US"/>
              </w:rPr>
              <w:t>y</w:t>
            </w:r>
            <w:r w:rsidRPr="005D2A6D">
              <w:rPr>
                <w:rFonts w:asciiTheme="majorBidi" w:hAnsiTheme="majorBidi" w:cstheme="majorBidi"/>
                <w:sz w:val="22"/>
                <w:szCs w:val="22"/>
                <w:lang w:val="en-US"/>
              </w:rPr>
              <w:t xml:space="preserve">-intercept (shown in blue). The background (indicated by a non-zero </w:t>
            </w:r>
            <w:r w:rsidRPr="005D2A6D">
              <w:rPr>
                <w:rFonts w:asciiTheme="majorBidi" w:hAnsiTheme="majorBidi" w:cstheme="majorBidi"/>
                <w:i/>
                <w:iCs/>
                <w:sz w:val="22"/>
                <w:szCs w:val="22"/>
                <w:lang w:val="en-US"/>
              </w:rPr>
              <w:t>y</w:t>
            </w:r>
            <w:r w:rsidRPr="005D2A6D">
              <w:rPr>
                <w:rFonts w:asciiTheme="majorBidi" w:hAnsiTheme="majorBidi" w:cstheme="majorBidi"/>
                <w:sz w:val="22"/>
                <w:szCs w:val="22"/>
                <w:lang w:val="en-US"/>
              </w:rPr>
              <w:t>-intercept in the original denominator vs. numerator relationship) is the major driver during the early increase in total element concentration. A changing source (indicated by the concave denominator vs. numerator function) is the major driver during the late increase in total element concentration.</w:t>
            </w:r>
          </w:p>
        </w:tc>
        <w:tc>
          <w:tcPr>
            <w:tcW w:w="0" w:type="auto"/>
            <w:vAlign w:val="center"/>
          </w:tcPr>
          <w:p w14:paraId="6C8628DC" w14:textId="03075050" w:rsidR="00CB2660" w:rsidRPr="005D2A6D" w:rsidRDefault="009B37D0" w:rsidP="002631CE">
            <w:pPr>
              <w:tabs>
                <w:tab w:val="left" w:pos="2160"/>
                <w:tab w:val="left" w:pos="4410"/>
                <w:tab w:val="left" w:pos="6570"/>
                <w:tab w:val="left" w:pos="8010"/>
              </w:tabs>
              <w:spacing w:after="3" w:line="473" w:lineRule="auto"/>
              <w:ind w:right="144"/>
              <w:jc w:val="both"/>
              <w:rPr>
                <w:rFonts w:asciiTheme="majorBidi" w:hAnsiTheme="majorBidi" w:cstheme="majorBidi"/>
                <w:sz w:val="22"/>
                <w:szCs w:val="22"/>
                <w:lang w:val="en-US"/>
              </w:rPr>
            </w:pPr>
            <w:r w:rsidRPr="005D2A6D">
              <w:rPr>
                <w:noProof/>
                <w:sz w:val="22"/>
                <w:szCs w:val="22"/>
              </w:rPr>
              <w:lastRenderedPageBreak/>
              <mc:AlternateContent>
                <mc:Choice Requires="wps">
                  <w:drawing>
                    <wp:anchor distT="0" distB="0" distL="114300" distR="114300" simplePos="0" relativeHeight="251654144" behindDoc="0" locked="0" layoutInCell="1" allowOverlap="1" wp14:anchorId="37D8229A" wp14:editId="2BA8BA7E">
                      <wp:simplePos x="0" y="0"/>
                      <wp:positionH relativeFrom="column">
                        <wp:posOffset>141605</wp:posOffset>
                      </wp:positionH>
                      <wp:positionV relativeFrom="paragraph">
                        <wp:posOffset>-1074420</wp:posOffset>
                      </wp:positionV>
                      <wp:extent cx="857250" cy="979170"/>
                      <wp:effectExtent l="13970" t="8890" r="14605" b="12065"/>
                      <wp:wrapTopAndBottom/>
                      <wp:docPr id="1387273478" name="Rectangle: Rounded Corners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57250" cy="979170"/>
                              </a:xfrm>
                              <a:prstGeom prst="roundRect">
                                <a:avLst>
                                  <a:gd name="adj" fmla="val 16667"/>
                                </a:avLst>
                              </a:prstGeom>
                              <a:blipFill dpi="0" rotWithShape="1">
                                <a:blip r:embed="rId63"/>
                                <a:srcRect/>
                                <a:stretch>
                                  <a:fillRect/>
                                </a:stretch>
                              </a:blipFill>
                              <a:ln w="12700">
                                <a:solidFill>
                                  <a:schemeClr val="accent1">
                                    <a:lumMod val="50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3ACC13CA" id="Rectangle: Rounded Corners 79" o:spid="_x0000_s1026" style="position:absolute;margin-left:11.15pt;margin-top:-84.6pt;width:67.5pt;height:77.1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" strokecolor="#1f3763 [1604]" strokeweight="1pt">
                      <v:fill r:id="rId64" o:title="" recolor="t" rotate="t" type="frame"/>
                      <v:stroke joinstyle="miter"/>
                      <w10:wrap type="topAndBottom"/>
                    </v:roundrect>
                  </w:pict>
                </mc:Fallback>
              </mc:AlternateContent>
            </w:r>
            <w:r w:rsidRPr="005D2A6D">
              <w:rPr>
                <w:noProof/>
                <w:sz w:val="22"/>
                <w:szCs w:val="22"/>
              </w:rPr>
              <mc:AlternateContent>
                <mc:Choice Requires="wps">
                  <w:drawing>
                    <wp:anchor distT="0" distB="0" distL="114300" distR="114300" simplePos="0" relativeHeight="251728896" behindDoc="0" locked="0" layoutInCell="1" allowOverlap="1" wp14:anchorId="23F51B1F" wp14:editId="51E007B7">
                      <wp:simplePos x="0" y="0"/>
                      <wp:positionH relativeFrom="column">
                        <wp:posOffset>1534795</wp:posOffset>
                      </wp:positionH>
                      <wp:positionV relativeFrom="paragraph">
                        <wp:posOffset>34290</wp:posOffset>
                      </wp:positionV>
                      <wp:extent cx="890270" cy="904875"/>
                      <wp:effectExtent l="6985" t="12700" r="7620" b="15875"/>
                      <wp:wrapNone/>
                      <wp:docPr id="1842368319" name="Rectangle 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0270" cy="904875"/>
                              </a:xfrm>
                              <a:prstGeom prst="rect">
                                <a:avLst/>
                              </a:prstGeom>
                              <a:blipFill dpi="0" rotWithShape="1">
                                <a:blip r:embed="rId65"/>
                                <a:srcRect/>
                                <a:stretch>
                                  <a:fillRect/>
                                </a:stretch>
                              </a:blipFill>
                              <a:ln w="12700">
                                <a:solidFill>
                                  <a:schemeClr val="accent1">
                                    <a:lumMod val="50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514DB2E0" id="Rectangle 78" o:spid="_x0000_s1026" style="position:absolute;margin-left:120.85pt;margin-top:2.7pt;width:70.1pt;height:71.2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" strokecolor="#1f3763 [1604]" strokeweight="1pt">
                      <v:fill r:id="rId66" o:title="" recolor="t" rotate="t" type="frame"/>
                    </v:rect>
                  </w:pict>
                </mc:Fallback>
              </mc:AlternateContent>
            </w:r>
          </w:p>
          <w:p w14:paraId="267206F9" w14:textId="264061B0" w:rsidR="003A7EA8" w:rsidRPr="005D2A6D" w:rsidRDefault="003A7EA8" w:rsidP="002631CE">
            <w:pPr>
              <w:tabs>
                <w:tab w:val="left" w:pos="2160"/>
                <w:tab w:val="left" w:pos="4410"/>
                <w:tab w:val="left" w:pos="6570"/>
                <w:tab w:val="left" w:pos="8010"/>
              </w:tabs>
              <w:spacing w:after="3" w:line="473" w:lineRule="auto"/>
              <w:ind w:right="144"/>
              <w:jc w:val="both"/>
              <w:rPr>
                <w:rFonts w:asciiTheme="majorBidi" w:hAnsiTheme="majorBidi" w:cstheme="majorBidi"/>
                <w:b/>
                <w:bCs/>
                <w:sz w:val="22"/>
                <w:szCs w:val="22"/>
                <w:u w:val="single"/>
                <w:lang w:val="en-US"/>
              </w:rPr>
            </w:pPr>
            <w:r w:rsidRPr="005D2A6D">
              <w:rPr>
                <w:rFonts w:asciiTheme="majorBidi" w:hAnsiTheme="majorBidi" w:cstheme="majorBidi"/>
                <w:sz w:val="22"/>
                <w:szCs w:val="22"/>
                <w:lang w:val="en-US"/>
              </w:rPr>
              <w:t xml:space="preserve">In addition to the negative </w:t>
            </w:r>
            <w:r w:rsidRPr="005D2A6D">
              <w:rPr>
                <w:rFonts w:asciiTheme="majorBidi" w:hAnsiTheme="majorBidi" w:cstheme="majorBidi"/>
                <w:i/>
                <w:iCs/>
                <w:sz w:val="22"/>
                <w:szCs w:val="22"/>
                <w:lang w:val="en-US"/>
              </w:rPr>
              <w:t>y</w:t>
            </w:r>
            <w:r w:rsidRPr="005D2A6D">
              <w:rPr>
                <w:rFonts w:asciiTheme="majorBidi" w:hAnsiTheme="majorBidi" w:cstheme="majorBidi"/>
                <w:sz w:val="22"/>
                <w:szCs w:val="22"/>
                <w:lang w:val="en-US"/>
              </w:rPr>
              <w:t xml:space="preserve">-intercept (source &gt; background) effect described for linear functions which produces increasing ratios as denominator or total element increases; changing convex curvature (representing a source that is becoming more enriched) also results in increasing ratios. The combined intercept and curvature effects produce a pattern where the observed ratio (red) starts lower and increases more quickly than what occurs for a concave function with a zero </w:t>
            </w:r>
            <w:r w:rsidRPr="005D2A6D">
              <w:rPr>
                <w:rFonts w:asciiTheme="majorBidi" w:hAnsiTheme="majorBidi" w:cstheme="majorBidi"/>
                <w:i/>
                <w:iCs/>
                <w:sz w:val="22"/>
                <w:szCs w:val="22"/>
                <w:lang w:val="en-US"/>
              </w:rPr>
              <w:t>y</w:t>
            </w:r>
            <w:r w:rsidRPr="005D2A6D">
              <w:rPr>
                <w:rFonts w:asciiTheme="majorBidi" w:hAnsiTheme="majorBidi" w:cstheme="majorBidi"/>
                <w:sz w:val="22"/>
                <w:szCs w:val="22"/>
                <w:lang w:val="en-US"/>
              </w:rPr>
              <w:t xml:space="preserve">-intercept (shown in blue). However, the observed ratio will </w:t>
            </w:r>
            <w:r w:rsidRPr="005D2A6D">
              <w:rPr>
                <w:rFonts w:asciiTheme="majorBidi" w:hAnsiTheme="majorBidi" w:cstheme="majorBidi"/>
                <w:sz w:val="22"/>
                <w:szCs w:val="22"/>
                <w:lang w:val="en-US"/>
              </w:rPr>
              <w:lastRenderedPageBreak/>
              <w:t xml:space="preserve">asymptotically approach the concave zero </w:t>
            </w:r>
            <w:r w:rsidRPr="005D2A6D">
              <w:rPr>
                <w:rFonts w:asciiTheme="majorBidi" w:hAnsiTheme="majorBidi" w:cstheme="majorBidi"/>
                <w:i/>
                <w:iCs/>
                <w:sz w:val="22"/>
                <w:szCs w:val="22"/>
                <w:lang w:val="en-US"/>
              </w:rPr>
              <w:t>y</w:t>
            </w:r>
            <w:r w:rsidRPr="005D2A6D">
              <w:rPr>
                <w:rFonts w:asciiTheme="majorBidi" w:hAnsiTheme="majorBidi" w:cstheme="majorBidi"/>
                <w:sz w:val="22"/>
                <w:szCs w:val="22"/>
                <w:lang w:val="en-US"/>
              </w:rPr>
              <w:t xml:space="preserve">-intercept values (blue) for large denominator or total element concentrations. The background (indicated by a negative </w:t>
            </w:r>
            <w:r w:rsidRPr="005D2A6D">
              <w:rPr>
                <w:rFonts w:asciiTheme="majorBidi" w:hAnsiTheme="majorBidi" w:cstheme="majorBidi"/>
                <w:i/>
                <w:iCs/>
                <w:sz w:val="22"/>
                <w:szCs w:val="22"/>
                <w:lang w:val="en-US"/>
              </w:rPr>
              <w:t>y</w:t>
            </w:r>
            <w:r w:rsidRPr="005D2A6D">
              <w:rPr>
                <w:rFonts w:asciiTheme="majorBidi" w:hAnsiTheme="majorBidi" w:cstheme="majorBidi"/>
                <w:sz w:val="22"/>
                <w:szCs w:val="22"/>
                <w:lang w:val="en-US"/>
              </w:rPr>
              <w:t>-intercept in the original denominator vs. numerator relationship) is the major driver during the early increase in total element concentration. A changing source (indicated by the convex denominator vs. numerator function) is the major driver during the late increase in total element concentration.</w:t>
            </w:r>
          </w:p>
        </w:tc>
      </w:tr>
    </w:tbl>
    <w:p w14:paraId="277A1B19" w14:textId="77777777" w:rsidR="00015106" w:rsidRDefault="00015106" w:rsidP="00015106">
      <w:pPr>
        <w:pStyle w:val="Tabletitle"/>
        <w:spacing w:before="0" w:after="3" w:line="473" w:lineRule="auto"/>
        <w:ind w:right="144"/>
        <w:jc w:val="both"/>
        <w:rPr>
          <w:lang w:val="en-US"/>
        </w:rPr>
      </w:pPr>
    </w:p>
    <w:p w14:paraId="3047FDE6" w14:textId="77777777" w:rsidR="00015106" w:rsidRDefault="00015106" w:rsidP="00015106">
      <w:pPr>
        <w:pStyle w:val="Tabletitle"/>
        <w:spacing w:before="0" w:after="3" w:line="473" w:lineRule="auto"/>
        <w:ind w:right="144"/>
        <w:jc w:val="both"/>
        <w:rPr>
          <w:lang w:val="en-US"/>
        </w:rPr>
      </w:pPr>
    </w:p>
    <w:p w14:paraId="51FD2DBC" w14:textId="77777777" w:rsidR="00015106" w:rsidRDefault="00015106" w:rsidP="00015106">
      <w:pPr>
        <w:pStyle w:val="Tabletitle"/>
        <w:spacing w:before="0" w:after="3" w:line="473" w:lineRule="auto"/>
        <w:ind w:right="144"/>
        <w:jc w:val="both"/>
        <w:rPr>
          <w:lang w:val="en-US"/>
        </w:rPr>
      </w:pPr>
    </w:p>
    <w:p w14:paraId="6D826C03" w14:textId="77777777" w:rsidR="00015106" w:rsidRDefault="00015106" w:rsidP="00015106">
      <w:pPr>
        <w:pStyle w:val="Tabletitle"/>
        <w:spacing w:before="0" w:after="3" w:line="473" w:lineRule="auto"/>
        <w:ind w:right="144"/>
        <w:jc w:val="both"/>
        <w:rPr>
          <w:lang w:val="en-US"/>
        </w:rPr>
      </w:pPr>
    </w:p>
    <w:p w14:paraId="3922D5EE" w14:textId="77777777" w:rsidR="00DA704E" w:rsidRPr="00DA704E" w:rsidRDefault="00DA704E" w:rsidP="00DA704E">
      <w:pPr>
        <w:rPr>
          <w:lang w:val="en-US"/>
        </w:rPr>
      </w:pPr>
    </w:p>
    <w:p w14:paraId="54697E0E" w14:textId="0F32EE27" w:rsidR="00015106" w:rsidRDefault="00015106" w:rsidP="00DA704E">
      <w:pPr>
        <w:pStyle w:val="Tabletitle"/>
        <w:spacing w:before="0" w:after="3" w:line="240" w:lineRule="auto"/>
        <w:ind w:right="144"/>
        <w:jc w:val="both"/>
        <w:rPr>
          <w:sz w:val="16"/>
          <w:szCs w:val="16"/>
          <w:lang w:val="en-US"/>
        </w:rPr>
      </w:pPr>
      <w:r w:rsidRPr="00655D6C">
        <w:rPr>
          <w:sz w:val="22"/>
          <w:szCs w:val="22"/>
          <w:lang w:val="en-US"/>
        </w:rPr>
        <w:lastRenderedPageBreak/>
        <w:t xml:space="preserve">Table S2. Patterns for the relationship between total isotope and isotopic ratio </w:t>
      </w:r>
      <w:r w:rsidR="000E3B67" w:rsidRPr="00655D6C">
        <w:rPr>
          <w:b/>
          <w:bCs/>
          <w:sz w:val="22"/>
          <w:szCs w:val="22"/>
          <w:lang w:val="en-US"/>
        </w:rPr>
        <w:t>(</w:t>
      </w:r>
      <w:r w:rsidR="000E3B67" w:rsidRPr="00655D6C">
        <w:rPr>
          <w:sz w:val="22"/>
          <w:szCs w:val="22"/>
          <w:lang w:val="en-US"/>
        </w:rPr>
        <w:t>right figure</w:t>
      </w:r>
      <w:r w:rsidR="00027E95" w:rsidRPr="00655D6C">
        <w:rPr>
          <w:sz w:val="22"/>
          <w:szCs w:val="22"/>
          <w:lang w:val="en-US"/>
        </w:rPr>
        <w:t>s</w:t>
      </w:r>
      <w:r w:rsidR="000E3B67" w:rsidRPr="00655D6C">
        <w:rPr>
          <w:sz w:val="22"/>
          <w:szCs w:val="22"/>
          <w:lang w:val="en-US"/>
        </w:rPr>
        <w:t xml:space="preserve">) </w:t>
      </w:r>
      <w:r w:rsidRPr="00655D6C">
        <w:rPr>
          <w:sz w:val="22"/>
          <w:szCs w:val="22"/>
          <w:lang w:val="en-US"/>
        </w:rPr>
        <w:t xml:space="preserve">among nine possible </w:t>
      </w:r>
      <w:proofErr w:type="gramStart"/>
      <w:r w:rsidR="00F55F56" w:rsidRPr="00655D6C">
        <w:rPr>
          <w:sz w:val="22"/>
          <w:szCs w:val="22"/>
          <w:lang w:val="en-US"/>
        </w:rPr>
        <w:t>denominator</w:t>
      </w:r>
      <w:proofErr w:type="gramEnd"/>
      <w:r w:rsidR="00F55F56" w:rsidRPr="00655D6C">
        <w:rPr>
          <w:sz w:val="22"/>
          <w:szCs w:val="22"/>
          <w:lang w:val="en-US"/>
        </w:rPr>
        <w:t xml:space="preserve"> vs. numerator </w:t>
      </w:r>
      <w:r w:rsidRPr="00655D6C">
        <w:rPr>
          <w:sz w:val="22"/>
          <w:szCs w:val="22"/>
          <w:lang w:val="en-US"/>
        </w:rPr>
        <w:t>functions</w:t>
      </w:r>
      <w:r w:rsidR="000E3B67" w:rsidRPr="00655D6C">
        <w:rPr>
          <w:sz w:val="22"/>
          <w:szCs w:val="22"/>
          <w:lang w:val="en-US"/>
        </w:rPr>
        <w:t xml:space="preserve"> (left figure</w:t>
      </w:r>
      <w:r w:rsidR="00027E95" w:rsidRPr="00655D6C">
        <w:rPr>
          <w:sz w:val="22"/>
          <w:szCs w:val="22"/>
          <w:lang w:val="en-US"/>
        </w:rPr>
        <w:t>s</w:t>
      </w:r>
      <w:r w:rsidR="0002144F">
        <w:rPr>
          <w:sz w:val="22"/>
          <w:szCs w:val="22"/>
          <w:lang w:val="en-US"/>
        </w:rPr>
        <w:t xml:space="preserve"> in black</w:t>
      </w:r>
      <w:r w:rsidR="000E3B67" w:rsidRPr="00655D6C">
        <w:rPr>
          <w:sz w:val="22"/>
          <w:szCs w:val="22"/>
          <w:lang w:val="en-US"/>
        </w:rPr>
        <w:t>)</w:t>
      </w:r>
      <w:r w:rsidR="00F55F56" w:rsidRPr="00655D6C">
        <w:rPr>
          <w:sz w:val="22"/>
          <w:szCs w:val="22"/>
          <w:lang w:val="en-US"/>
        </w:rPr>
        <w:t xml:space="preserve">. Red curves refer to the </w:t>
      </w:r>
      <w:r w:rsidR="0002144F">
        <w:rPr>
          <w:sz w:val="22"/>
          <w:szCs w:val="22"/>
          <w:lang w:val="en-US"/>
        </w:rPr>
        <w:t xml:space="preserve">total element vs. ratio </w:t>
      </w:r>
      <w:r w:rsidR="00027E95" w:rsidRPr="00655D6C">
        <w:rPr>
          <w:sz w:val="22"/>
          <w:szCs w:val="22"/>
          <w:lang w:val="en-US"/>
        </w:rPr>
        <w:t xml:space="preserve">relationships for the </w:t>
      </w:r>
      <w:r w:rsidR="00F55F56" w:rsidRPr="00655D6C">
        <w:rPr>
          <w:i/>
          <w:iCs/>
          <w:sz w:val="22"/>
          <w:szCs w:val="22"/>
          <w:lang w:val="en-US"/>
        </w:rPr>
        <w:t>y</w:t>
      </w:r>
      <w:r w:rsidR="00F55F56" w:rsidRPr="00655D6C">
        <w:rPr>
          <w:sz w:val="22"/>
          <w:szCs w:val="22"/>
          <w:lang w:val="en-US"/>
        </w:rPr>
        <w:t>-intercepts shown</w:t>
      </w:r>
      <w:r w:rsidR="004854F0">
        <w:rPr>
          <w:sz w:val="22"/>
          <w:szCs w:val="22"/>
          <w:lang w:val="en-US"/>
        </w:rPr>
        <w:t xml:space="preserve"> in left figures</w:t>
      </w:r>
      <w:r w:rsidR="00F55F56" w:rsidRPr="00655D6C">
        <w:rPr>
          <w:sz w:val="22"/>
          <w:szCs w:val="22"/>
          <w:lang w:val="en-US"/>
        </w:rPr>
        <w:t xml:space="preserve">. Blue curves refer to </w:t>
      </w:r>
      <w:r w:rsidR="00027E95" w:rsidRPr="00655D6C">
        <w:rPr>
          <w:sz w:val="22"/>
          <w:szCs w:val="22"/>
          <w:lang w:val="en-US"/>
        </w:rPr>
        <w:t xml:space="preserve">what </w:t>
      </w:r>
      <w:r w:rsidR="000E3B67" w:rsidRPr="00655D6C">
        <w:rPr>
          <w:sz w:val="22"/>
          <w:szCs w:val="22"/>
          <w:lang w:val="en-US"/>
        </w:rPr>
        <w:t xml:space="preserve">would occur for a zero </w:t>
      </w:r>
      <w:r w:rsidR="000E3B67" w:rsidRPr="00655D6C">
        <w:rPr>
          <w:i/>
          <w:iCs/>
          <w:sz w:val="22"/>
          <w:szCs w:val="22"/>
          <w:lang w:val="en-US"/>
        </w:rPr>
        <w:t>y</w:t>
      </w:r>
      <w:r w:rsidR="000E3B67" w:rsidRPr="00655D6C">
        <w:rPr>
          <w:sz w:val="22"/>
          <w:szCs w:val="22"/>
          <w:lang w:val="en-US"/>
        </w:rPr>
        <w:t>-intercept</w:t>
      </w:r>
      <w:r w:rsidR="000E3B67" w:rsidRPr="00927DC8">
        <w:rPr>
          <w:sz w:val="16"/>
          <w:szCs w:val="16"/>
          <w:lang w:val="en-US"/>
        </w:rPr>
        <w:t>.</w:t>
      </w:r>
      <w:r w:rsidRPr="00927DC8">
        <w:rPr>
          <w:sz w:val="16"/>
          <w:szCs w:val="16"/>
          <w:lang w:val="en-US"/>
        </w:rPr>
        <w:t xml:space="preserve"> </w:t>
      </w:r>
    </w:p>
    <w:p w14:paraId="479FE3AE" w14:textId="7602609D" w:rsidR="0045585F" w:rsidRPr="0045585F" w:rsidRDefault="0045585F" w:rsidP="0045585F">
      <w:pPr>
        <w:rPr>
          <w:lang w:val="en-US"/>
        </w:rPr>
      </w:pPr>
      <w:r>
        <w:rPr>
          <w:lang w:val="en-US"/>
        </w:rPr>
        <w:t>____________________________________________________________________________________________________________</w:t>
      </w:r>
    </w:p>
    <w:tbl>
      <w:tblPr>
        <w:tblW w:w="0" w:type="auto"/>
        <w:tblLayout w:type="fixed"/>
        <w:tblLook w:val="04A0" w:firstRow="1" w:lastRow="0" w:firstColumn="1" w:lastColumn="0" w:noHBand="0" w:noVBand="1"/>
      </w:tblPr>
      <w:tblGrid>
        <w:gridCol w:w="1915"/>
        <w:gridCol w:w="1915"/>
        <w:gridCol w:w="1915"/>
        <w:gridCol w:w="1915"/>
        <w:gridCol w:w="1915"/>
        <w:gridCol w:w="1915"/>
        <w:gridCol w:w="1915"/>
      </w:tblGrid>
      <w:tr w:rsidR="00820C54" w:rsidRPr="00927DC8" w14:paraId="40313AAE" w14:textId="6FD3A0B7" w:rsidTr="00820C54">
        <w:trPr>
          <w:trHeight w:val="1296"/>
        </w:trPr>
        <w:tc>
          <w:tcPr>
            <w:tcW w:w="1915" w:type="dxa"/>
          </w:tcPr>
          <w:p w14:paraId="6E15B853" w14:textId="77777777" w:rsidR="00820C54" w:rsidRPr="00FA10E4" w:rsidRDefault="00820C54" w:rsidP="005901C4">
            <w:pPr>
              <w:tabs>
                <w:tab w:val="left" w:pos="2160"/>
                <w:tab w:val="left" w:pos="4410"/>
                <w:tab w:val="left" w:pos="6570"/>
                <w:tab w:val="left" w:pos="8010"/>
              </w:tabs>
              <w:spacing w:after="3" w:line="473" w:lineRule="auto"/>
              <w:ind w:right="144"/>
              <w:jc w:val="both"/>
              <w:rPr>
                <w:rFonts w:asciiTheme="majorBidi" w:hAnsiTheme="majorBidi" w:cstheme="majorBidi"/>
                <w:b/>
                <w:bCs/>
                <w:sz w:val="22"/>
                <w:szCs w:val="22"/>
                <w:lang w:val="en-US"/>
              </w:rPr>
            </w:pPr>
            <w:r w:rsidRPr="00FA10E4">
              <w:rPr>
                <w:rFonts w:asciiTheme="majorBidi" w:hAnsiTheme="majorBidi" w:cstheme="majorBidi"/>
                <w:b/>
                <w:bCs/>
                <w:sz w:val="22"/>
                <w:szCs w:val="22"/>
                <w:lang w:val="en-US"/>
              </w:rPr>
              <w:t xml:space="preserve">Intercept </w:t>
            </w:r>
          </w:p>
          <w:p w14:paraId="620D3E59" w14:textId="77777777" w:rsidR="00820C54" w:rsidRPr="00927DC8" w:rsidRDefault="00820C54" w:rsidP="005901C4">
            <w:pPr>
              <w:tabs>
                <w:tab w:val="left" w:pos="2160"/>
                <w:tab w:val="left" w:pos="4410"/>
                <w:tab w:val="left" w:pos="6570"/>
                <w:tab w:val="left" w:pos="8010"/>
              </w:tabs>
              <w:spacing w:after="3" w:line="473" w:lineRule="auto"/>
              <w:ind w:right="144"/>
              <w:jc w:val="both"/>
              <w:rPr>
                <w:rFonts w:asciiTheme="majorBidi" w:hAnsiTheme="majorBidi" w:cstheme="majorBidi"/>
                <w:sz w:val="16"/>
                <w:szCs w:val="16"/>
                <w:lang w:val="en-US"/>
              </w:rPr>
            </w:pPr>
          </w:p>
        </w:tc>
        <w:tc>
          <w:tcPr>
            <w:tcW w:w="1915" w:type="dxa"/>
          </w:tcPr>
          <w:p w14:paraId="61560F9D" w14:textId="46CF0CCD" w:rsidR="00820C54" w:rsidRPr="004854F0" w:rsidRDefault="00820C54" w:rsidP="005901C4">
            <w:pPr>
              <w:tabs>
                <w:tab w:val="left" w:pos="2160"/>
                <w:tab w:val="left" w:pos="4410"/>
                <w:tab w:val="left" w:pos="6570"/>
                <w:tab w:val="left" w:pos="8010"/>
              </w:tabs>
              <w:spacing w:after="3" w:line="473" w:lineRule="auto"/>
              <w:ind w:right="144"/>
              <w:jc w:val="both"/>
              <w:rPr>
                <w:rFonts w:asciiTheme="majorBidi" w:hAnsiTheme="majorBidi" w:cstheme="majorBidi"/>
                <w:b/>
                <w:bCs/>
                <w:sz w:val="20"/>
                <w:szCs w:val="20"/>
                <w:lang w:val="en-US"/>
              </w:rPr>
            </w:pPr>
            <w:r w:rsidRPr="00927DC8">
              <w:rPr>
                <w:rFonts w:asciiTheme="majorBidi" w:hAnsiTheme="majorBidi" w:cstheme="majorBidi"/>
                <w:sz w:val="16"/>
                <w:szCs w:val="16"/>
                <w:lang w:val="en-US"/>
              </w:rPr>
              <w:t xml:space="preserve">               </w:t>
            </w:r>
            <w:r w:rsidRPr="004854F0">
              <w:rPr>
                <w:rFonts w:asciiTheme="majorBidi" w:hAnsiTheme="majorBidi" w:cstheme="majorBidi"/>
                <w:b/>
                <w:bCs/>
                <w:sz w:val="20"/>
                <w:szCs w:val="20"/>
                <w:lang w:val="en-US"/>
              </w:rPr>
              <w:t>Linear</w:t>
            </w:r>
          </w:p>
          <w:p w14:paraId="239E9222" w14:textId="77777777" w:rsidR="004854F0" w:rsidRDefault="00655D6C" w:rsidP="005901C4">
            <w:pPr>
              <w:tabs>
                <w:tab w:val="left" w:pos="2160"/>
                <w:tab w:val="left" w:pos="4410"/>
                <w:tab w:val="left" w:pos="6570"/>
                <w:tab w:val="left" w:pos="8010"/>
              </w:tabs>
              <w:spacing w:after="3" w:line="473" w:lineRule="auto"/>
              <w:ind w:right="144"/>
              <w:jc w:val="both"/>
              <w:rPr>
                <w:rFonts w:asciiTheme="majorBidi" w:hAnsiTheme="majorBidi" w:cstheme="majorBidi"/>
                <w:sz w:val="16"/>
                <w:szCs w:val="16"/>
                <w:lang w:val="en-US"/>
              </w:rPr>
            </w:pPr>
            <w:r>
              <w:rPr>
                <w:rFonts w:asciiTheme="majorBidi" w:hAnsiTheme="majorBidi" w:cstheme="majorBidi"/>
                <w:sz w:val="16"/>
                <w:szCs w:val="16"/>
                <w:lang w:val="en-US"/>
              </w:rPr>
              <w:t xml:space="preserve">           </w:t>
            </w:r>
            <w:r w:rsidR="00820C54" w:rsidRPr="00927DC8">
              <w:rPr>
                <w:rFonts w:asciiTheme="majorBidi" w:hAnsiTheme="majorBidi" w:cstheme="majorBidi"/>
                <w:sz w:val="16"/>
                <w:szCs w:val="16"/>
                <w:lang w:val="en-US"/>
              </w:rPr>
              <w:t>Denominator</w:t>
            </w:r>
            <w:r>
              <w:rPr>
                <w:rFonts w:asciiTheme="majorBidi" w:hAnsiTheme="majorBidi" w:cstheme="majorBidi"/>
                <w:sz w:val="16"/>
                <w:szCs w:val="16"/>
                <w:lang w:val="en-US"/>
              </w:rPr>
              <w:t xml:space="preserve"> vs.      </w:t>
            </w:r>
          </w:p>
          <w:p w14:paraId="311DBC2B" w14:textId="7FE3B209" w:rsidR="00820C54" w:rsidRPr="00927DC8" w:rsidRDefault="004854F0" w:rsidP="005901C4">
            <w:pPr>
              <w:tabs>
                <w:tab w:val="left" w:pos="2160"/>
                <w:tab w:val="left" w:pos="4410"/>
                <w:tab w:val="left" w:pos="6570"/>
                <w:tab w:val="left" w:pos="8010"/>
              </w:tabs>
              <w:spacing w:after="3" w:line="473" w:lineRule="auto"/>
              <w:ind w:right="144"/>
              <w:jc w:val="both"/>
              <w:rPr>
                <w:rFonts w:asciiTheme="majorBidi" w:hAnsiTheme="majorBidi" w:cstheme="majorBidi"/>
                <w:noProof/>
                <w:sz w:val="16"/>
                <w:szCs w:val="16"/>
                <w:lang w:val="en-US" w:eastAsia="en-IN" w:bidi="he-IL"/>
              </w:rPr>
            </w:pPr>
            <w:r>
              <w:rPr>
                <w:rFonts w:asciiTheme="majorBidi" w:hAnsiTheme="majorBidi" w:cstheme="majorBidi"/>
                <w:sz w:val="16"/>
                <w:szCs w:val="16"/>
                <w:lang w:val="en-US"/>
              </w:rPr>
              <w:t xml:space="preserve">         </w:t>
            </w:r>
            <w:r w:rsidR="00655D6C">
              <w:rPr>
                <w:rFonts w:asciiTheme="majorBidi" w:hAnsiTheme="majorBidi" w:cstheme="majorBidi"/>
                <w:sz w:val="16"/>
                <w:szCs w:val="16"/>
                <w:lang w:val="en-US"/>
              </w:rPr>
              <w:t xml:space="preserve">     </w:t>
            </w:r>
            <w:r w:rsidR="00820C54" w:rsidRPr="00927DC8">
              <w:rPr>
                <w:rFonts w:asciiTheme="majorBidi" w:hAnsiTheme="majorBidi" w:cstheme="majorBidi"/>
                <w:sz w:val="16"/>
                <w:szCs w:val="16"/>
                <w:lang w:val="en-US"/>
              </w:rPr>
              <w:t xml:space="preserve">Numerator </w:t>
            </w:r>
          </w:p>
        </w:tc>
        <w:tc>
          <w:tcPr>
            <w:tcW w:w="1915" w:type="dxa"/>
          </w:tcPr>
          <w:p w14:paraId="5B9576EA" w14:textId="492528D5" w:rsidR="00820C54" w:rsidRPr="00FA10E4" w:rsidRDefault="00820C54" w:rsidP="005901C4">
            <w:pPr>
              <w:tabs>
                <w:tab w:val="left" w:pos="2160"/>
                <w:tab w:val="left" w:pos="4410"/>
                <w:tab w:val="left" w:pos="6570"/>
                <w:tab w:val="left" w:pos="8010"/>
              </w:tabs>
              <w:spacing w:after="3" w:line="473" w:lineRule="auto"/>
              <w:ind w:right="144"/>
              <w:jc w:val="both"/>
              <w:rPr>
                <w:rFonts w:asciiTheme="majorBidi" w:hAnsiTheme="majorBidi" w:cstheme="majorBidi"/>
                <w:b/>
                <w:bCs/>
                <w:sz w:val="20"/>
                <w:szCs w:val="20"/>
                <w:lang w:val="en-US"/>
              </w:rPr>
            </w:pPr>
            <w:r w:rsidRPr="00927DC8">
              <w:rPr>
                <w:rFonts w:asciiTheme="majorBidi" w:hAnsiTheme="majorBidi" w:cstheme="majorBidi"/>
                <w:sz w:val="16"/>
                <w:szCs w:val="16"/>
                <w:lang w:val="en-US"/>
              </w:rPr>
              <w:t xml:space="preserve">           </w:t>
            </w:r>
            <w:r w:rsidR="009678A4">
              <w:rPr>
                <w:rFonts w:asciiTheme="majorBidi" w:hAnsiTheme="majorBidi" w:cstheme="majorBidi"/>
                <w:sz w:val="16"/>
                <w:szCs w:val="16"/>
                <w:lang w:val="en-US"/>
              </w:rPr>
              <w:t xml:space="preserve">   </w:t>
            </w:r>
            <w:r w:rsidRPr="00FA10E4">
              <w:rPr>
                <w:rFonts w:asciiTheme="majorBidi" w:hAnsiTheme="majorBidi" w:cstheme="majorBidi"/>
                <w:b/>
                <w:bCs/>
                <w:sz w:val="20"/>
                <w:szCs w:val="20"/>
                <w:lang w:val="en-US"/>
              </w:rPr>
              <w:t>Concave</w:t>
            </w:r>
          </w:p>
          <w:p w14:paraId="64A1D4C5" w14:textId="77777777" w:rsidR="004854F0" w:rsidRDefault="00655D6C" w:rsidP="005901C4">
            <w:pPr>
              <w:tabs>
                <w:tab w:val="left" w:pos="2160"/>
                <w:tab w:val="left" w:pos="4410"/>
                <w:tab w:val="left" w:pos="6570"/>
                <w:tab w:val="left" w:pos="8010"/>
              </w:tabs>
              <w:spacing w:after="3" w:line="473" w:lineRule="auto"/>
              <w:ind w:right="144"/>
              <w:jc w:val="both"/>
              <w:rPr>
                <w:rFonts w:asciiTheme="majorBidi" w:hAnsiTheme="majorBidi" w:cstheme="majorBidi"/>
                <w:sz w:val="16"/>
                <w:szCs w:val="16"/>
                <w:lang w:val="en-US"/>
              </w:rPr>
            </w:pPr>
            <w:r>
              <w:rPr>
                <w:rFonts w:asciiTheme="majorBidi" w:hAnsiTheme="majorBidi" w:cstheme="majorBidi"/>
                <w:sz w:val="16"/>
                <w:szCs w:val="16"/>
                <w:lang w:val="en-US"/>
              </w:rPr>
              <w:t xml:space="preserve">           </w:t>
            </w:r>
            <w:r w:rsidRPr="00927DC8">
              <w:rPr>
                <w:rFonts w:asciiTheme="majorBidi" w:hAnsiTheme="majorBidi" w:cstheme="majorBidi"/>
                <w:sz w:val="16"/>
                <w:szCs w:val="16"/>
                <w:lang w:val="en-US"/>
              </w:rPr>
              <w:t>Denominator</w:t>
            </w:r>
            <w:r>
              <w:rPr>
                <w:rFonts w:asciiTheme="majorBidi" w:hAnsiTheme="majorBidi" w:cstheme="majorBidi"/>
                <w:sz w:val="16"/>
                <w:szCs w:val="16"/>
                <w:lang w:val="en-US"/>
              </w:rPr>
              <w:t xml:space="preserve"> vs.    </w:t>
            </w:r>
          </w:p>
          <w:p w14:paraId="5CC87D4F" w14:textId="2EF79B7E" w:rsidR="00820C54" w:rsidRPr="00927DC8" w:rsidRDefault="004854F0" w:rsidP="005901C4">
            <w:pPr>
              <w:tabs>
                <w:tab w:val="left" w:pos="2160"/>
                <w:tab w:val="left" w:pos="4410"/>
                <w:tab w:val="left" w:pos="6570"/>
                <w:tab w:val="left" w:pos="8010"/>
              </w:tabs>
              <w:spacing w:after="3" w:line="473" w:lineRule="auto"/>
              <w:ind w:right="144"/>
              <w:jc w:val="both"/>
              <w:rPr>
                <w:rFonts w:asciiTheme="majorBidi" w:hAnsiTheme="majorBidi" w:cstheme="majorBidi"/>
                <w:sz w:val="16"/>
                <w:szCs w:val="16"/>
                <w:lang w:val="en-US"/>
              </w:rPr>
            </w:pPr>
            <w:r>
              <w:rPr>
                <w:rFonts w:asciiTheme="majorBidi" w:hAnsiTheme="majorBidi" w:cstheme="majorBidi"/>
                <w:sz w:val="16"/>
                <w:szCs w:val="16"/>
                <w:lang w:val="en-US"/>
              </w:rPr>
              <w:t xml:space="preserve">          </w:t>
            </w:r>
            <w:r w:rsidR="00655D6C">
              <w:rPr>
                <w:rFonts w:asciiTheme="majorBidi" w:hAnsiTheme="majorBidi" w:cstheme="majorBidi"/>
                <w:sz w:val="16"/>
                <w:szCs w:val="16"/>
                <w:lang w:val="en-US"/>
              </w:rPr>
              <w:t xml:space="preserve">   </w:t>
            </w:r>
            <w:r w:rsidR="00820C54" w:rsidRPr="00927DC8">
              <w:rPr>
                <w:rFonts w:asciiTheme="majorBidi" w:hAnsiTheme="majorBidi" w:cstheme="majorBidi"/>
                <w:sz w:val="16"/>
                <w:szCs w:val="16"/>
                <w:lang w:val="en-US"/>
              </w:rPr>
              <w:t xml:space="preserve"> Numerator</w:t>
            </w:r>
          </w:p>
        </w:tc>
        <w:tc>
          <w:tcPr>
            <w:tcW w:w="1915" w:type="dxa"/>
          </w:tcPr>
          <w:p w14:paraId="3B20C1E3" w14:textId="77D302CB" w:rsidR="00820C54" w:rsidRPr="00FA10E4" w:rsidRDefault="00820C54" w:rsidP="000E3B67">
            <w:pPr>
              <w:tabs>
                <w:tab w:val="left" w:pos="2160"/>
                <w:tab w:val="left" w:pos="4410"/>
                <w:tab w:val="left" w:pos="6570"/>
                <w:tab w:val="left" w:pos="8010"/>
              </w:tabs>
              <w:spacing w:after="3" w:line="473" w:lineRule="auto"/>
              <w:ind w:right="144"/>
              <w:jc w:val="both"/>
              <w:rPr>
                <w:rFonts w:asciiTheme="majorBidi" w:hAnsiTheme="majorBidi" w:cstheme="majorBidi"/>
                <w:b/>
                <w:bCs/>
                <w:sz w:val="20"/>
                <w:szCs w:val="20"/>
                <w:lang w:val="en-US"/>
              </w:rPr>
            </w:pPr>
            <w:r w:rsidRPr="00927DC8">
              <w:rPr>
                <w:rFonts w:asciiTheme="majorBidi" w:hAnsiTheme="majorBidi" w:cstheme="majorBidi"/>
                <w:sz w:val="16"/>
                <w:szCs w:val="16"/>
                <w:lang w:val="en-US"/>
              </w:rPr>
              <w:t xml:space="preserve">             </w:t>
            </w:r>
            <w:r w:rsidRPr="00FA10E4">
              <w:rPr>
                <w:rFonts w:asciiTheme="majorBidi" w:hAnsiTheme="majorBidi" w:cstheme="majorBidi"/>
                <w:b/>
                <w:bCs/>
                <w:sz w:val="20"/>
                <w:szCs w:val="20"/>
                <w:lang w:val="en-US"/>
              </w:rPr>
              <w:t>Convex</w:t>
            </w:r>
          </w:p>
          <w:p w14:paraId="7AE0E1C3" w14:textId="77777777" w:rsidR="004854F0" w:rsidRDefault="00655D6C" w:rsidP="000E3B67">
            <w:pPr>
              <w:tabs>
                <w:tab w:val="left" w:pos="2160"/>
                <w:tab w:val="left" w:pos="4410"/>
                <w:tab w:val="left" w:pos="6570"/>
                <w:tab w:val="left" w:pos="8010"/>
              </w:tabs>
              <w:spacing w:after="3" w:line="473" w:lineRule="auto"/>
              <w:ind w:right="144"/>
              <w:jc w:val="both"/>
              <w:rPr>
                <w:rFonts w:asciiTheme="majorBidi" w:hAnsiTheme="majorBidi" w:cstheme="majorBidi"/>
                <w:sz w:val="16"/>
                <w:szCs w:val="16"/>
                <w:lang w:val="en-US"/>
              </w:rPr>
            </w:pPr>
            <w:r>
              <w:rPr>
                <w:rFonts w:asciiTheme="majorBidi" w:hAnsiTheme="majorBidi" w:cstheme="majorBidi"/>
                <w:sz w:val="16"/>
                <w:szCs w:val="16"/>
                <w:lang w:val="en-US"/>
              </w:rPr>
              <w:t xml:space="preserve">           </w:t>
            </w:r>
            <w:r w:rsidRPr="00927DC8">
              <w:rPr>
                <w:rFonts w:asciiTheme="majorBidi" w:hAnsiTheme="majorBidi" w:cstheme="majorBidi"/>
                <w:sz w:val="16"/>
                <w:szCs w:val="16"/>
                <w:lang w:val="en-US"/>
              </w:rPr>
              <w:t>Denominator</w:t>
            </w:r>
            <w:r>
              <w:rPr>
                <w:rFonts w:asciiTheme="majorBidi" w:hAnsiTheme="majorBidi" w:cstheme="majorBidi"/>
                <w:sz w:val="16"/>
                <w:szCs w:val="16"/>
                <w:lang w:val="en-US"/>
              </w:rPr>
              <w:t xml:space="preserve"> vs.    </w:t>
            </w:r>
          </w:p>
          <w:p w14:paraId="127C28AD" w14:textId="1F051C4F" w:rsidR="00820C54" w:rsidRPr="00927DC8" w:rsidRDefault="004854F0" w:rsidP="000E3B67">
            <w:pPr>
              <w:tabs>
                <w:tab w:val="left" w:pos="2160"/>
                <w:tab w:val="left" w:pos="4410"/>
                <w:tab w:val="left" w:pos="6570"/>
                <w:tab w:val="left" w:pos="8010"/>
              </w:tabs>
              <w:spacing w:after="3" w:line="473" w:lineRule="auto"/>
              <w:ind w:right="144"/>
              <w:jc w:val="both"/>
              <w:rPr>
                <w:rFonts w:asciiTheme="majorBidi" w:hAnsiTheme="majorBidi" w:cstheme="majorBidi"/>
                <w:noProof/>
                <w:sz w:val="16"/>
                <w:szCs w:val="16"/>
                <w:lang w:val="en-US" w:eastAsia="en-IN" w:bidi="he-IL"/>
              </w:rPr>
            </w:pPr>
            <w:r>
              <w:rPr>
                <w:rFonts w:asciiTheme="majorBidi" w:hAnsiTheme="majorBidi" w:cstheme="majorBidi"/>
                <w:sz w:val="16"/>
                <w:szCs w:val="16"/>
                <w:lang w:val="en-US"/>
              </w:rPr>
              <w:t xml:space="preserve">            </w:t>
            </w:r>
            <w:r w:rsidR="00655D6C">
              <w:rPr>
                <w:rFonts w:asciiTheme="majorBidi" w:hAnsiTheme="majorBidi" w:cstheme="majorBidi"/>
                <w:sz w:val="16"/>
                <w:szCs w:val="16"/>
                <w:lang w:val="en-US"/>
              </w:rPr>
              <w:t xml:space="preserve">  </w:t>
            </w:r>
            <w:r w:rsidR="00820C54" w:rsidRPr="00927DC8">
              <w:rPr>
                <w:rFonts w:asciiTheme="majorBidi" w:hAnsiTheme="majorBidi" w:cstheme="majorBidi"/>
                <w:sz w:val="16"/>
                <w:szCs w:val="16"/>
                <w:lang w:val="en-US"/>
              </w:rPr>
              <w:t>Numerator</w:t>
            </w:r>
          </w:p>
        </w:tc>
        <w:tc>
          <w:tcPr>
            <w:tcW w:w="1915" w:type="dxa"/>
          </w:tcPr>
          <w:p w14:paraId="437FA3A5" w14:textId="3CAD05A7" w:rsidR="00B41E84" w:rsidRPr="00FA10E4" w:rsidRDefault="00EC38E7" w:rsidP="00B41E84">
            <w:pPr>
              <w:tabs>
                <w:tab w:val="left" w:pos="2160"/>
                <w:tab w:val="left" w:pos="4410"/>
                <w:tab w:val="left" w:pos="6570"/>
                <w:tab w:val="left" w:pos="8010"/>
              </w:tabs>
              <w:spacing w:after="3" w:line="473" w:lineRule="auto"/>
              <w:ind w:right="144"/>
              <w:jc w:val="both"/>
              <w:rPr>
                <w:rFonts w:asciiTheme="majorBidi" w:hAnsiTheme="majorBidi" w:cstheme="majorBidi"/>
                <w:b/>
                <w:bCs/>
                <w:sz w:val="20"/>
                <w:szCs w:val="20"/>
                <w:lang w:val="en-US"/>
              </w:rPr>
            </w:pPr>
            <w:r>
              <w:rPr>
                <w:rFonts w:asciiTheme="majorBidi" w:hAnsiTheme="majorBidi" w:cstheme="majorBidi"/>
                <w:noProof/>
                <w:sz w:val="16"/>
                <w:szCs w:val="16"/>
                <w:lang w:val="en-US"/>
              </w:rPr>
              <mc:AlternateContent>
                <mc:Choice Requires="wps">
                  <w:drawing>
                    <wp:anchor distT="0" distB="0" distL="114300" distR="114300" simplePos="0" relativeHeight="252105728" behindDoc="0" locked="0" layoutInCell="1" allowOverlap="1" wp14:anchorId="54BEA9CA" wp14:editId="12DF0705">
                      <wp:simplePos x="0" y="0"/>
                      <wp:positionH relativeFrom="column">
                        <wp:posOffset>8288</wp:posOffset>
                      </wp:positionH>
                      <wp:positionV relativeFrom="paragraph">
                        <wp:posOffset>81614</wp:posOffset>
                      </wp:positionV>
                      <wp:extent cx="28074" cy="4832684"/>
                      <wp:effectExtent l="0" t="0" r="29210" b="25400"/>
                      <wp:wrapNone/>
                      <wp:docPr id="625968472" name="Straight Connector 1"/>
                      <wp:cNvGraphicFramePr/>
                      <a:graphic xmlns:a="http://schemas.openxmlformats.org/drawingml/2006/main">
                        <a:graphicData uri="http://schemas.microsoft.com/office/word/2010/wordprocessingShape">
                          <wps:wsp>
                            <wps:cNvCnPr/>
                            <wps:spPr>
                              <a:xfrm>
                                <a:off x="0" y="0"/>
                                <a:ext cx="28074" cy="4832684"/>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047C0E6" id="Straight Connector 1" o:spid="_x0000_s1026" style="position:absolute;z-index:252105728;visibility:visible;mso-wrap-style:square;mso-wrap-distance-left:9pt;mso-wrap-distance-top:0;mso-wrap-distance-right:9pt;mso-wrap-distance-bottom:0;mso-position-horizontal:absolute;mso-position-horizontal-relative:text;mso-position-vertical:absolute;mso-position-vertical-relative:text" from=".65pt,6.45pt" to="2.85pt,3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" strokecolor="black [3213]" strokeweight="1pt">
                      <v:stroke joinstyle="miter"/>
                    </v:line>
                  </w:pict>
                </mc:Fallback>
              </mc:AlternateContent>
            </w:r>
            <w:r w:rsidR="00B41E84" w:rsidRPr="00927DC8">
              <w:rPr>
                <w:rFonts w:asciiTheme="majorBidi" w:hAnsiTheme="majorBidi" w:cstheme="majorBidi"/>
                <w:sz w:val="16"/>
                <w:szCs w:val="16"/>
                <w:lang w:val="en-US"/>
              </w:rPr>
              <w:t xml:space="preserve">               </w:t>
            </w:r>
            <w:r w:rsidR="00B41E84" w:rsidRPr="00FA10E4">
              <w:rPr>
                <w:rFonts w:asciiTheme="majorBidi" w:hAnsiTheme="majorBidi" w:cstheme="majorBidi"/>
                <w:b/>
                <w:bCs/>
                <w:sz w:val="20"/>
                <w:szCs w:val="20"/>
                <w:lang w:val="en-US"/>
              </w:rPr>
              <w:t>Linear</w:t>
            </w:r>
          </w:p>
          <w:p w14:paraId="0663C59C" w14:textId="77777777" w:rsidR="009678A4" w:rsidRDefault="00B41E84" w:rsidP="009678A4">
            <w:pPr>
              <w:tabs>
                <w:tab w:val="left" w:pos="2160"/>
                <w:tab w:val="left" w:pos="4410"/>
                <w:tab w:val="left" w:pos="6570"/>
                <w:tab w:val="left" w:pos="8010"/>
              </w:tabs>
              <w:spacing w:after="3" w:line="473" w:lineRule="auto"/>
              <w:ind w:right="144"/>
              <w:jc w:val="both"/>
              <w:rPr>
                <w:rFonts w:asciiTheme="majorBidi" w:hAnsiTheme="majorBidi" w:cstheme="majorBidi"/>
                <w:sz w:val="16"/>
                <w:szCs w:val="16"/>
                <w:lang w:val="en-US"/>
              </w:rPr>
            </w:pPr>
            <w:r>
              <w:rPr>
                <w:rFonts w:asciiTheme="majorBidi" w:hAnsiTheme="majorBidi" w:cstheme="majorBidi"/>
                <w:sz w:val="16"/>
                <w:szCs w:val="16"/>
                <w:lang w:val="en-US"/>
              </w:rPr>
              <w:t xml:space="preserve">  </w:t>
            </w:r>
            <w:r w:rsidR="009678A4">
              <w:rPr>
                <w:rFonts w:asciiTheme="majorBidi" w:hAnsiTheme="majorBidi" w:cstheme="majorBidi"/>
                <w:sz w:val="16"/>
                <w:szCs w:val="16"/>
                <w:lang w:val="en-US"/>
              </w:rPr>
              <w:t xml:space="preserve">   </w:t>
            </w:r>
            <w:r>
              <w:rPr>
                <w:rFonts w:asciiTheme="majorBidi" w:hAnsiTheme="majorBidi" w:cstheme="majorBidi"/>
                <w:sz w:val="16"/>
                <w:szCs w:val="16"/>
                <w:lang w:val="en-US"/>
              </w:rPr>
              <w:t xml:space="preserve">  </w:t>
            </w:r>
            <w:r w:rsidR="009678A4">
              <w:rPr>
                <w:rFonts w:asciiTheme="majorBidi" w:hAnsiTheme="majorBidi" w:cstheme="majorBidi"/>
                <w:sz w:val="16"/>
                <w:szCs w:val="16"/>
                <w:lang w:val="en-US"/>
              </w:rPr>
              <w:t>Total Element vs.</w:t>
            </w:r>
          </w:p>
          <w:p w14:paraId="04121B5E" w14:textId="0EBB2005" w:rsidR="009678A4" w:rsidRPr="00927DC8" w:rsidRDefault="009678A4" w:rsidP="009678A4">
            <w:pPr>
              <w:tabs>
                <w:tab w:val="left" w:pos="2160"/>
                <w:tab w:val="left" w:pos="4410"/>
                <w:tab w:val="left" w:pos="6570"/>
                <w:tab w:val="left" w:pos="8010"/>
              </w:tabs>
              <w:spacing w:after="3" w:line="473" w:lineRule="auto"/>
              <w:ind w:right="144"/>
              <w:jc w:val="both"/>
              <w:rPr>
                <w:rFonts w:asciiTheme="majorBidi" w:hAnsiTheme="majorBidi" w:cstheme="majorBidi"/>
                <w:sz w:val="16"/>
                <w:szCs w:val="16"/>
                <w:lang w:val="en-US"/>
              </w:rPr>
            </w:pPr>
            <w:r>
              <w:rPr>
                <w:rFonts w:asciiTheme="majorBidi" w:hAnsiTheme="majorBidi" w:cstheme="majorBidi"/>
                <w:sz w:val="16"/>
                <w:szCs w:val="16"/>
                <w:lang w:val="en-US"/>
              </w:rPr>
              <w:t xml:space="preserve">                 Ratio</w:t>
            </w:r>
          </w:p>
        </w:tc>
        <w:tc>
          <w:tcPr>
            <w:tcW w:w="1915" w:type="dxa"/>
          </w:tcPr>
          <w:p w14:paraId="6516F678" w14:textId="67A1B6C8" w:rsidR="00B41E84" w:rsidRPr="00FA10E4" w:rsidRDefault="00B41E84" w:rsidP="00B41E84">
            <w:pPr>
              <w:tabs>
                <w:tab w:val="left" w:pos="2160"/>
                <w:tab w:val="left" w:pos="4410"/>
                <w:tab w:val="left" w:pos="6570"/>
                <w:tab w:val="left" w:pos="8010"/>
              </w:tabs>
              <w:spacing w:after="3" w:line="473" w:lineRule="auto"/>
              <w:ind w:right="144"/>
              <w:jc w:val="both"/>
              <w:rPr>
                <w:rFonts w:asciiTheme="majorBidi" w:hAnsiTheme="majorBidi" w:cstheme="majorBidi"/>
                <w:b/>
                <w:bCs/>
                <w:sz w:val="20"/>
                <w:szCs w:val="20"/>
                <w:lang w:val="en-US"/>
              </w:rPr>
            </w:pPr>
            <w:r w:rsidRPr="00927DC8">
              <w:rPr>
                <w:rFonts w:asciiTheme="majorBidi" w:hAnsiTheme="majorBidi" w:cstheme="majorBidi"/>
                <w:sz w:val="16"/>
                <w:szCs w:val="16"/>
                <w:lang w:val="en-US"/>
              </w:rPr>
              <w:t xml:space="preserve">       </w:t>
            </w:r>
            <w:r w:rsidR="004854F0">
              <w:rPr>
                <w:rFonts w:asciiTheme="majorBidi" w:hAnsiTheme="majorBidi" w:cstheme="majorBidi"/>
                <w:sz w:val="16"/>
                <w:szCs w:val="16"/>
                <w:lang w:val="en-US"/>
              </w:rPr>
              <w:t xml:space="preserve">   </w:t>
            </w:r>
            <w:r w:rsidRPr="00927DC8">
              <w:rPr>
                <w:rFonts w:asciiTheme="majorBidi" w:hAnsiTheme="majorBidi" w:cstheme="majorBidi"/>
                <w:sz w:val="16"/>
                <w:szCs w:val="16"/>
                <w:lang w:val="en-US"/>
              </w:rPr>
              <w:t xml:space="preserve">    </w:t>
            </w:r>
            <w:r w:rsidRPr="00FA10E4">
              <w:rPr>
                <w:rFonts w:asciiTheme="majorBidi" w:hAnsiTheme="majorBidi" w:cstheme="majorBidi"/>
                <w:b/>
                <w:bCs/>
                <w:sz w:val="20"/>
                <w:szCs w:val="20"/>
                <w:lang w:val="en-US"/>
              </w:rPr>
              <w:t>Concave</w:t>
            </w:r>
          </w:p>
          <w:p w14:paraId="71C59B33" w14:textId="0C988725" w:rsidR="00820C54" w:rsidRDefault="00B41E84" w:rsidP="000E3B67">
            <w:pPr>
              <w:tabs>
                <w:tab w:val="left" w:pos="2160"/>
                <w:tab w:val="left" w:pos="4410"/>
                <w:tab w:val="left" w:pos="6570"/>
                <w:tab w:val="left" w:pos="8010"/>
              </w:tabs>
              <w:spacing w:after="3" w:line="473" w:lineRule="auto"/>
              <w:ind w:right="144"/>
              <w:jc w:val="both"/>
              <w:rPr>
                <w:rFonts w:asciiTheme="majorBidi" w:hAnsiTheme="majorBidi" w:cstheme="majorBidi"/>
                <w:sz w:val="16"/>
                <w:szCs w:val="16"/>
                <w:lang w:val="en-US"/>
              </w:rPr>
            </w:pPr>
            <w:r>
              <w:rPr>
                <w:rFonts w:asciiTheme="majorBidi" w:hAnsiTheme="majorBidi" w:cstheme="majorBidi"/>
                <w:sz w:val="16"/>
                <w:szCs w:val="16"/>
                <w:lang w:val="en-US"/>
              </w:rPr>
              <w:t xml:space="preserve">   </w:t>
            </w:r>
            <w:r w:rsidR="004854F0">
              <w:rPr>
                <w:rFonts w:asciiTheme="majorBidi" w:hAnsiTheme="majorBidi" w:cstheme="majorBidi"/>
                <w:sz w:val="16"/>
                <w:szCs w:val="16"/>
                <w:lang w:val="en-US"/>
              </w:rPr>
              <w:t xml:space="preserve">  </w:t>
            </w:r>
            <w:r>
              <w:rPr>
                <w:rFonts w:asciiTheme="majorBidi" w:hAnsiTheme="majorBidi" w:cstheme="majorBidi"/>
                <w:sz w:val="16"/>
                <w:szCs w:val="16"/>
                <w:lang w:val="en-US"/>
              </w:rPr>
              <w:t xml:space="preserve">    </w:t>
            </w:r>
            <w:r w:rsidR="00F24AC9">
              <w:rPr>
                <w:rFonts w:asciiTheme="majorBidi" w:hAnsiTheme="majorBidi" w:cstheme="majorBidi"/>
                <w:sz w:val="16"/>
                <w:szCs w:val="16"/>
                <w:lang w:val="en-US"/>
              </w:rPr>
              <w:t xml:space="preserve">Total Element </w:t>
            </w:r>
            <w:r w:rsidR="004854F0">
              <w:rPr>
                <w:rFonts w:asciiTheme="majorBidi" w:hAnsiTheme="majorBidi" w:cstheme="majorBidi"/>
                <w:sz w:val="16"/>
                <w:szCs w:val="16"/>
                <w:lang w:val="en-US"/>
              </w:rPr>
              <w:t>vs.</w:t>
            </w:r>
            <w:r>
              <w:rPr>
                <w:rFonts w:asciiTheme="majorBidi" w:hAnsiTheme="majorBidi" w:cstheme="majorBidi"/>
                <w:sz w:val="16"/>
                <w:szCs w:val="16"/>
                <w:lang w:val="en-US"/>
              </w:rPr>
              <w:t xml:space="preserve"> </w:t>
            </w:r>
          </w:p>
          <w:p w14:paraId="113F3B7E" w14:textId="5FBEFF0A" w:rsidR="009678A4" w:rsidRPr="00927DC8" w:rsidRDefault="009678A4" w:rsidP="000E3B67">
            <w:pPr>
              <w:tabs>
                <w:tab w:val="left" w:pos="2160"/>
                <w:tab w:val="left" w:pos="4410"/>
                <w:tab w:val="left" w:pos="6570"/>
                <w:tab w:val="left" w:pos="8010"/>
              </w:tabs>
              <w:spacing w:after="3" w:line="473" w:lineRule="auto"/>
              <w:ind w:right="144"/>
              <w:jc w:val="both"/>
              <w:rPr>
                <w:rFonts w:asciiTheme="majorBidi" w:hAnsiTheme="majorBidi" w:cstheme="majorBidi"/>
                <w:sz w:val="16"/>
                <w:szCs w:val="16"/>
                <w:lang w:val="en-US"/>
              </w:rPr>
            </w:pPr>
            <w:r>
              <w:rPr>
                <w:rFonts w:asciiTheme="majorBidi" w:hAnsiTheme="majorBidi" w:cstheme="majorBidi"/>
                <w:sz w:val="16"/>
                <w:szCs w:val="16"/>
                <w:lang w:val="en-US"/>
              </w:rPr>
              <w:t xml:space="preserve">        </w:t>
            </w:r>
            <w:r w:rsidR="004854F0">
              <w:rPr>
                <w:rFonts w:asciiTheme="majorBidi" w:hAnsiTheme="majorBidi" w:cstheme="majorBidi"/>
                <w:sz w:val="16"/>
                <w:szCs w:val="16"/>
                <w:lang w:val="en-US"/>
              </w:rPr>
              <w:t xml:space="preserve">           </w:t>
            </w:r>
            <w:r>
              <w:rPr>
                <w:rFonts w:asciiTheme="majorBidi" w:hAnsiTheme="majorBidi" w:cstheme="majorBidi"/>
                <w:sz w:val="16"/>
                <w:szCs w:val="16"/>
                <w:lang w:val="en-US"/>
              </w:rPr>
              <w:t>Ratio</w:t>
            </w:r>
          </w:p>
        </w:tc>
        <w:tc>
          <w:tcPr>
            <w:tcW w:w="1915" w:type="dxa"/>
          </w:tcPr>
          <w:p w14:paraId="6A5F63C6" w14:textId="77777777" w:rsidR="00B41E84" w:rsidRPr="00FA10E4" w:rsidRDefault="00B41E84" w:rsidP="00B41E84">
            <w:pPr>
              <w:tabs>
                <w:tab w:val="left" w:pos="2160"/>
                <w:tab w:val="left" w:pos="4410"/>
                <w:tab w:val="left" w:pos="6570"/>
                <w:tab w:val="left" w:pos="8010"/>
              </w:tabs>
              <w:spacing w:after="3" w:line="473" w:lineRule="auto"/>
              <w:ind w:right="144"/>
              <w:jc w:val="both"/>
              <w:rPr>
                <w:rFonts w:asciiTheme="majorBidi" w:hAnsiTheme="majorBidi" w:cstheme="majorBidi"/>
                <w:b/>
                <w:bCs/>
                <w:sz w:val="20"/>
                <w:szCs w:val="20"/>
                <w:lang w:val="en-US"/>
              </w:rPr>
            </w:pPr>
            <w:r w:rsidRPr="00927DC8">
              <w:rPr>
                <w:rFonts w:asciiTheme="majorBidi" w:hAnsiTheme="majorBidi" w:cstheme="majorBidi"/>
                <w:sz w:val="16"/>
                <w:szCs w:val="16"/>
                <w:lang w:val="en-US"/>
              </w:rPr>
              <w:t xml:space="preserve">             </w:t>
            </w:r>
            <w:r w:rsidRPr="00FA10E4">
              <w:rPr>
                <w:rFonts w:asciiTheme="majorBidi" w:hAnsiTheme="majorBidi" w:cstheme="majorBidi"/>
                <w:b/>
                <w:bCs/>
                <w:sz w:val="20"/>
                <w:szCs w:val="20"/>
                <w:lang w:val="en-US"/>
              </w:rPr>
              <w:t>Convex</w:t>
            </w:r>
          </w:p>
          <w:p w14:paraId="6CF5043A" w14:textId="3C3C7DAA" w:rsidR="00820C54" w:rsidRDefault="00B41E84" w:rsidP="000E3B67">
            <w:pPr>
              <w:tabs>
                <w:tab w:val="left" w:pos="2160"/>
                <w:tab w:val="left" w:pos="4410"/>
                <w:tab w:val="left" w:pos="6570"/>
                <w:tab w:val="left" w:pos="8010"/>
              </w:tabs>
              <w:spacing w:after="3" w:line="473" w:lineRule="auto"/>
              <w:ind w:right="144"/>
              <w:jc w:val="both"/>
              <w:rPr>
                <w:rFonts w:asciiTheme="majorBidi" w:hAnsiTheme="majorBidi" w:cstheme="majorBidi"/>
                <w:sz w:val="16"/>
                <w:szCs w:val="16"/>
                <w:lang w:val="en-US"/>
              </w:rPr>
            </w:pPr>
            <w:r>
              <w:rPr>
                <w:rFonts w:asciiTheme="majorBidi" w:hAnsiTheme="majorBidi" w:cstheme="majorBidi"/>
                <w:sz w:val="16"/>
                <w:szCs w:val="16"/>
                <w:lang w:val="en-US"/>
              </w:rPr>
              <w:t xml:space="preserve">        </w:t>
            </w:r>
            <w:r w:rsidR="004854F0">
              <w:rPr>
                <w:rFonts w:asciiTheme="majorBidi" w:hAnsiTheme="majorBidi" w:cstheme="majorBidi"/>
                <w:sz w:val="16"/>
                <w:szCs w:val="16"/>
                <w:lang w:val="en-US"/>
              </w:rPr>
              <w:t>Total Element vs</w:t>
            </w:r>
            <w:r w:rsidR="009678A4">
              <w:rPr>
                <w:rFonts w:asciiTheme="majorBidi" w:hAnsiTheme="majorBidi" w:cstheme="majorBidi"/>
                <w:sz w:val="16"/>
                <w:szCs w:val="16"/>
                <w:lang w:val="en-US"/>
              </w:rPr>
              <w:t>.</w:t>
            </w:r>
          </w:p>
          <w:p w14:paraId="620F1D6E" w14:textId="3F4C42BB" w:rsidR="00B41E84" w:rsidRPr="00927DC8" w:rsidRDefault="00B41E84" w:rsidP="000E3B67">
            <w:pPr>
              <w:tabs>
                <w:tab w:val="left" w:pos="2160"/>
                <w:tab w:val="left" w:pos="4410"/>
                <w:tab w:val="left" w:pos="6570"/>
                <w:tab w:val="left" w:pos="8010"/>
              </w:tabs>
              <w:spacing w:after="3" w:line="473" w:lineRule="auto"/>
              <w:ind w:right="144"/>
              <w:jc w:val="both"/>
              <w:rPr>
                <w:rFonts w:asciiTheme="majorBidi" w:hAnsiTheme="majorBidi" w:cstheme="majorBidi"/>
                <w:sz w:val="16"/>
                <w:szCs w:val="16"/>
                <w:lang w:val="en-US"/>
              </w:rPr>
            </w:pPr>
            <w:r>
              <w:rPr>
                <w:rFonts w:asciiTheme="majorBidi" w:hAnsiTheme="majorBidi" w:cstheme="majorBidi"/>
                <w:sz w:val="16"/>
                <w:szCs w:val="16"/>
                <w:lang w:val="en-US"/>
              </w:rPr>
              <w:t xml:space="preserve">         </w:t>
            </w:r>
            <w:r w:rsidR="004854F0">
              <w:rPr>
                <w:rFonts w:asciiTheme="majorBidi" w:hAnsiTheme="majorBidi" w:cstheme="majorBidi"/>
                <w:sz w:val="16"/>
                <w:szCs w:val="16"/>
                <w:lang w:val="en-US"/>
              </w:rPr>
              <w:t xml:space="preserve">         </w:t>
            </w:r>
            <w:r w:rsidR="009678A4">
              <w:rPr>
                <w:rFonts w:asciiTheme="majorBidi" w:hAnsiTheme="majorBidi" w:cstheme="majorBidi"/>
                <w:sz w:val="16"/>
                <w:szCs w:val="16"/>
                <w:lang w:val="en-US"/>
              </w:rPr>
              <w:t>Ratio</w:t>
            </w:r>
          </w:p>
        </w:tc>
      </w:tr>
      <w:tr w:rsidR="00820C54" w:rsidRPr="00927DC8" w14:paraId="27B5FB7B" w14:textId="6BF8D676" w:rsidTr="00820C54">
        <w:trPr>
          <w:trHeight w:val="1296"/>
        </w:trPr>
        <w:tc>
          <w:tcPr>
            <w:tcW w:w="1915" w:type="dxa"/>
          </w:tcPr>
          <w:p w14:paraId="3BA50A24" w14:textId="77777777" w:rsidR="00820C54" w:rsidRPr="00FA10E4" w:rsidRDefault="00820C54" w:rsidP="005901C4">
            <w:pPr>
              <w:tabs>
                <w:tab w:val="left" w:pos="2160"/>
                <w:tab w:val="left" w:pos="4410"/>
                <w:tab w:val="left" w:pos="6570"/>
                <w:tab w:val="left" w:pos="8010"/>
              </w:tabs>
              <w:spacing w:after="3" w:line="473" w:lineRule="auto"/>
              <w:ind w:right="144"/>
              <w:jc w:val="both"/>
              <w:rPr>
                <w:rFonts w:asciiTheme="majorBidi" w:hAnsiTheme="majorBidi" w:cstheme="majorBidi"/>
                <w:b/>
                <w:bCs/>
                <w:sz w:val="20"/>
                <w:szCs w:val="20"/>
                <w:lang w:val="en-US"/>
              </w:rPr>
            </w:pPr>
            <w:r w:rsidRPr="00FA10E4">
              <w:rPr>
                <w:rFonts w:asciiTheme="majorBidi" w:hAnsiTheme="majorBidi" w:cstheme="majorBidi"/>
                <w:b/>
                <w:bCs/>
                <w:sz w:val="20"/>
                <w:szCs w:val="20"/>
                <w:lang w:val="en-US"/>
              </w:rPr>
              <w:t>Positive</w:t>
            </w:r>
          </w:p>
          <w:p w14:paraId="4582D441" w14:textId="77777777" w:rsidR="00820C54" w:rsidRPr="00927DC8" w:rsidRDefault="00820C54" w:rsidP="005901C4">
            <w:pPr>
              <w:tabs>
                <w:tab w:val="left" w:pos="2160"/>
                <w:tab w:val="left" w:pos="4410"/>
                <w:tab w:val="left" w:pos="6570"/>
                <w:tab w:val="left" w:pos="8010"/>
              </w:tabs>
              <w:spacing w:after="3" w:line="473" w:lineRule="auto"/>
              <w:ind w:right="144"/>
              <w:jc w:val="both"/>
              <w:rPr>
                <w:rFonts w:asciiTheme="majorBidi" w:hAnsiTheme="majorBidi" w:cstheme="majorBidi"/>
                <w:sz w:val="16"/>
                <w:szCs w:val="16"/>
                <w:lang w:val="en-US"/>
              </w:rPr>
            </w:pPr>
            <w:r w:rsidRPr="00FA10E4">
              <w:rPr>
                <w:rFonts w:asciiTheme="majorBidi" w:hAnsiTheme="majorBidi" w:cstheme="majorBidi"/>
                <w:b/>
                <w:bCs/>
                <w:i/>
                <w:iCs/>
                <w:sz w:val="20"/>
                <w:szCs w:val="20"/>
                <w:lang w:val="en-US"/>
              </w:rPr>
              <w:t>y</w:t>
            </w:r>
            <w:r w:rsidRPr="00FA10E4">
              <w:rPr>
                <w:rFonts w:asciiTheme="majorBidi" w:hAnsiTheme="majorBidi" w:cstheme="majorBidi"/>
                <w:b/>
                <w:bCs/>
                <w:sz w:val="20"/>
                <w:szCs w:val="20"/>
                <w:lang w:val="en-US"/>
              </w:rPr>
              <w:t>-intercept</w:t>
            </w:r>
          </w:p>
        </w:tc>
        <w:tc>
          <w:tcPr>
            <w:tcW w:w="1915" w:type="dxa"/>
          </w:tcPr>
          <w:p w14:paraId="13EA9761" w14:textId="50B2A1FD" w:rsidR="00820C54" w:rsidRPr="00927DC8" w:rsidRDefault="00820C54" w:rsidP="005901C4">
            <w:pPr>
              <w:tabs>
                <w:tab w:val="left" w:pos="2160"/>
                <w:tab w:val="left" w:pos="4410"/>
                <w:tab w:val="left" w:pos="6570"/>
                <w:tab w:val="left" w:pos="8010"/>
              </w:tabs>
              <w:spacing w:after="3" w:line="473" w:lineRule="auto"/>
              <w:ind w:right="144"/>
              <w:jc w:val="both"/>
              <w:rPr>
                <w:rFonts w:asciiTheme="majorBidi" w:hAnsiTheme="majorBidi" w:cstheme="majorBidi"/>
                <w:sz w:val="16"/>
                <w:szCs w:val="16"/>
                <w:lang w:val="en-US"/>
              </w:rPr>
            </w:pPr>
            <w:r w:rsidRPr="00927DC8">
              <w:rPr>
                <w:noProof/>
                <w:sz w:val="16"/>
                <w:szCs w:val="16"/>
              </w:rPr>
              <mc:AlternateContent>
                <mc:Choice Requires="wps">
                  <w:drawing>
                    <wp:anchor distT="0" distB="0" distL="114300" distR="114300" simplePos="0" relativeHeight="252087296" behindDoc="0" locked="0" layoutInCell="1" allowOverlap="1" wp14:anchorId="00CADCF6" wp14:editId="1CE9956B">
                      <wp:simplePos x="0" y="0"/>
                      <wp:positionH relativeFrom="column">
                        <wp:posOffset>104775</wp:posOffset>
                      </wp:positionH>
                      <wp:positionV relativeFrom="paragraph">
                        <wp:posOffset>-596900</wp:posOffset>
                      </wp:positionV>
                      <wp:extent cx="923925" cy="1019175"/>
                      <wp:effectExtent l="6350" t="12700" r="12700" b="6350"/>
                      <wp:wrapTopAndBottom/>
                      <wp:docPr id="881889082" name="Rectangle: Rounded Corners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23925" cy="1019175"/>
                              </a:xfrm>
                              <a:prstGeom prst="roundRect">
                                <a:avLst>
                                  <a:gd name="adj" fmla="val 16667"/>
                                </a:avLst>
                              </a:prstGeom>
                              <a:blipFill dpi="0" rotWithShape="1">
                                <a:blip r:embed="rId31"/>
                                <a:srcRect/>
                                <a:stretch>
                                  <a:fillRect/>
                                </a:stretch>
                              </a:blipFill>
                              <a:ln w="12700">
                                <a:solidFill>
                                  <a:schemeClr val="accent1">
                                    <a:lumMod val="50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37F93F4D" id="Rectangle: Rounded Corners 58" o:spid="_x0000_s1026" style="position:absolute;margin-left:8.25pt;margin-top:-47pt;width:72.75pt;height:80.25pt;z-index:25208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" strokecolor="#1f3763 [1604]" strokeweight="1pt">
                      <v:fill r:id="rId67" o:title="" recolor="t" rotate="t" type="frame"/>
                      <v:stroke joinstyle="miter"/>
                      <w10:wrap type="topAndBottom"/>
                    </v:roundrect>
                  </w:pict>
                </mc:Fallback>
              </mc:AlternateContent>
            </w:r>
          </w:p>
        </w:tc>
        <w:tc>
          <w:tcPr>
            <w:tcW w:w="1915" w:type="dxa"/>
          </w:tcPr>
          <w:p w14:paraId="7C3BFDAD" w14:textId="6FFD5461" w:rsidR="00820C54" w:rsidRPr="00655D6C" w:rsidRDefault="00820C54" w:rsidP="005901C4">
            <w:pPr>
              <w:tabs>
                <w:tab w:val="left" w:pos="2160"/>
                <w:tab w:val="left" w:pos="4410"/>
                <w:tab w:val="left" w:pos="6570"/>
                <w:tab w:val="left" w:pos="8010"/>
              </w:tabs>
              <w:spacing w:after="3" w:line="473" w:lineRule="auto"/>
              <w:ind w:right="144"/>
              <w:jc w:val="both"/>
              <w:rPr>
                <w:rFonts w:asciiTheme="majorBidi" w:hAnsiTheme="majorBidi" w:cstheme="majorBidi"/>
                <w:sz w:val="16"/>
                <w:szCs w:val="16"/>
                <w:lang w:val="en-US"/>
              </w:rPr>
            </w:pPr>
            <w:r w:rsidRPr="00927DC8">
              <w:rPr>
                <w:noProof/>
                <w:sz w:val="16"/>
                <w:szCs w:val="16"/>
              </w:rPr>
              <mc:AlternateContent>
                <mc:Choice Requires="wps">
                  <w:drawing>
                    <wp:anchor distT="0" distB="0" distL="114300" distR="114300" simplePos="0" relativeHeight="252092416" behindDoc="0" locked="0" layoutInCell="1" allowOverlap="1" wp14:anchorId="3038BD98" wp14:editId="47160570">
                      <wp:simplePos x="0" y="0"/>
                      <wp:positionH relativeFrom="column">
                        <wp:posOffset>112395</wp:posOffset>
                      </wp:positionH>
                      <wp:positionV relativeFrom="paragraph">
                        <wp:posOffset>13335</wp:posOffset>
                      </wp:positionV>
                      <wp:extent cx="899795" cy="1047750"/>
                      <wp:effectExtent l="0" t="0" r="14605" b="19050"/>
                      <wp:wrapTopAndBottom/>
                      <wp:docPr id="2053192515" name="Rectangle: Rounded Corners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9795" cy="1047750"/>
                              </a:xfrm>
                              <a:prstGeom prst="roundRect">
                                <a:avLst>
                                  <a:gd name="adj" fmla="val 16667"/>
                                </a:avLst>
                              </a:prstGeom>
                              <a:blipFill dpi="0" rotWithShape="1">
                                <a:blip r:embed="rId35"/>
                                <a:srcRect/>
                                <a:stretch>
                                  <a:fillRect/>
                                </a:stretch>
                              </a:blipFill>
                              <a:ln w="12700">
                                <a:solidFill>
                                  <a:schemeClr val="accent1">
                                    <a:lumMod val="50000"/>
                                    <a:lumOff val="0"/>
                                  </a:schemeClr>
                                </a:solidFill>
                                <a:miter lim="800000"/>
                                <a:headEnd/>
                                <a:tailEnd/>
                              </a:ln>
                            </wps:spPr>
                            <wps:txbx>
                              <w:txbxContent>
                                <w:p w14:paraId="35978990" w14:textId="77777777" w:rsidR="00820C54" w:rsidRDefault="00820C54" w:rsidP="00015106">
                                  <w:pPr>
                                    <w:jc w:val="cente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3038BD98" id="_x0000_s1029" style="position:absolute;left:0;text-align:left;margin-left:8.85pt;margin-top:1.05pt;width:70.85pt;height:82.5pt;z-index:25209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" strokecolor="#1f3763 [1604]" strokeweight="1pt">
                      <v:fill r:id="rId36" o:title="" recolor="t" rotate="t" type="frame"/>
                      <v:stroke joinstyle="miter"/>
                      <v:textbox>
                        <w:txbxContent>
                          <w:p w14:paraId="35978990" w14:textId="77777777" w:rsidR="00820C54" w:rsidRDefault="00820C54" w:rsidP="00015106">
                            <w:pPr>
                              <w:jc w:val="center"/>
                            </w:pPr>
                          </w:p>
                        </w:txbxContent>
                      </v:textbox>
                      <w10:wrap type="topAndBottom"/>
                    </v:roundrect>
                  </w:pict>
                </mc:Fallback>
              </mc:AlternateContent>
            </w:r>
          </w:p>
        </w:tc>
        <w:tc>
          <w:tcPr>
            <w:tcW w:w="1915" w:type="dxa"/>
          </w:tcPr>
          <w:p w14:paraId="427899ED" w14:textId="649AF589" w:rsidR="00820C54" w:rsidRPr="00655D6C" w:rsidRDefault="00820C54" w:rsidP="00015106">
            <w:pPr>
              <w:tabs>
                <w:tab w:val="left" w:pos="2160"/>
                <w:tab w:val="left" w:pos="4410"/>
                <w:tab w:val="left" w:pos="6570"/>
                <w:tab w:val="left" w:pos="8010"/>
              </w:tabs>
              <w:spacing w:after="3" w:line="473" w:lineRule="auto"/>
              <w:ind w:right="144"/>
              <w:jc w:val="both"/>
              <w:rPr>
                <w:rFonts w:asciiTheme="majorBidi" w:hAnsiTheme="majorBidi" w:cstheme="majorBidi"/>
                <w:sz w:val="16"/>
                <w:szCs w:val="16"/>
                <w:lang w:val="en-US"/>
              </w:rPr>
            </w:pPr>
            <w:r w:rsidRPr="00927DC8">
              <w:rPr>
                <w:noProof/>
                <w:sz w:val="16"/>
                <w:szCs w:val="16"/>
              </w:rPr>
              <mc:AlternateContent>
                <mc:Choice Requires="wps">
                  <w:drawing>
                    <wp:anchor distT="0" distB="0" distL="114300" distR="114300" simplePos="0" relativeHeight="252090368" behindDoc="0" locked="0" layoutInCell="1" allowOverlap="1" wp14:anchorId="7FF985B7" wp14:editId="59CE6852">
                      <wp:simplePos x="0" y="0"/>
                      <wp:positionH relativeFrom="column">
                        <wp:posOffset>160020</wp:posOffset>
                      </wp:positionH>
                      <wp:positionV relativeFrom="paragraph">
                        <wp:posOffset>-969645</wp:posOffset>
                      </wp:positionV>
                      <wp:extent cx="923925" cy="1028700"/>
                      <wp:effectExtent l="9525" t="14605" r="9525" b="13970"/>
                      <wp:wrapTopAndBottom/>
                      <wp:docPr id="1646420997" name="Rectangle: Rounded Corners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23925" cy="1028700"/>
                              </a:xfrm>
                              <a:prstGeom prst="roundRect">
                                <a:avLst>
                                  <a:gd name="adj" fmla="val 16667"/>
                                </a:avLst>
                              </a:prstGeom>
                              <a:blipFill dpi="0" rotWithShape="1">
                                <a:blip r:embed="rId41"/>
                                <a:srcRect/>
                                <a:stretch>
                                  <a:fillRect/>
                                </a:stretch>
                              </a:blipFill>
                              <a:ln w="12700">
                                <a:solidFill>
                                  <a:schemeClr val="accent1">
                                    <a:lumMod val="50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50EA3E5F" id="Rectangle: Rounded Corners 67" o:spid="_x0000_s1026" style="position:absolute;margin-left:12.6pt;margin-top:-76.35pt;width:72.75pt;height:81pt;z-index:25209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" strokecolor="#1f3763 [1604]" strokeweight="1pt">
                      <v:fill r:id="rId68" o:title="" recolor="t" rotate="t" type="frame"/>
                      <v:stroke joinstyle="miter"/>
                      <w10:wrap type="topAndBottom"/>
                    </v:roundrect>
                  </w:pict>
                </mc:Fallback>
              </mc:AlternateContent>
            </w:r>
          </w:p>
        </w:tc>
        <w:tc>
          <w:tcPr>
            <w:tcW w:w="1915" w:type="dxa"/>
          </w:tcPr>
          <w:p w14:paraId="20CDFB77" w14:textId="5218A9FC" w:rsidR="00820C54" w:rsidRPr="00927DC8" w:rsidRDefault="00655D6C" w:rsidP="005901C4">
            <w:pPr>
              <w:tabs>
                <w:tab w:val="left" w:pos="2160"/>
                <w:tab w:val="left" w:pos="4410"/>
                <w:tab w:val="left" w:pos="6570"/>
                <w:tab w:val="left" w:pos="8010"/>
              </w:tabs>
              <w:spacing w:after="3" w:line="473" w:lineRule="auto"/>
              <w:ind w:right="144"/>
              <w:jc w:val="both"/>
              <w:rPr>
                <w:noProof/>
                <w:sz w:val="16"/>
                <w:szCs w:val="16"/>
              </w:rPr>
            </w:pPr>
            <w:r w:rsidRPr="00927DC8">
              <w:rPr>
                <w:noProof/>
                <w:sz w:val="16"/>
                <w:szCs w:val="16"/>
              </w:rPr>
              <mc:AlternateContent>
                <mc:Choice Requires="wps">
                  <w:drawing>
                    <wp:anchor distT="0" distB="0" distL="114300" distR="114300" simplePos="0" relativeHeight="252104704" behindDoc="0" locked="0" layoutInCell="1" allowOverlap="1" wp14:anchorId="60D689E8" wp14:editId="7CFCEC00">
                      <wp:simplePos x="0" y="0"/>
                      <wp:positionH relativeFrom="column">
                        <wp:posOffset>149225</wp:posOffset>
                      </wp:positionH>
                      <wp:positionV relativeFrom="paragraph">
                        <wp:posOffset>47625</wp:posOffset>
                      </wp:positionV>
                      <wp:extent cx="837565" cy="1009650"/>
                      <wp:effectExtent l="6350" t="8890" r="13335" b="10160"/>
                      <wp:wrapNone/>
                      <wp:docPr id="1777696351" name="Rectangl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7565" cy="1009650"/>
                              </a:xfrm>
                              <a:prstGeom prst="rect">
                                <a:avLst/>
                              </a:prstGeom>
                              <a:blipFill dpi="0" rotWithShape="1">
                                <a:blip r:embed="rId33"/>
                                <a:srcRect/>
                                <a:stretch>
                                  <a:fillRect/>
                                </a:stretch>
                              </a:blipFill>
                              <a:ln w="12700">
                                <a:solidFill>
                                  <a:schemeClr val="accent1">
                                    <a:lumMod val="50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00EC0844" id="Rectangle 56" o:spid="_x0000_s1026" style="position:absolute;margin-left:11.75pt;margin-top:3.75pt;width:65.95pt;height:79.5pt;z-index:252104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" strokecolor="#1f3763 [1604]" strokeweight="1pt">
                      <v:fill r:id="rId69" o:title="" recolor="t" rotate="t" type="frame"/>
                    </v:rect>
                  </w:pict>
                </mc:Fallback>
              </mc:AlternateContent>
            </w:r>
          </w:p>
        </w:tc>
        <w:tc>
          <w:tcPr>
            <w:tcW w:w="1915" w:type="dxa"/>
          </w:tcPr>
          <w:p w14:paraId="66BBFC12" w14:textId="1D0192D1" w:rsidR="00820C54" w:rsidRPr="00927DC8" w:rsidRDefault="00655D6C" w:rsidP="005901C4">
            <w:pPr>
              <w:tabs>
                <w:tab w:val="left" w:pos="2160"/>
                <w:tab w:val="left" w:pos="4410"/>
                <w:tab w:val="left" w:pos="6570"/>
                <w:tab w:val="left" w:pos="8010"/>
              </w:tabs>
              <w:spacing w:after="3" w:line="473" w:lineRule="auto"/>
              <w:ind w:right="144"/>
              <w:jc w:val="both"/>
              <w:rPr>
                <w:noProof/>
                <w:sz w:val="16"/>
                <w:szCs w:val="16"/>
              </w:rPr>
            </w:pPr>
            <w:r w:rsidRPr="00927DC8">
              <w:rPr>
                <w:noProof/>
                <w:sz w:val="16"/>
                <w:szCs w:val="16"/>
              </w:rPr>
              <mc:AlternateContent>
                <mc:Choice Requires="wps">
                  <w:drawing>
                    <wp:anchor distT="0" distB="0" distL="114300" distR="114300" simplePos="0" relativeHeight="252097536" behindDoc="0" locked="0" layoutInCell="1" allowOverlap="1" wp14:anchorId="5B4994D3" wp14:editId="66119F19">
                      <wp:simplePos x="0" y="0"/>
                      <wp:positionH relativeFrom="column">
                        <wp:posOffset>236855</wp:posOffset>
                      </wp:positionH>
                      <wp:positionV relativeFrom="paragraph">
                        <wp:posOffset>45720</wp:posOffset>
                      </wp:positionV>
                      <wp:extent cx="847090" cy="1000125"/>
                      <wp:effectExtent l="9525" t="14605" r="10160" b="13970"/>
                      <wp:wrapNone/>
                      <wp:docPr id="123176386" name="Rectangle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47090" cy="1000125"/>
                              </a:xfrm>
                              <a:prstGeom prst="rect">
                                <a:avLst/>
                              </a:prstGeom>
                              <a:blipFill dpi="0" rotWithShape="1">
                                <a:blip r:embed="rId39"/>
                                <a:srcRect/>
                                <a:stretch>
                                  <a:fillRect/>
                                </a:stretch>
                              </a:blipFill>
                              <a:ln w="12700">
                                <a:solidFill>
                                  <a:schemeClr val="accent1">
                                    <a:lumMod val="50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29E8004F" id="Rectangle 66" o:spid="_x0000_s1026" style="position:absolute;margin-left:18.65pt;margin-top:3.6pt;width:66.7pt;height:78.75pt;z-index:25209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" strokecolor="#1f3763 [1604]" strokeweight="1pt">
                      <v:fill r:id="rId70" o:title="" recolor="t" rotate="t" type="frame"/>
                    </v:rect>
                  </w:pict>
                </mc:Fallback>
              </mc:AlternateContent>
            </w:r>
          </w:p>
        </w:tc>
        <w:tc>
          <w:tcPr>
            <w:tcW w:w="1915" w:type="dxa"/>
          </w:tcPr>
          <w:p w14:paraId="1B61717F" w14:textId="606A1A1D" w:rsidR="00820C54" w:rsidRPr="00927DC8" w:rsidRDefault="00655D6C" w:rsidP="005901C4">
            <w:pPr>
              <w:tabs>
                <w:tab w:val="left" w:pos="2160"/>
                <w:tab w:val="left" w:pos="4410"/>
                <w:tab w:val="left" w:pos="6570"/>
                <w:tab w:val="left" w:pos="8010"/>
              </w:tabs>
              <w:spacing w:after="3" w:line="473" w:lineRule="auto"/>
              <w:ind w:right="144"/>
              <w:jc w:val="both"/>
              <w:rPr>
                <w:noProof/>
                <w:sz w:val="16"/>
                <w:szCs w:val="16"/>
              </w:rPr>
            </w:pPr>
            <w:r w:rsidRPr="00927DC8">
              <w:rPr>
                <w:noProof/>
                <w:sz w:val="16"/>
                <w:szCs w:val="16"/>
              </w:rPr>
              <mc:AlternateContent>
                <mc:Choice Requires="wps">
                  <w:drawing>
                    <wp:anchor distT="0" distB="0" distL="114300" distR="114300" simplePos="0" relativeHeight="252096512" behindDoc="0" locked="0" layoutInCell="1" allowOverlap="1" wp14:anchorId="0144526C" wp14:editId="688F115F">
                      <wp:simplePos x="0" y="0"/>
                      <wp:positionH relativeFrom="column">
                        <wp:posOffset>209550</wp:posOffset>
                      </wp:positionH>
                      <wp:positionV relativeFrom="paragraph">
                        <wp:posOffset>36196</wp:posOffset>
                      </wp:positionV>
                      <wp:extent cx="866775" cy="1007110"/>
                      <wp:effectExtent l="0" t="0" r="28575" b="21590"/>
                      <wp:wrapNone/>
                      <wp:docPr id="265097465"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1007110"/>
                              </a:xfrm>
                              <a:prstGeom prst="rect">
                                <a:avLst/>
                              </a:prstGeom>
                              <a:blipFill dpi="0" rotWithShape="1">
                                <a:blip r:embed="rId37"/>
                                <a:srcRect/>
                                <a:stretch>
                                  <a:fillRect/>
                                </a:stretch>
                              </a:blipFill>
                              <a:ln w="12700">
                                <a:solidFill>
                                  <a:schemeClr val="accent1">
                                    <a:lumMod val="50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6BA44AF5" id="Rectangle 59" o:spid="_x0000_s1026" style="position:absolute;margin-left:16.5pt;margin-top:2.85pt;width:68.25pt;height:79.3pt;z-index:25209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" strokecolor="#1f3763 [1604]" strokeweight="1pt">
                      <v:fill r:id="rId71" o:title="" recolor="t" rotate="t" type="frame"/>
                    </v:rect>
                  </w:pict>
                </mc:Fallback>
              </mc:AlternateContent>
            </w:r>
          </w:p>
        </w:tc>
      </w:tr>
      <w:tr w:rsidR="00820C54" w:rsidRPr="00927DC8" w14:paraId="2C05A68C" w14:textId="2E238959" w:rsidTr="00820C54">
        <w:trPr>
          <w:trHeight w:val="1296"/>
        </w:trPr>
        <w:tc>
          <w:tcPr>
            <w:tcW w:w="1915" w:type="dxa"/>
          </w:tcPr>
          <w:p w14:paraId="0B7D641F" w14:textId="77777777" w:rsidR="00820C54" w:rsidRPr="00FA10E4" w:rsidRDefault="00820C54" w:rsidP="005901C4">
            <w:pPr>
              <w:tabs>
                <w:tab w:val="left" w:pos="2160"/>
                <w:tab w:val="left" w:pos="4410"/>
                <w:tab w:val="left" w:pos="6570"/>
                <w:tab w:val="left" w:pos="8010"/>
              </w:tabs>
              <w:spacing w:after="3" w:line="473" w:lineRule="auto"/>
              <w:ind w:right="144"/>
              <w:jc w:val="both"/>
              <w:rPr>
                <w:rFonts w:asciiTheme="majorBidi" w:hAnsiTheme="majorBidi" w:cstheme="majorBidi"/>
                <w:b/>
                <w:bCs/>
                <w:sz w:val="20"/>
                <w:szCs w:val="20"/>
                <w:lang w:val="en-US"/>
              </w:rPr>
            </w:pPr>
            <w:r w:rsidRPr="00FA10E4">
              <w:rPr>
                <w:rFonts w:asciiTheme="majorBidi" w:hAnsiTheme="majorBidi" w:cstheme="majorBidi"/>
                <w:b/>
                <w:bCs/>
                <w:sz w:val="20"/>
                <w:szCs w:val="20"/>
                <w:lang w:val="en-US"/>
              </w:rPr>
              <w:t>Zero</w:t>
            </w:r>
          </w:p>
          <w:p w14:paraId="6476A2D8" w14:textId="77777777" w:rsidR="00820C54" w:rsidRPr="00927DC8" w:rsidRDefault="00820C54" w:rsidP="005901C4">
            <w:pPr>
              <w:tabs>
                <w:tab w:val="left" w:pos="2160"/>
                <w:tab w:val="left" w:pos="4410"/>
                <w:tab w:val="left" w:pos="6570"/>
                <w:tab w:val="left" w:pos="8010"/>
              </w:tabs>
              <w:spacing w:after="3" w:line="473" w:lineRule="auto"/>
              <w:ind w:right="144"/>
              <w:jc w:val="both"/>
              <w:rPr>
                <w:rFonts w:asciiTheme="majorBidi" w:hAnsiTheme="majorBidi" w:cstheme="majorBidi"/>
                <w:sz w:val="16"/>
                <w:szCs w:val="16"/>
                <w:lang w:val="en-US"/>
              </w:rPr>
            </w:pPr>
            <w:r w:rsidRPr="00FA10E4">
              <w:rPr>
                <w:rFonts w:asciiTheme="majorBidi" w:hAnsiTheme="majorBidi" w:cstheme="majorBidi"/>
                <w:b/>
                <w:bCs/>
                <w:i/>
                <w:iCs/>
                <w:sz w:val="20"/>
                <w:szCs w:val="20"/>
                <w:lang w:val="en-US"/>
              </w:rPr>
              <w:t>y</w:t>
            </w:r>
            <w:r w:rsidRPr="00FA10E4">
              <w:rPr>
                <w:rFonts w:asciiTheme="majorBidi" w:hAnsiTheme="majorBidi" w:cstheme="majorBidi"/>
                <w:b/>
                <w:bCs/>
                <w:sz w:val="20"/>
                <w:szCs w:val="20"/>
                <w:lang w:val="en-US"/>
              </w:rPr>
              <w:t>-intercept</w:t>
            </w:r>
          </w:p>
        </w:tc>
        <w:tc>
          <w:tcPr>
            <w:tcW w:w="1915" w:type="dxa"/>
          </w:tcPr>
          <w:p w14:paraId="0BDFE888" w14:textId="39B71C6A" w:rsidR="00820C54" w:rsidRPr="00927DC8" w:rsidRDefault="00820C54" w:rsidP="0042048A">
            <w:pPr>
              <w:tabs>
                <w:tab w:val="left" w:pos="2160"/>
                <w:tab w:val="left" w:pos="4410"/>
                <w:tab w:val="left" w:pos="6570"/>
                <w:tab w:val="left" w:pos="8010"/>
              </w:tabs>
              <w:spacing w:before="240" w:line="473" w:lineRule="auto"/>
              <w:ind w:right="144"/>
              <w:jc w:val="both"/>
              <w:rPr>
                <w:rFonts w:asciiTheme="majorBidi" w:hAnsiTheme="majorBidi" w:cstheme="majorBidi"/>
                <w:b/>
                <w:bCs/>
                <w:sz w:val="16"/>
                <w:szCs w:val="16"/>
                <w:u w:val="single"/>
                <w:lang w:val="en-US"/>
              </w:rPr>
            </w:pPr>
            <w:r w:rsidRPr="00927DC8">
              <w:rPr>
                <w:noProof/>
                <w:sz w:val="16"/>
                <w:szCs w:val="16"/>
              </w:rPr>
              <mc:AlternateContent>
                <mc:Choice Requires="wps">
                  <w:drawing>
                    <wp:anchor distT="0" distB="0" distL="114300" distR="114300" simplePos="0" relativeHeight="252088320" behindDoc="0" locked="0" layoutInCell="1" allowOverlap="1" wp14:anchorId="73D70EA9" wp14:editId="6B6E164E">
                      <wp:simplePos x="0" y="0"/>
                      <wp:positionH relativeFrom="column">
                        <wp:posOffset>102870</wp:posOffset>
                      </wp:positionH>
                      <wp:positionV relativeFrom="paragraph">
                        <wp:posOffset>6985</wp:posOffset>
                      </wp:positionV>
                      <wp:extent cx="942340" cy="998220"/>
                      <wp:effectExtent l="0" t="0" r="10160" b="11430"/>
                      <wp:wrapTopAndBottom/>
                      <wp:docPr id="579434319" name="Rectangle: Rounded Corners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42340" cy="998220"/>
                              </a:xfrm>
                              <a:prstGeom prst="roundRect">
                                <a:avLst>
                                  <a:gd name="adj" fmla="val 16667"/>
                                </a:avLst>
                              </a:prstGeom>
                              <a:blipFill dpi="0" rotWithShape="1">
                                <a:blip r:embed="rId45"/>
                                <a:srcRect/>
                                <a:stretch>
                                  <a:fillRect/>
                                </a:stretch>
                              </a:blipFill>
                              <a:ln w="12700">
                                <a:solidFill>
                                  <a:schemeClr val="accent1">
                                    <a:lumMod val="50000"/>
                                    <a:lumOff val="0"/>
                                  </a:schemeClr>
                                </a:solidFill>
                                <a:miter lim="800000"/>
                                <a:headEnd/>
                                <a:tailEnd/>
                              </a:ln>
                            </wps:spPr>
                            <wps:txbx>
                              <w:txbxContent>
                                <w:p w14:paraId="3C7E628F" w14:textId="77777777" w:rsidR="00820C54" w:rsidRDefault="00820C54" w:rsidP="00015106">
                                  <w:pPr>
                                    <w:jc w:val="cente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73D70EA9" id="_x0000_s1030" style="position:absolute;left:0;text-align:left;margin-left:8.1pt;margin-top:.55pt;width:74.2pt;height:78.6pt;z-index:25208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" strokecolor="#1f3763 [1604]" strokeweight="1pt">
                      <v:fill r:id="rId46" o:title="" recolor="t" rotate="t" type="frame"/>
                      <v:stroke joinstyle="miter"/>
                      <v:textbox>
                        <w:txbxContent>
                          <w:p w14:paraId="3C7E628F" w14:textId="77777777" w:rsidR="00820C54" w:rsidRDefault="00820C54" w:rsidP="00015106">
                            <w:pPr>
                              <w:jc w:val="center"/>
                            </w:pPr>
                          </w:p>
                        </w:txbxContent>
                      </v:textbox>
                      <w10:wrap type="topAndBottom"/>
                    </v:roundrect>
                  </w:pict>
                </mc:Fallback>
              </mc:AlternateContent>
            </w:r>
          </w:p>
        </w:tc>
        <w:tc>
          <w:tcPr>
            <w:tcW w:w="1915" w:type="dxa"/>
          </w:tcPr>
          <w:p w14:paraId="4B416250" w14:textId="7710396E" w:rsidR="00820C54" w:rsidRPr="00927DC8" w:rsidRDefault="00820C54" w:rsidP="0042048A">
            <w:pPr>
              <w:tabs>
                <w:tab w:val="left" w:pos="2160"/>
                <w:tab w:val="left" w:pos="4410"/>
                <w:tab w:val="left" w:pos="6570"/>
                <w:tab w:val="left" w:pos="8010"/>
              </w:tabs>
              <w:spacing w:after="3" w:line="473" w:lineRule="auto"/>
              <w:ind w:right="144"/>
              <w:jc w:val="both"/>
              <w:rPr>
                <w:rFonts w:asciiTheme="majorBidi" w:hAnsiTheme="majorBidi" w:cstheme="majorBidi"/>
                <w:b/>
                <w:bCs/>
                <w:sz w:val="16"/>
                <w:szCs w:val="16"/>
                <w:u w:val="single"/>
                <w:lang w:val="en-US"/>
              </w:rPr>
            </w:pPr>
            <w:r w:rsidRPr="00927DC8">
              <w:rPr>
                <w:noProof/>
                <w:sz w:val="16"/>
                <w:szCs w:val="16"/>
              </w:rPr>
              <mc:AlternateContent>
                <mc:Choice Requires="wps">
                  <w:drawing>
                    <wp:anchor distT="0" distB="0" distL="114300" distR="114300" simplePos="0" relativeHeight="252089344" behindDoc="0" locked="0" layoutInCell="1" allowOverlap="1" wp14:anchorId="7789AF25" wp14:editId="719F40EE">
                      <wp:simplePos x="0" y="0"/>
                      <wp:positionH relativeFrom="column">
                        <wp:posOffset>150328</wp:posOffset>
                      </wp:positionH>
                      <wp:positionV relativeFrom="paragraph">
                        <wp:posOffset>11530</wp:posOffset>
                      </wp:positionV>
                      <wp:extent cx="851902" cy="978569"/>
                      <wp:effectExtent l="0" t="0" r="24765" b="12065"/>
                      <wp:wrapNone/>
                      <wp:docPr id="1317924377" name="Rectangle: Rounded Corners 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51902" cy="978569"/>
                              </a:xfrm>
                              <a:prstGeom prst="roundRect">
                                <a:avLst>
                                  <a:gd name="adj" fmla="val 16667"/>
                                </a:avLst>
                              </a:prstGeom>
                              <a:blipFill dpi="0" rotWithShape="1">
                                <a:blip r:embed="rId49"/>
                                <a:srcRect/>
                                <a:stretch>
                                  <a:fillRect/>
                                </a:stretch>
                              </a:blipFill>
                              <a:ln w="12700">
                                <a:solidFill>
                                  <a:schemeClr val="accent1">
                                    <a:lumMod val="50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42EB6411" id="Rectangle: Rounded Corners 71" o:spid="_x0000_s1026" style="position:absolute;margin-left:11.85pt;margin-top:.9pt;width:67.1pt;height:77.05pt;z-index:252089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" strokecolor="#1f3763 [1604]" strokeweight="1pt">
                      <v:fill r:id="rId72" o:title="" recolor="t" rotate="t" type="frame"/>
                      <v:stroke joinstyle="miter"/>
                    </v:roundrect>
                  </w:pict>
                </mc:Fallback>
              </mc:AlternateContent>
            </w:r>
          </w:p>
        </w:tc>
        <w:tc>
          <w:tcPr>
            <w:tcW w:w="1915" w:type="dxa"/>
          </w:tcPr>
          <w:p w14:paraId="442A7635" w14:textId="004800E5" w:rsidR="00820C54" w:rsidRPr="00927DC8" w:rsidRDefault="00820C54" w:rsidP="0042048A">
            <w:pPr>
              <w:tabs>
                <w:tab w:val="left" w:pos="2160"/>
                <w:tab w:val="left" w:pos="4410"/>
                <w:tab w:val="left" w:pos="6570"/>
                <w:tab w:val="left" w:pos="8010"/>
              </w:tabs>
              <w:spacing w:after="3" w:line="473" w:lineRule="auto"/>
              <w:ind w:right="144"/>
              <w:jc w:val="both"/>
              <w:rPr>
                <w:rFonts w:asciiTheme="majorBidi" w:hAnsiTheme="majorBidi" w:cstheme="majorBidi"/>
                <w:b/>
                <w:bCs/>
                <w:sz w:val="16"/>
                <w:szCs w:val="16"/>
                <w:u w:val="single"/>
                <w:lang w:val="en-US"/>
              </w:rPr>
            </w:pPr>
            <w:r w:rsidRPr="00927DC8">
              <w:rPr>
                <w:noProof/>
                <w:sz w:val="16"/>
                <w:szCs w:val="16"/>
              </w:rPr>
              <mc:AlternateContent>
                <mc:Choice Requires="wps">
                  <w:drawing>
                    <wp:anchor distT="0" distB="0" distL="114300" distR="114300" simplePos="0" relativeHeight="252091392" behindDoc="0" locked="0" layoutInCell="1" allowOverlap="1" wp14:anchorId="17F16E72" wp14:editId="20492AD4">
                      <wp:simplePos x="0" y="0"/>
                      <wp:positionH relativeFrom="column">
                        <wp:posOffset>158482</wp:posOffset>
                      </wp:positionH>
                      <wp:positionV relativeFrom="paragraph">
                        <wp:posOffset>-10929</wp:posOffset>
                      </wp:positionV>
                      <wp:extent cx="914400" cy="981075"/>
                      <wp:effectExtent l="15240" t="8255" r="13335" b="10795"/>
                      <wp:wrapNone/>
                      <wp:docPr id="1674931915" name="Rectangle: Rounded Corners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981075"/>
                              </a:xfrm>
                              <a:prstGeom prst="roundRect">
                                <a:avLst>
                                  <a:gd name="adj" fmla="val 16667"/>
                                </a:avLst>
                              </a:prstGeom>
                              <a:blipFill dpi="0" rotWithShape="1">
                                <a:blip r:embed="rId53"/>
                                <a:srcRect/>
                                <a:stretch>
                                  <a:fillRect/>
                                </a:stretch>
                              </a:blipFill>
                              <a:ln w="12700">
                                <a:solidFill>
                                  <a:schemeClr val="accent1">
                                    <a:lumMod val="50000"/>
                                    <a:lumOff val="0"/>
                                  </a:schemeClr>
                                </a:solidFill>
                                <a:miter lim="800000"/>
                                <a:headEnd/>
                                <a:tailEnd/>
                              </a:ln>
                            </wps:spPr>
                            <wps:txbx>
                              <w:txbxContent>
                                <w:p w14:paraId="770BC794" w14:textId="77777777" w:rsidR="00820C54" w:rsidRDefault="00820C54" w:rsidP="00015106"/>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17F16E72" id="_x0000_s1031" style="position:absolute;left:0;text-align:left;margin-left:12.5pt;margin-top:-.85pt;width:1in;height:77.25pt;z-index:252091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" strokecolor="#1f3763 [1604]" strokeweight="1pt">
                      <v:fill r:id="rId54" o:title="" recolor="t" rotate="t" type="frame"/>
                      <v:stroke joinstyle="miter"/>
                      <v:textbox>
                        <w:txbxContent>
                          <w:p w14:paraId="770BC794" w14:textId="77777777" w:rsidR="00820C54" w:rsidRDefault="00820C54" w:rsidP="00015106"/>
                        </w:txbxContent>
                      </v:textbox>
                    </v:roundrect>
                  </w:pict>
                </mc:Fallback>
              </mc:AlternateContent>
            </w:r>
          </w:p>
        </w:tc>
        <w:tc>
          <w:tcPr>
            <w:tcW w:w="1915" w:type="dxa"/>
          </w:tcPr>
          <w:p w14:paraId="1A2FE19F" w14:textId="375FCCE8" w:rsidR="00820C54" w:rsidRPr="00927DC8" w:rsidRDefault="008266F3" w:rsidP="0042048A">
            <w:pPr>
              <w:tabs>
                <w:tab w:val="left" w:pos="2160"/>
                <w:tab w:val="left" w:pos="4410"/>
                <w:tab w:val="left" w:pos="6570"/>
                <w:tab w:val="left" w:pos="8010"/>
              </w:tabs>
              <w:spacing w:after="3" w:line="473" w:lineRule="auto"/>
              <w:ind w:right="144"/>
              <w:jc w:val="both"/>
              <w:rPr>
                <w:noProof/>
                <w:sz w:val="16"/>
                <w:szCs w:val="16"/>
              </w:rPr>
            </w:pPr>
            <w:r w:rsidRPr="00927DC8">
              <w:rPr>
                <w:noProof/>
                <w:sz w:val="16"/>
                <w:szCs w:val="16"/>
              </w:rPr>
              <mc:AlternateContent>
                <mc:Choice Requires="wps">
                  <w:drawing>
                    <wp:anchor distT="0" distB="0" distL="114300" distR="114300" simplePos="0" relativeHeight="252098560" behindDoc="0" locked="0" layoutInCell="1" allowOverlap="1" wp14:anchorId="65CAB663" wp14:editId="667FE181">
                      <wp:simplePos x="0" y="0"/>
                      <wp:positionH relativeFrom="column">
                        <wp:posOffset>170514</wp:posOffset>
                      </wp:positionH>
                      <wp:positionV relativeFrom="paragraph">
                        <wp:posOffset>37866</wp:posOffset>
                      </wp:positionV>
                      <wp:extent cx="817312" cy="968675"/>
                      <wp:effectExtent l="0" t="0" r="20955" b="22225"/>
                      <wp:wrapNone/>
                      <wp:docPr id="1700269561" name="Rectangle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7312" cy="968675"/>
                              </a:xfrm>
                              <a:prstGeom prst="rect">
                                <a:avLst/>
                              </a:prstGeom>
                              <a:blipFill dpi="0" rotWithShape="1">
                                <a:blip r:embed="rId43"/>
                                <a:srcRect/>
                                <a:stretch>
                                  <a:fillRect/>
                                </a:stretch>
                              </a:blipFill>
                              <a:ln w="12700">
                                <a:solidFill>
                                  <a:schemeClr val="accent1">
                                    <a:lumMod val="50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1566A205" id="Rectangle 68" o:spid="_x0000_s1026" style="position:absolute;margin-left:13.45pt;margin-top:3pt;width:64.35pt;height:76.25pt;z-index:25209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" strokecolor="#1f3763 [1604]" strokeweight="1pt">
                      <v:fill r:id="rId73" o:title="" recolor="t" rotate="t" type="frame"/>
                    </v:rect>
                  </w:pict>
                </mc:Fallback>
              </mc:AlternateContent>
            </w:r>
          </w:p>
        </w:tc>
        <w:tc>
          <w:tcPr>
            <w:tcW w:w="1915" w:type="dxa"/>
          </w:tcPr>
          <w:p w14:paraId="3938E45B" w14:textId="0757EDD7" w:rsidR="00820C54" w:rsidRPr="00927DC8" w:rsidRDefault="008266F3" w:rsidP="0042048A">
            <w:pPr>
              <w:tabs>
                <w:tab w:val="left" w:pos="2160"/>
                <w:tab w:val="left" w:pos="4410"/>
                <w:tab w:val="left" w:pos="6570"/>
                <w:tab w:val="left" w:pos="8010"/>
              </w:tabs>
              <w:spacing w:after="3" w:line="473" w:lineRule="auto"/>
              <w:ind w:right="144"/>
              <w:jc w:val="both"/>
              <w:rPr>
                <w:noProof/>
                <w:sz w:val="16"/>
                <w:szCs w:val="16"/>
              </w:rPr>
            </w:pPr>
            <w:r w:rsidRPr="00927DC8">
              <w:rPr>
                <w:noProof/>
                <w:sz w:val="16"/>
                <w:szCs w:val="16"/>
              </w:rPr>
              <mc:AlternateContent>
                <mc:Choice Requires="wps">
                  <w:drawing>
                    <wp:anchor distT="0" distB="0" distL="114300" distR="114300" simplePos="0" relativeHeight="252100608" behindDoc="0" locked="0" layoutInCell="1" allowOverlap="1" wp14:anchorId="405EF951" wp14:editId="30919269">
                      <wp:simplePos x="0" y="0"/>
                      <wp:positionH relativeFrom="margin">
                        <wp:posOffset>246514</wp:posOffset>
                      </wp:positionH>
                      <wp:positionV relativeFrom="paragraph">
                        <wp:posOffset>43781</wp:posOffset>
                      </wp:positionV>
                      <wp:extent cx="842645" cy="962025"/>
                      <wp:effectExtent l="0" t="0" r="14605" b="28575"/>
                      <wp:wrapNone/>
                      <wp:docPr id="1994611932" name="Rectangle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42645" cy="962025"/>
                              </a:xfrm>
                              <a:prstGeom prst="rect">
                                <a:avLst/>
                              </a:prstGeom>
                              <a:blipFill dpi="0" rotWithShape="1">
                                <a:blip r:embed="rId51"/>
                                <a:srcRect/>
                                <a:stretch>
                                  <a:fillRect/>
                                </a:stretch>
                              </a:blipFill>
                              <a:ln w="12700">
                                <a:solidFill>
                                  <a:schemeClr val="accent1">
                                    <a:lumMod val="50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4CFACE62" id="Rectangle 72" o:spid="_x0000_s1026" style="position:absolute;margin-left:19.4pt;margin-top:3.45pt;width:66.35pt;height:75.75pt;z-index:252100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" strokecolor="#1f3763 [1604]" strokeweight="1pt">
                      <v:fill r:id="rId74" o:title="" recolor="t" rotate="t" type="frame"/>
                      <w10:wrap anchorx="margin"/>
                    </v:rect>
                  </w:pict>
                </mc:Fallback>
              </mc:AlternateContent>
            </w:r>
          </w:p>
        </w:tc>
        <w:tc>
          <w:tcPr>
            <w:tcW w:w="1915" w:type="dxa"/>
          </w:tcPr>
          <w:p w14:paraId="6D69DD87" w14:textId="1D7407B2" w:rsidR="00820C54" w:rsidRPr="00927DC8" w:rsidRDefault="00655D6C" w:rsidP="0042048A">
            <w:pPr>
              <w:tabs>
                <w:tab w:val="left" w:pos="2160"/>
                <w:tab w:val="left" w:pos="4410"/>
                <w:tab w:val="left" w:pos="6570"/>
                <w:tab w:val="left" w:pos="8010"/>
              </w:tabs>
              <w:spacing w:after="3" w:line="473" w:lineRule="auto"/>
              <w:ind w:right="144"/>
              <w:jc w:val="both"/>
              <w:rPr>
                <w:noProof/>
                <w:sz w:val="16"/>
                <w:szCs w:val="16"/>
              </w:rPr>
            </w:pPr>
            <w:r w:rsidRPr="00927DC8">
              <w:rPr>
                <w:noProof/>
                <w:sz w:val="16"/>
                <w:szCs w:val="16"/>
              </w:rPr>
              <mc:AlternateContent>
                <mc:Choice Requires="wps">
                  <w:drawing>
                    <wp:anchor distT="0" distB="0" distL="114300" distR="114300" simplePos="0" relativeHeight="252099584" behindDoc="0" locked="0" layoutInCell="1" allowOverlap="1" wp14:anchorId="5435BCE2" wp14:editId="38F36BFA">
                      <wp:simplePos x="0" y="0"/>
                      <wp:positionH relativeFrom="column">
                        <wp:posOffset>219176</wp:posOffset>
                      </wp:positionH>
                      <wp:positionV relativeFrom="paragraph">
                        <wp:posOffset>23562</wp:posOffset>
                      </wp:positionV>
                      <wp:extent cx="838200" cy="945481"/>
                      <wp:effectExtent l="0" t="0" r="19050" b="26670"/>
                      <wp:wrapNone/>
                      <wp:docPr id="528344488" name="Rectangle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8200" cy="945481"/>
                              </a:xfrm>
                              <a:prstGeom prst="rect">
                                <a:avLst/>
                              </a:prstGeom>
                              <a:blipFill dpi="0" rotWithShape="1">
                                <a:blip r:embed="rId47"/>
                                <a:srcRect/>
                                <a:stretch>
                                  <a:fillRect/>
                                </a:stretch>
                              </a:blipFill>
                              <a:ln w="12700">
                                <a:solidFill>
                                  <a:schemeClr val="accent1">
                                    <a:lumMod val="50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7A6D87F6" id="Rectangle 70" o:spid="_x0000_s1026" style="position:absolute;margin-left:17.25pt;margin-top:1.85pt;width:66pt;height:74.45pt;z-index:25209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" strokecolor="#1f3763 [1604]" strokeweight="1pt">
                      <v:fill r:id="rId75" o:title="" recolor="t" rotate="t" type="frame"/>
                    </v:rect>
                  </w:pict>
                </mc:Fallback>
              </mc:AlternateContent>
            </w:r>
          </w:p>
        </w:tc>
      </w:tr>
      <w:tr w:rsidR="00820C54" w:rsidRPr="00927DC8" w14:paraId="087CC6A4" w14:textId="088DD262" w:rsidTr="00820C54">
        <w:trPr>
          <w:trHeight w:val="1296"/>
        </w:trPr>
        <w:tc>
          <w:tcPr>
            <w:tcW w:w="1915" w:type="dxa"/>
          </w:tcPr>
          <w:p w14:paraId="6FD313C9" w14:textId="77777777" w:rsidR="00820C54" w:rsidRPr="00FA10E4" w:rsidRDefault="00820C54" w:rsidP="005901C4">
            <w:pPr>
              <w:tabs>
                <w:tab w:val="left" w:pos="2160"/>
                <w:tab w:val="left" w:pos="4410"/>
                <w:tab w:val="left" w:pos="6570"/>
                <w:tab w:val="left" w:pos="8010"/>
              </w:tabs>
              <w:spacing w:after="3" w:line="473" w:lineRule="auto"/>
              <w:ind w:right="144"/>
              <w:jc w:val="both"/>
              <w:rPr>
                <w:rFonts w:asciiTheme="majorBidi" w:hAnsiTheme="majorBidi" w:cstheme="majorBidi"/>
                <w:b/>
                <w:bCs/>
                <w:sz w:val="20"/>
                <w:szCs w:val="20"/>
                <w:lang w:val="en-US"/>
              </w:rPr>
            </w:pPr>
            <w:r w:rsidRPr="00FA10E4">
              <w:rPr>
                <w:rFonts w:asciiTheme="majorBidi" w:hAnsiTheme="majorBidi" w:cstheme="majorBidi"/>
                <w:b/>
                <w:bCs/>
                <w:sz w:val="20"/>
                <w:szCs w:val="20"/>
                <w:lang w:val="en-US"/>
              </w:rPr>
              <w:t>Negative</w:t>
            </w:r>
          </w:p>
          <w:p w14:paraId="0FAAF870" w14:textId="77777777" w:rsidR="00820C54" w:rsidRPr="00927DC8" w:rsidRDefault="00820C54" w:rsidP="005901C4">
            <w:pPr>
              <w:tabs>
                <w:tab w:val="left" w:pos="2160"/>
                <w:tab w:val="left" w:pos="4410"/>
                <w:tab w:val="left" w:pos="6570"/>
                <w:tab w:val="left" w:pos="8010"/>
              </w:tabs>
              <w:spacing w:after="3" w:line="473" w:lineRule="auto"/>
              <w:ind w:right="144"/>
              <w:jc w:val="both"/>
              <w:rPr>
                <w:rFonts w:asciiTheme="majorBidi" w:hAnsiTheme="majorBidi" w:cstheme="majorBidi"/>
                <w:sz w:val="16"/>
                <w:szCs w:val="16"/>
                <w:lang w:val="en-US"/>
              </w:rPr>
            </w:pPr>
            <w:r w:rsidRPr="00FA10E4">
              <w:rPr>
                <w:rFonts w:asciiTheme="majorBidi" w:hAnsiTheme="majorBidi" w:cstheme="majorBidi"/>
                <w:b/>
                <w:bCs/>
                <w:i/>
                <w:iCs/>
                <w:sz w:val="20"/>
                <w:szCs w:val="20"/>
                <w:lang w:val="en-US"/>
              </w:rPr>
              <w:t>y</w:t>
            </w:r>
            <w:r w:rsidRPr="00FA10E4">
              <w:rPr>
                <w:rFonts w:asciiTheme="majorBidi" w:hAnsiTheme="majorBidi" w:cstheme="majorBidi"/>
                <w:b/>
                <w:bCs/>
                <w:sz w:val="20"/>
                <w:szCs w:val="20"/>
                <w:lang w:val="en-US"/>
              </w:rPr>
              <w:t>-intercept</w:t>
            </w:r>
          </w:p>
        </w:tc>
        <w:tc>
          <w:tcPr>
            <w:tcW w:w="1915" w:type="dxa"/>
          </w:tcPr>
          <w:p w14:paraId="2D09A240" w14:textId="6C226895" w:rsidR="00820C54" w:rsidRPr="00927DC8" w:rsidRDefault="00820C54" w:rsidP="005901C4">
            <w:pPr>
              <w:tabs>
                <w:tab w:val="left" w:pos="2160"/>
                <w:tab w:val="left" w:pos="4410"/>
                <w:tab w:val="left" w:pos="6570"/>
                <w:tab w:val="left" w:pos="8010"/>
              </w:tabs>
              <w:spacing w:after="3" w:line="473" w:lineRule="auto"/>
              <w:ind w:right="144"/>
              <w:jc w:val="both"/>
              <w:rPr>
                <w:rFonts w:asciiTheme="majorBidi" w:hAnsiTheme="majorBidi" w:cstheme="majorBidi"/>
                <w:sz w:val="16"/>
                <w:szCs w:val="16"/>
                <w:lang w:val="en-US"/>
              </w:rPr>
            </w:pPr>
            <w:r w:rsidRPr="00927DC8">
              <w:rPr>
                <w:noProof/>
                <w:sz w:val="16"/>
                <w:szCs w:val="16"/>
              </w:rPr>
              <mc:AlternateContent>
                <mc:Choice Requires="wps">
                  <w:drawing>
                    <wp:anchor distT="0" distB="0" distL="114300" distR="114300" simplePos="0" relativeHeight="252093440" behindDoc="0" locked="0" layoutInCell="1" allowOverlap="1" wp14:anchorId="018693B0" wp14:editId="52D43552">
                      <wp:simplePos x="0" y="0"/>
                      <wp:positionH relativeFrom="column">
                        <wp:posOffset>102870</wp:posOffset>
                      </wp:positionH>
                      <wp:positionV relativeFrom="paragraph">
                        <wp:posOffset>15139</wp:posOffset>
                      </wp:positionV>
                      <wp:extent cx="885825" cy="981075"/>
                      <wp:effectExtent l="8890" t="8255" r="10160" b="10795"/>
                      <wp:wrapNone/>
                      <wp:docPr id="1324113451" name="Rectangle: Rounded Corners 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5825" cy="981075"/>
                              </a:xfrm>
                              <a:prstGeom prst="roundRect">
                                <a:avLst>
                                  <a:gd name="adj" fmla="val 16667"/>
                                </a:avLst>
                              </a:prstGeom>
                              <a:blipFill dpi="0" rotWithShape="1">
                                <a:blip r:embed="rId55"/>
                                <a:srcRect/>
                                <a:stretch>
                                  <a:fillRect/>
                                </a:stretch>
                              </a:blipFill>
                              <a:ln w="12700">
                                <a:solidFill>
                                  <a:schemeClr val="accent1">
                                    <a:lumMod val="50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3B81210B" id="Rectangle: Rounded Corners 75" o:spid="_x0000_s1026" style="position:absolute;margin-left:8.1pt;margin-top:1.2pt;width:69.75pt;height:77.25pt;z-index:252093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" strokecolor="#1f3763 [1604]" strokeweight="1pt">
                      <v:fill r:id="rId76" o:title="" recolor="t" rotate="t" type="frame"/>
                      <v:stroke joinstyle="miter"/>
                    </v:roundrect>
                  </w:pict>
                </mc:Fallback>
              </mc:AlternateContent>
            </w:r>
          </w:p>
          <w:p w14:paraId="65A2489D" w14:textId="77777777" w:rsidR="00820C54" w:rsidRPr="00927DC8" w:rsidRDefault="00820C54" w:rsidP="005901C4">
            <w:pPr>
              <w:tabs>
                <w:tab w:val="left" w:pos="2160"/>
                <w:tab w:val="left" w:pos="4410"/>
                <w:tab w:val="left" w:pos="6570"/>
                <w:tab w:val="left" w:pos="8010"/>
              </w:tabs>
              <w:spacing w:after="3" w:line="473" w:lineRule="auto"/>
              <w:ind w:right="144"/>
              <w:jc w:val="both"/>
              <w:rPr>
                <w:rFonts w:asciiTheme="majorBidi" w:hAnsiTheme="majorBidi" w:cstheme="majorBidi"/>
                <w:sz w:val="16"/>
                <w:szCs w:val="16"/>
                <w:lang w:val="en-US"/>
              </w:rPr>
            </w:pPr>
          </w:p>
          <w:p w14:paraId="1DC8A74C" w14:textId="77777777" w:rsidR="00820C54" w:rsidRPr="00927DC8" w:rsidRDefault="00820C54" w:rsidP="005901C4">
            <w:pPr>
              <w:tabs>
                <w:tab w:val="left" w:pos="2160"/>
                <w:tab w:val="left" w:pos="4410"/>
                <w:tab w:val="left" w:pos="6570"/>
                <w:tab w:val="left" w:pos="8010"/>
              </w:tabs>
              <w:spacing w:after="3" w:line="473" w:lineRule="auto"/>
              <w:ind w:right="144"/>
              <w:jc w:val="both"/>
              <w:rPr>
                <w:rFonts w:asciiTheme="majorBidi" w:hAnsiTheme="majorBidi" w:cstheme="majorBidi"/>
                <w:sz w:val="16"/>
                <w:szCs w:val="16"/>
                <w:lang w:val="en-US"/>
              </w:rPr>
            </w:pPr>
          </w:p>
          <w:p w14:paraId="2821545C" w14:textId="7F743899" w:rsidR="00820C54" w:rsidRPr="00927DC8" w:rsidRDefault="00820C54" w:rsidP="005901C4">
            <w:pPr>
              <w:tabs>
                <w:tab w:val="left" w:pos="2160"/>
                <w:tab w:val="left" w:pos="4410"/>
                <w:tab w:val="left" w:pos="6570"/>
                <w:tab w:val="left" w:pos="8010"/>
              </w:tabs>
              <w:spacing w:after="3" w:line="473" w:lineRule="auto"/>
              <w:ind w:right="144"/>
              <w:jc w:val="both"/>
              <w:rPr>
                <w:rFonts w:asciiTheme="majorBidi" w:hAnsiTheme="majorBidi" w:cstheme="majorBidi"/>
                <w:sz w:val="16"/>
                <w:szCs w:val="16"/>
                <w:lang w:val="en-US"/>
              </w:rPr>
            </w:pPr>
          </w:p>
        </w:tc>
        <w:tc>
          <w:tcPr>
            <w:tcW w:w="1915" w:type="dxa"/>
          </w:tcPr>
          <w:p w14:paraId="2F33BD63" w14:textId="0CEB7DCA" w:rsidR="00820C54" w:rsidRPr="00927DC8" w:rsidRDefault="00820C54" w:rsidP="005901C4">
            <w:pPr>
              <w:tabs>
                <w:tab w:val="left" w:pos="2160"/>
                <w:tab w:val="left" w:pos="4410"/>
                <w:tab w:val="left" w:pos="6570"/>
                <w:tab w:val="left" w:pos="8010"/>
              </w:tabs>
              <w:spacing w:after="3" w:line="473" w:lineRule="auto"/>
              <w:ind w:right="144"/>
              <w:jc w:val="both"/>
              <w:rPr>
                <w:rFonts w:asciiTheme="majorBidi" w:hAnsiTheme="majorBidi" w:cstheme="majorBidi"/>
                <w:sz w:val="16"/>
                <w:szCs w:val="16"/>
                <w:lang w:val="en-US"/>
              </w:rPr>
            </w:pPr>
            <w:r w:rsidRPr="00927DC8">
              <w:rPr>
                <w:noProof/>
                <w:sz w:val="16"/>
                <w:szCs w:val="16"/>
              </w:rPr>
              <mc:AlternateContent>
                <mc:Choice Requires="wps">
                  <w:drawing>
                    <wp:anchor distT="0" distB="0" distL="114300" distR="114300" simplePos="0" relativeHeight="252094464" behindDoc="0" locked="0" layoutInCell="1" allowOverlap="1" wp14:anchorId="4EB5F679" wp14:editId="3E7887B5">
                      <wp:simplePos x="0" y="0"/>
                      <wp:positionH relativeFrom="column">
                        <wp:posOffset>136525</wp:posOffset>
                      </wp:positionH>
                      <wp:positionV relativeFrom="paragraph">
                        <wp:posOffset>13970</wp:posOffset>
                      </wp:positionV>
                      <wp:extent cx="885825" cy="952500"/>
                      <wp:effectExtent l="13970" t="13970" r="14605" b="14605"/>
                      <wp:wrapTopAndBottom/>
                      <wp:docPr id="782105034" name="Rectangle: Rounded Corners 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5825" cy="952500"/>
                              </a:xfrm>
                              <a:prstGeom prst="roundRect">
                                <a:avLst>
                                  <a:gd name="adj" fmla="val 16667"/>
                                </a:avLst>
                              </a:prstGeom>
                              <a:blipFill dpi="0" rotWithShape="1">
                                <a:blip r:embed="rId59"/>
                                <a:srcRect/>
                                <a:stretch>
                                  <a:fillRect/>
                                </a:stretch>
                              </a:blipFill>
                              <a:ln w="12700">
                                <a:solidFill>
                                  <a:schemeClr val="accent1">
                                    <a:lumMod val="50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05EEF354" id="Rectangle: Rounded Corners 77" o:spid="_x0000_s1026" style="position:absolute;margin-left:10.75pt;margin-top:1.1pt;width:69.75pt;height:75pt;z-index:252094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" strokecolor="#1f3763 [1604]" strokeweight="1pt">
                      <v:fill r:id="rId77" o:title="" recolor="t" rotate="t" type="frame"/>
                      <v:stroke joinstyle="miter"/>
                      <w10:wrap type="topAndBottom"/>
                    </v:roundrect>
                  </w:pict>
                </mc:Fallback>
              </mc:AlternateContent>
            </w:r>
          </w:p>
        </w:tc>
        <w:tc>
          <w:tcPr>
            <w:tcW w:w="1915" w:type="dxa"/>
          </w:tcPr>
          <w:p w14:paraId="52E724D4" w14:textId="5C072E24" w:rsidR="00820C54" w:rsidRPr="00927DC8" w:rsidRDefault="004854F0" w:rsidP="005901C4">
            <w:pPr>
              <w:tabs>
                <w:tab w:val="left" w:pos="2160"/>
                <w:tab w:val="left" w:pos="4410"/>
                <w:tab w:val="left" w:pos="6570"/>
                <w:tab w:val="left" w:pos="8010"/>
              </w:tabs>
              <w:spacing w:after="3" w:line="473" w:lineRule="auto"/>
              <w:ind w:right="144"/>
              <w:jc w:val="both"/>
              <w:rPr>
                <w:rFonts w:asciiTheme="majorBidi" w:hAnsiTheme="majorBidi" w:cstheme="majorBidi"/>
                <w:sz w:val="16"/>
                <w:szCs w:val="16"/>
                <w:lang w:val="en-US"/>
              </w:rPr>
            </w:pPr>
            <w:r w:rsidRPr="00927DC8">
              <w:rPr>
                <w:noProof/>
                <w:sz w:val="16"/>
                <w:szCs w:val="16"/>
              </w:rPr>
              <mc:AlternateContent>
                <mc:Choice Requires="wps">
                  <w:drawing>
                    <wp:anchor distT="0" distB="0" distL="114300" distR="114300" simplePos="0" relativeHeight="252095488" behindDoc="0" locked="0" layoutInCell="1" allowOverlap="1" wp14:anchorId="213E6F4C" wp14:editId="4C157D1F">
                      <wp:simplePos x="0" y="0"/>
                      <wp:positionH relativeFrom="column">
                        <wp:posOffset>166370</wp:posOffset>
                      </wp:positionH>
                      <wp:positionV relativeFrom="paragraph">
                        <wp:posOffset>8890</wp:posOffset>
                      </wp:positionV>
                      <wp:extent cx="857250" cy="979170"/>
                      <wp:effectExtent l="13970" t="8890" r="14605" b="12065"/>
                      <wp:wrapTopAndBottom/>
                      <wp:docPr id="239036948" name="Rectangle: Rounded Corners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57250" cy="979170"/>
                              </a:xfrm>
                              <a:prstGeom prst="roundRect">
                                <a:avLst>
                                  <a:gd name="adj" fmla="val 16667"/>
                                </a:avLst>
                              </a:prstGeom>
                              <a:blipFill dpi="0" rotWithShape="1">
                                <a:blip r:embed="rId63"/>
                                <a:srcRect/>
                                <a:stretch>
                                  <a:fillRect/>
                                </a:stretch>
                              </a:blipFill>
                              <a:ln w="12700">
                                <a:solidFill>
                                  <a:schemeClr val="accent1">
                                    <a:lumMod val="50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684923C5" id="Rectangle: Rounded Corners 79" o:spid="_x0000_s1026" style="position:absolute;margin-left:13.1pt;margin-top:.7pt;width:67.5pt;height:77.1pt;z-index:25209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" strokecolor="#1f3763 [1604]" strokeweight="1pt">
                      <v:fill r:id="rId78" o:title="" recolor="t" rotate="t" type="frame"/>
                      <v:stroke joinstyle="miter"/>
                      <w10:wrap type="topAndBottom"/>
                    </v:roundrect>
                  </w:pict>
                </mc:Fallback>
              </mc:AlternateContent>
            </w:r>
          </w:p>
        </w:tc>
        <w:tc>
          <w:tcPr>
            <w:tcW w:w="1915" w:type="dxa"/>
          </w:tcPr>
          <w:p w14:paraId="2D94ED41" w14:textId="4C1E1542" w:rsidR="00820C54" w:rsidRPr="00927DC8" w:rsidRDefault="008266F3" w:rsidP="005901C4">
            <w:pPr>
              <w:tabs>
                <w:tab w:val="left" w:pos="2160"/>
                <w:tab w:val="left" w:pos="4410"/>
                <w:tab w:val="left" w:pos="6570"/>
                <w:tab w:val="left" w:pos="8010"/>
              </w:tabs>
              <w:spacing w:after="3" w:line="473" w:lineRule="auto"/>
              <w:ind w:right="144"/>
              <w:jc w:val="both"/>
              <w:rPr>
                <w:noProof/>
                <w:sz w:val="16"/>
                <w:szCs w:val="16"/>
              </w:rPr>
            </w:pPr>
            <w:r w:rsidRPr="00927DC8">
              <w:rPr>
                <w:noProof/>
                <w:sz w:val="16"/>
                <w:szCs w:val="16"/>
              </w:rPr>
              <mc:AlternateContent>
                <mc:Choice Requires="wps">
                  <w:drawing>
                    <wp:anchor distT="0" distB="0" distL="114300" distR="114300" simplePos="0" relativeHeight="252101632" behindDoc="0" locked="0" layoutInCell="1" allowOverlap="1" wp14:anchorId="7FE67F74" wp14:editId="545C62D0">
                      <wp:simplePos x="0" y="0"/>
                      <wp:positionH relativeFrom="column">
                        <wp:posOffset>167272</wp:posOffset>
                      </wp:positionH>
                      <wp:positionV relativeFrom="paragraph">
                        <wp:posOffset>31449</wp:posOffset>
                      </wp:positionV>
                      <wp:extent cx="859155" cy="990600"/>
                      <wp:effectExtent l="9525" t="9525" r="7620" b="9525"/>
                      <wp:wrapNone/>
                      <wp:docPr id="690529680" name="Rectangle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59155" cy="990600"/>
                              </a:xfrm>
                              <a:prstGeom prst="rect">
                                <a:avLst/>
                              </a:prstGeom>
                              <a:blipFill dpi="0" rotWithShape="1">
                                <a:blip r:embed="rId57"/>
                                <a:srcRect/>
                                <a:stretch>
                                  <a:fillRect/>
                                </a:stretch>
                              </a:blipFill>
                              <a:ln w="12700">
                                <a:solidFill>
                                  <a:schemeClr val="accent1">
                                    <a:lumMod val="50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1583E755" id="Rectangle 74" o:spid="_x0000_s1026" style="position:absolute;margin-left:13.15pt;margin-top:2.5pt;width:67.65pt;height:78pt;z-index:25210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" strokecolor="#1f3763 [1604]" strokeweight="1pt">
                      <v:fill r:id="rId79" o:title="" recolor="t" rotate="t" type="frame"/>
                    </v:rect>
                  </w:pict>
                </mc:Fallback>
              </mc:AlternateContent>
            </w:r>
          </w:p>
        </w:tc>
        <w:tc>
          <w:tcPr>
            <w:tcW w:w="1915" w:type="dxa"/>
          </w:tcPr>
          <w:p w14:paraId="6847467D" w14:textId="40991742" w:rsidR="00820C54" w:rsidRPr="00927DC8" w:rsidRDefault="008266F3" w:rsidP="005901C4">
            <w:pPr>
              <w:tabs>
                <w:tab w:val="left" w:pos="2160"/>
                <w:tab w:val="left" w:pos="4410"/>
                <w:tab w:val="left" w:pos="6570"/>
                <w:tab w:val="left" w:pos="8010"/>
              </w:tabs>
              <w:spacing w:after="3" w:line="473" w:lineRule="auto"/>
              <w:ind w:right="144"/>
              <w:jc w:val="both"/>
              <w:rPr>
                <w:noProof/>
                <w:sz w:val="16"/>
                <w:szCs w:val="16"/>
              </w:rPr>
            </w:pPr>
            <w:r w:rsidRPr="00927DC8">
              <w:rPr>
                <w:noProof/>
                <w:sz w:val="16"/>
                <w:szCs w:val="16"/>
              </w:rPr>
              <mc:AlternateContent>
                <mc:Choice Requires="wps">
                  <w:drawing>
                    <wp:anchor distT="0" distB="0" distL="114300" distR="114300" simplePos="0" relativeHeight="252102656" behindDoc="0" locked="0" layoutInCell="1" allowOverlap="1" wp14:anchorId="0BADE316" wp14:editId="0F221697">
                      <wp:simplePos x="0" y="0"/>
                      <wp:positionH relativeFrom="column">
                        <wp:posOffset>239529</wp:posOffset>
                      </wp:positionH>
                      <wp:positionV relativeFrom="paragraph">
                        <wp:posOffset>61595</wp:posOffset>
                      </wp:positionV>
                      <wp:extent cx="890270" cy="904875"/>
                      <wp:effectExtent l="6985" t="12700" r="7620" b="15875"/>
                      <wp:wrapNone/>
                      <wp:docPr id="1664550763" name="Rectangle 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0270" cy="904875"/>
                              </a:xfrm>
                              <a:prstGeom prst="rect">
                                <a:avLst/>
                              </a:prstGeom>
                              <a:blipFill dpi="0" rotWithShape="1">
                                <a:blip r:embed="rId65"/>
                                <a:srcRect/>
                                <a:stretch>
                                  <a:fillRect/>
                                </a:stretch>
                              </a:blipFill>
                              <a:ln w="12700">
                                <a:solidFill>
                                  <a:schemeClr val="accent1">
                                    <a:lumMod val="50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57E486FA" id="Rectangle 78" o:spid="_x0000_s1026" style="position:absolute;margin-left:18.85pt;margin-top:4.85pt;width:70.1pt;height:71.25pt;z-index:252102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" strokecolor="#1f3763 [1604]" strokeweight="1pt">
                      <v:fill r:id="rId80" o:title="" recolor="t" rotate="t" type="frame"/>
                    </v:rect>
                  </w:pict>
                </mc:Fallback>
              </mc:AlternateContent>
            </w:r>
          </w:p>
        </w:tc>
        <w:tc>
          <w:tcPr>
            <w:tcW w:w="1915" w:type="dxa"/>
          </w:tcPr>
          <w:p w14:paraId="56DF05E5" w14:textId="66E0A1B6" w:rsidR="00820C54" w:rsidRPr="00927DC8" w:rsidRDefault="00655D6C" w:rsidP="005901C4">
            <w:pPr>
              <w:tabs>
                <w:tab w:val="left" w:pos="2160"/>
                <w:tab w:val="left" w:pos="4410"/>
                <w:tab w:val="left" w:pos="6570"/>
                <w:tab w:val="left" w:pos="8010"/>
              </w:tabs>
              <w:spacing w:after="3" w:line="473" w:lineRule="auto"/>
              <w:ind w:right="144"/>
              <w:jc w:val="both"/>
              <w:rPr>
                <w:noProof/>
                <w:sz w:val="16"/>
                <w:szCs w:val="16"/>
              </w:rPr>
            </w:pPr>
            <w:r w:rsidRPr="00927DC8">
              <w:rPr>
                <w:noProof/>
                <w:sz w:val="16"/>
                <w:szCs w:val="16"/>
              </w:rPr>
              <mc:AlternateContent>
                <mc:Choice Requires="wps">
                  <w:drawing>
                    <wp:anchor distT="0" distB="0" distL="114300" distR="114300" simplePos="0" relativeHeight="252103680" behindDoc="0" locked="0" layoutInCell="1" allowOverlap="1" wp14:anchorId="3FDC6E3C" wp14:editId="00A35ABD">
                      <wp:simplePos x="0" y="0"/>
                      <wp:positionH relativeFrom="column">
                        <wp:posOffset>227330</wp:posOffset>
                      </wp:positionH>
                      <wp:positionV relativeFrom="paragraph">
                        <wp:posOffset>29845</wp:posOffset>
                      </wp:positionV>
                      <wp:extent cx="906780" cy="923925"/>
                      <wp:effectExtent l="9525" t="14605" r="7620" b="13970"/>
                      <wp:wrapNone/>
                      <wp:docPr id="1368889375" name="Rectangle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6780" cy="923925"/>
                              </a:xfrm>
                              <a:prstGeom prst="rect">
                                <a:avLst/>
                              </a:prstGeom>
                              <a:blipFill dpi="0" rotWithShape="1">
                                <a:blip r:embed="rId61"/>
                                <a:srcRect/>
                                <a:stretch>
                                  <a:fillRect/>
                                </a:stretch>
                              </a:blipFill>
                              <a:ln w="12700">
                                <a:solidFill>
                                  <a:schemeClr val="accent1">
                                    <a:lumMod val="50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476D673D" id="Rectangle 76" o:spid="_x0000_s1026" style="position:absolute;margin-left:17.9pt;margin-top:2.35pt;width:71.4pt;height:72.75pt;z-index:252103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" strokecolor="#1f3763 [1604]" strokeweight="1pt">
                      <v:fill r:id="rId81" o:title="" recolor="t" rotate="t" type="frame"/>
                    </v:rect>
                  </w:pict>
                </mc:Fallback>
              </mc:AlternateContent>
            </w:r>
          </w:p>
        </w:tc>
      </w:tr>
    </w:tbl>
    <w:p w14:paraId="094835AB" w14:textId="77777777" w:rsidR="003A7EA8" w:rsidRPr="00BC76FD" w:rsidRDefault="003A7EA8" w:rsidP="002631CE">
      <w:pPr>
        <w:spacing w:after="3" w:line="473" w:lineRule="auto"/>
        <w:ind w:right="144" w:firstLine="720"/>
        <w:jc w:val="both"/>
        <w:rPr>
          <w:rFonts w:asciiTheme="majorBidi" w:hAnsiTheme="majorBidi" w:cstheme="majorBidi"/>
          <w:lang w:val="en-US"/>
        </w:rPr>
        <w:sectPr w:rsidR="003A7EA8" w:rsidRPr="00BC76FD" w:rsidSect="002A0E7A">
          <w:pgSz w:w="15840" w:h="12240" w:orient="landscape" w:code="1"/>
          <w:pgMar w:top="1440" w:right="1440" w:bottom="1440" w:left="1440" w:header="720" w:footer="720" w:gutter="0"/>
          <w:cols w:space="720"/>
          <w:docGrid w:linePitch="360"/>
        </w:sectPr>
      </w:pPr>
    </w:p>
    <w:bookmarkEnd w:id="0"/>
    <w:p w14:paraId="01C193F5" w14:textId="337B916C" w:rsidR="001C683F" w:rsidRDefault="00B81204" w:rsidP="002631CE">
      <w:pPr>
        <w:pStyle w:val="Heading1"/>
        <w:spacing w:before="0" w:after="3" w:line="473" w:lineRule="auto"/>
        <w:ind w:right="144"/>
        <w:jc w:val="both"/>
        <w:rPr>
          <w:lang w:val="en-US"/>
        </w:rPr>
      </w:pPr>
      <w:r w:rsidRPr="00E255E3">
        <w:rPr>
          <w:lang w:val="en-US"/>
        </w:rPr>
        <w:lastRenderedPageBreak/>
        <w:t>REFERENCES</w:t>
      </w:r>
      <w:r w:rsidR="00AF63E0">
        <w:rPr>
          <w:lang w:val="en-US"/>
        </w:rPr>
        <w:t xml:space="preserve"> </w:t>
      </w:r>
    </w:p>
    <w:p w14:paraId="24631756" w14:textId="77777777" w:rsidR="00531864" w:rsidRDefault="00531864" w:rsidP="006E2CA0">
      <w:pPr>
        <w:pStyle w:val="References"/>
        <w:spacing w:before="0" w:line="480" w:lineRule="auto"/>
        <w:jc w:val="both"/>
        <w:rPr>
          <w:lang w:val="en-US"/>
        </w:rPr>
      </w:pPr>
      <w:r w:rsidRPr="00BC76FD">
        <w:rPr>
          <w:lang w:val="en-US"/>
        </w:rPr>
        <w:t xml:space="preserve">Atchley, W. R., Gaskins, C. T., and Anderson, D. (1976), “Statistical Properties of Ratios. I. Empirical Results,” </w:t>
      </w:r>
      <w:r w:rsidRPr="00BC76FD">
        <w:rPr>
          <w:i/>
          <w:iCs/>
          <w:lang w:val="en-US"/>
        </w:rPr>
        <w:t>Society of Systematic Biologists</w:t>
      </w:r>
      <w:r w:rsidRPr="00BC76FD">
        <w:rPr>
          <w:lang w:val="en-US"/>
        </w:rPr>
        <w:t>, 25, 137-148, DOI: 10.2307/2412740.</w:t>
      </w:r>
    </w:p>
    <w:p w14:paraId="0883146A" w14:textId="77777777" w:rsidR="00531864" w:rsidRPr="00CA3659" w:rsidRDefault="00531864" w:rsidP="006E2CA0">
      <w:pPr>
        <w:pStyle w:val="References"/>
        <w:spacing w:before="0" w:line="480" w:lineRule="auto"/>
        <w:jc w:val="both"/>
        <w:rPr>
          <w:sz w:val="22"/>
          <w:szCs w:val="22"/>
          <w:lang w:val="en-US" w:eastAsia="en-US"/>
        </w:rPr>
      </w:pPr>
      <w:r>
        <w:t xml:space="preserve">Banner, J.L. and Hanson, G.N., 1990, “Calculation of simultaneous isotopic and trace element variations during water-rock interaction with applications to carbonate diagenesis.” </w:t>
      </w:r>
      <w:r>
        <w:rPr>
          <w:i/>
          <w:iCs/>
        </w:rPr>
        <w:t>Geochimica et Cosmochimica Acta</w:t>
      </w:r>
      <w:r>
        <w:t xml:space="preserve">, </w:t>
      </w:r>
      <w:r w:rsidRPr="00055E9E">
        <w:t>54</w:t>
      </w:r>
      <w:r>
        <w:t>, 3123-3137, DOI</w:t>
      </w:r>
      <w:r w:rsidRPr="00CA3659">
        <w:t xml:space="preserve">: </w:t>
      </w:r>
      <w:hyperlink r:id="rId82" w:history="1">
        <w:r w:rsidRPr="00815509">
          <w:rPr>
            <w:rStyle w:val="Hyperlink"/>
            <w:color w:val="auto"/>
            <w:u w:val="none"/>
          </w:rPr>
          <w:t>10.1016/0016-7037(90)90128-8</w:t>
        </w:r>
      </w:hyperlink>
    </w:p>
    <w:p w14:paraId="27B2D5A4" w14:textId="77777777" w:rsidR="00531864" w:rsidRPr="00BC76FD" w:rsidRDefault="00531864" w:rsidP="006E2CA0">
      <w:pPr>
        <w:pStyle w:val="References"/>
        <w:spacing w:before="0" w:line="480" w:lineRule="auto"/>
        <w:jc w:val="both"/>
        <w:rPr>
          <w:lang w:val="en-US"/>
        </w:rPr>
      </w:pPr>
      <w:r w:rsidRPr="00BC76FD">
        <w:rPr>
          <w:lang w:val="en-US"/>
        </w:rPr>
        <w:t>Banner</w:t>
      </w:r>
      <w:r w:rsidRPr="004D5160">
        <w:rPr>
          <w:lang w:val="en-US"/>
        </w:rPr>
        <w:t>,</w:t>
      </w:r>
      <w:r w:rsidRPr="00BC76FD">
        <w:rPr>
          <w:lang w:val="en-US"/>
        </w:rPr>
        <w:t xml:space="preserve"> J. L., Wasserburg</w:t>
      </w:r>
      <w:r w:rsidRPr="004D5160">
        <w:rPr>
          <w:lang w:val="en-US"/>
        </w:rPr>
        <w:t>,</w:t>
      </w:r>
      <w:r w:rsidRPr="00BC76FD">
        <w:rPr>
          <w:lang w:val="en-US"/>
        </w:rPr>
        <w:t xml:space="preserve"> G. J., Dobson</w:t>
      </w:r>
      <w:r w:rsidRPr="004D5160">
        <w:rPr>
          <w:lang w:val="en-US"/>
        </w:rPr>
        <w:t>,</w:t>
      </w:r>
      <w:r w:rsidRPr="00BC76FD">
        <w:rPr>
          <w:lang w:val="en-US"/>
        </w:rPr>
        <w:t xml:space="preserve"> P. F., Carpenter</w:t>
      </w:r>
      <w:r w:rsidRPr="004D5160">
        <w:rPr>
          <w:lang w:val="en-US"/>
        </w:rPr>
        <w:t>,</w:t>
      </w:r>
      <w:r w:rsidRPr="00BC76FD">
        <w:rPr>
          <w:lang w:val="en-US"/>
        </w:rPr>
        <w:t xml:space="preserve"> A. B., and Moore</w:t>
      </w:r>
      <w:r w:rsidRPr="004D5160">
        <w:rPr>
          <w:lang w:val="en-US"/>
        </w:rPr>
        <w:t>,</w:t>
      </w:r>
      <w:r w:rsidRPr="00BC76FD">
        <w:rPr>
          <w:lang w:val="en-US"/>
        </w:rPr>
        <w:t xml:space="preserve"> C. H. (1989), “Isotopic and Trace Element Constraints on the Origin and Evolution of Saline Groundwaters from Central Missouri,” </w:t>
      </w:r>
      <w:r w:rsidRPr="00BC76FD">
        <w:rPr>
          <w:i/>
          <w:iCs/>
          <w:lang w:val="en-US"/>
        </w:rPr>
        <w:t>Geochimica et Cosmochimica Acta</w:t>
      </w:r>
      <w:r w:rsidRPr="00BC76FD">
        <w:rPr>
          <w:lang w:val="en-US"/>
        </w:rPr>
        <w:t>, 53, 383-398, DOI: 10.1016/0016-7037(89)90390-6.</w:t>
      </w:r>
    </w:p>
    <w:p w14:paraId="12BAB1B9" w14:textId="77777777" w:rsidR="00531864" w:rsidRPr="00BC76FD" w:rsidRDefault="00531864" w:rsidP="006E2CA0">
      <w:pPr>
        <w:pStyle w:val="References"/>
        <w:spacing w:before="0" w:line="480" w:lineRule="auto"/>
        <w:jc w:val="both"/>
        <w:rPr>
          <w:lang w:val="en-US"/>
        </w:rPr>
      </w:pPr>
      <w:r w:rsidRPr="00BC76FD">
        <w:rPr>
          <w:lang w:val="en-US"/>
        </w:rPr>
        <w:t xml:space="preserve">Banner, J. L., Musgrove, M., Edwards, R. L., Asmerom, Y., </w:t>
      </w:r>
      <w:r w:rsidRPr="004D5160">
        <w:rPr>
          <w:lang w:val="en-US"/>
        </w:rPr>
        <w:t xml:space="preserve">and </w:t>
      </w:r>
      <w:r w:rsidRPr="00BC76FD">
        <w:rPr>
          <w:lang w:val="en-US"/>
        </w:rPr>
        <w:t xml:space="preserve">Hoff, J. A. (1996), “High- Resolution Temporal Record of Holocene Ground-Water Chemistry: Tracing Links between Climate and Hydrology,” </w:t>
      </w:r>
      <w:r w:rsidRPr="00BC76FD">
        <w:rPr>
          <w:i/>
          <w:iCs/>
          <w:lang w:val="en-US"/>
        </w:rPr>
        <w:t>Geology</w:t>
      </w:r>
      <w:r w:rsidRPr="00BC76FD">
        <w:rPr>
          <w:lang w:val="en-US"/>
        </w:rPr>
        <w:t>, 24, 1049-1052, DOI: 10.1130/0091-7613(1996)024&lt;1049:HRTROH&gt;2.3.CO;2.</w:t>
      </w:r>
    </w:p>
    <w:p w14:paraId="1F40C214" w14:textId="77777777" w:rsidR="00531864" w:rsidRPr="00BC76FD" w:rsidRDefault="00531864" w:rsidP="006E2CA0">
      <w:pPr>
        <w:pStyle w:val="References"/>
        <w:spacing w:before="0" w:line="480" w:lineRule="auto"/>
        <w:jc w:val="both"/>
        <w:rPr>
          <w:lang w:val="en-US"/>
        </w:rPr>
      </w:pPr>
      <w:r w:rsidRPr="00BC76FD">
        <w:rPr>
          <w:lang w:val="en-US"/>
        </w:rPr>
        <w:t>Bentl</w:t>
      </w:r>
      <w:r>
        <w:rPr>
          <w:lang w:val="en-US"/>
        </w:rPr>
        <w:t>e</w:t>
      </w:r>
      <w:r w:rsidRPr="00BC76FD">
        <w:rPr>
          <w:lang w:val="en-US"/>
        </w:rPr>
        <w:t>y</w:t>
      </w:r>
      <w:r w:rsidRPr="004D5160">
        <w:rPr>
          <w:lang w:val="en-US"/>
        </w:rPr>
        <w:t>,</w:t>
      </w:r>
      <w:r w:rsidRPr="00BC76FD">
        <w:rPr>
          <w:lang w:val="en-US"/>
        </w:rPr>
        <w:t xml:space="preserve"> R. A. (2006), “Strontium Isotopes from the Earth to the Archaeological Skeleton: A Review,” </w:t>
      </w:r>
      <w:r w:rsidRPr="00BC76FD">
        <w:rPr>
          <w:i/>
          <w:iCs/>
          <w:lang w:val="en-US"/>
        </w:rPr>
        <w:t>Journal of Archaeological Method and Theory,</w:t>
      </w:r>
      <w:r w:rsidRPr="00BC76FD">
        <w:rPr>
          <w:lang w:val="en-US"/>
        </w:rPr>
        <w:t xml:space="preserve"> 13, 135-187, DOI: 10.1007/s10816-006-9009-x.</w:t>
      </w:r>
    </w:p>
    <w:p w14:paraId="126231C4" w14:textId="77777777" w:rsidR="00531864" w:rsidRPr="00E255E3" w:rsidRDefault="00531864" w:rsidP="006E2CA0">
      <w:pPr>
        <w:pStyle w:val="References"/>
        <w:spacing w:before="0" w:line="480" w:lineRule="auto"/>
        <w:jc w:val="both"/>
        <w:rPr>
          <w:lang w:val="en-US"/>
        </w:rPr>
      </w:pPr>
      <w:r w:rsidRPr="00E255E3">
        <w:rPr>
          <w:lang w:val="en-US"/>
        </w:rPr>
        <w:t xml:space="preserve">Berglund, M., and Wieser, M. E. (2011), “Isotopic Compositions of the Elements 2009 (IUPAC Technical Report),” </w:t>
      </w:r>
      <w:r w:rsidRPr="00E255E3">
        <w:rPr>
          <w:i/>
          <w:iCs/>
          <w:lang w:val="en-US"/>
        </w:rPr>
        <w:t>Pure and Applied Chemistry</w:t>
      </w:r>
      <w:r w:rsidRPr="00E255E3">
        <w:rPr>
          <w:lang w:val="en-US"/>
        </w:rPr>
        <w:t>, 83, 397-410, DOI: 10.1351/PAC-REP-10-06-02.</w:t>
      </w:r>
    </w:p>
    <w:p w14:paraId="5C1BDE07" w14:textId="77777777" w:rsidR="00531864" w:rsidRPr="00BC76FD" w:rsidRDefault="00531864" w:rsidP="006E2CA0">
      <w:pPr>
        <w:pStyle w:val="References"/>
        <w:spacing w:before="0" w:line="480" w:lineRule="auto"/>
        <w:jc w:val="both"/>
        <w:rPr>
          <w:lang w:val="en-US"/>
        </w:rPr>
      </w:pPr>
      <w:r w:rsidRPr="00BC76FD">
        <w:rPr>
          <w:lang w:val="en-US"/>
        </w:rPr>
        <w:t xml:space="preserve">Bilby, R. E., Fransen, B. R., and Bisson, P. A. (1996), “Incorporation of Nitrogen and Carbon from Spawning Coho Salmon into the Trophic System of Small Streams: Evidence </w:t>
      </w:r>
      <w:r w:rsidRPr="00BC76FD">
        <w:rPr>
          <w:lang w:val="en-US"/>
        </w:rPr>
        <w:lastRenderedPageBreak/>
        <w:t xml:space="preserve">from Stable Isotopes,” </w:t>
      </w:r>
      <w:r w:rsidRPr="00BC76FD">
        <w:rPr>
          <w:i/>
          <w:iCs/>
          <w:lang w:val="en-US"/>
        </w:rPr>
        <w:t>Canadian Journal of Fisheries and Aquatic Sciences</w:t>
      </w:r>
      <w:r w:rsidRPr="00BC76FD">
        <w:rPr>
          <w:lang w:val="en-US"/>
        </w:rPr>
        <w:t>, 53, 164-173, DOI: 10.1139/f95-159.</w:t>
      </w:r>
    </w:p>
    <w:p w14:paraId="3421AABB" w14:textId="77777777" w:rsidR="00531864" w:rsidRPr="00BC76FD" w:rsidRDefault="00531864" w:rsidP="006E2CA0">
      <w:pPr>
        <w:pStyle w:val="References"/>
        <w:spacing w:before="0" w:line="480" w:lineRule="auto"/>
        <w:jc w:val="both"/>
        <w:rPr>
          <w:lang w:val="en-US"/>
        </w:rPr>
      </w:pPr>
      <w:r w:rsidRPr="00BC76FD">
        <w:rPr>
          <w:lang w:val="en-US"/>
        </w:rPr>
        <w:t xml:space="preserve">Brand, W. A., and Coplen, T. B. (2012), “Stable Isotope Deltas: Tiny, Yet Robust Signatures in Nature,” </w:t>
      </w:r>
      <w:r w:rsidRPr="00BC76FD">
        <w:rPr>
          <w:i/>
          <w:iCs/>
          <w:lang w:val="en-US"/>
        </w:rPr>
        <w:t>Isotopes in Environmental Health Studies</w:t>
      </w:r>
      <w:r w:rsidRPr="00BC76FD">
        <w:rPr>
          <w:lang w:val="en-US"/>
        </w:rPr>
        <w:t>, 48, 393-409, DOI: 10.1080/10256016.2012.666977.</w:t>
      </w:r>
    </w:p>
    <w:p w14:paraId="0A9F88E6" w14:textId="77777777" w:rsidR="00531864" w:rsidRPr="00BC76FD" w:rsidRDefault="00531864" w:rsidP="006E2CA0">
      <w:pPr>
        <w:pStyle w:val="References"/>
        <w:spacing w:before="0" w:line="480" w:lineRule="auto"/>
        <w:jc w:val="both"/>
        <w:rPr>
          <w:lang w:val="en-US"/>
        </w:rPr>
      </w:pPr>
      <w:r w:rsidRPr="00BC76FD">
        <w:rPr>
          <w:lang w:val="en-US"/>
        </w:rPr>
        <w:t>Caut, S., Angulo, E., and Courchamp, F. (2009), “Variation in Discrimination Factors (Δ</w:t>
      </w:r>
      <w:r w:rsidRPr="00BC76FD">
        <w:rPr>
          <w:vertAlign w:val="superscript"/>
          <w:lang w:val="en-US"/>
        </w:rPr>
        <w:t>15</w:t>
      </w:r>
      <w:r w:rsidRPr="00BC76FD">
        <w:rPr>
          <w:lang w:val="en-US"/>
        </w:rPr>
        <w:t>N and Δ</w:t>
      </w:r>
      <w:r w:rsidRPr="00BC76FD">
        <w:rPr>
          <w:vertAlign w:val="superscript"/>
          <w:lang w:val="en-US"/>
        </w:rPr>
        <w:t>13</w:t>
      </w:r>
      <w:r w:rsidRPr="00BC76FD">
        <w:rPr>
          <w:lang w:val="en-US"/>
        </w:rPr>
        <w:t xml:space="preserve">C): The Effect of Diet Isotopic Values and Applications for Diet Reconstruction,” </w:t>
      </w:r>
      <w:r w:rsidRPr="00BC76FD">
        <w:rPr>
          <w:i/>
          <w:iCs/>
          <w:lang w:val="en-US"/>
        </w:rPr>
        <w:t>Journal of Applied Ecology</w:t>
      </w:r>
      <w:r w:rsidRPr="00BC76FD">
        <w:rPr>
          <w:lang w:val="en-US"/>
        </w:rPr>
        <w:t>, 46, 443-453, DOI: 10.1111/j.1365-2664.2009.01620.x.</w:t>
      </w:r>
    </w:p>
    <w:p w14:paraId="2553A58A" w14:textId="77777777" w:rsidR="00531864" w:rsidRPr="00BC76FD" w:rsidRDefault="00531864" w:rsidP="006E2CA0">
      <w:pPr>
        <w:pStyle w:val="References"/>
        <w:spacing w:before="0" w:line="480" w:lineRule="auto"/>
        <w:jc w:val="both"/>
        <w:rPr>
          <w:lang w:val="en-US"/>
        </w:rPr>
      </w:pPr>
      <w:r w:rsidRPr="00BC76FD">
        <w:rPr>
          <w:lang w:val="en-US"/>
        </w:rPr>
        <w:t xml:space="preserve">Certo, S. T., Busenbark, J. R., Kalm, M., and LePine, J. A. (2020), “Divided We Fall: How Ratios Undermine Research in Strategic Management,” </w:t>
      </w:r>
      <w:r w:rsidRPr="00BC76FD">
        <w:rPr>
          <w:i/>
          <w:iCs/>
          <w:lang w:val="en-US"/>
        </w:rPr>
        <w:t>Organizational Research Methods</w:t>
      </w:r>
      <w:r w:rsidRPr="00BC76FD">
        <w:rPr>
          <w:lang w:val="en-US"/>
        </w:rPr>
        <w:t>, 23, 211-237, DOI: 10.1177/1094428118773455.</w:t>
      </w:r>
    </w:p>
    <w:p w14:paraId="15026BA3" w14:textId="77777777" w:rsidR="00531864" w:rsidRPr="00BC76FD" w:rsidRDefault="00531864" w:rsidP="006E2CA0">
      <w:pPr>
        <w:pStyle w:val="References"/>
        <w:spacing w:before="0" w:line="480" w:lineRule="auto"/>
        <w:jc w:val="both"/>
        <w:rPr>
          <w:noProof/>
          <w:lang w:val="en-US"/>
        </w:rPr>
      </w:pPr>
      <w:r w:rsidRPr="00BC76FD">
        <w:rPr>
          <w:noProof/>
          <w:lang w:val="en-US"/>
        </w:rPr>
        <w:t xml:space="preserve">Coplen, T. B. (2011), “Guidelinge and Recommended Terms for Expression of Stable Isotope-Ratio and Gas-Ratio Measurement Results,” </w:t>
      </w:r>
      <w:r w:rsidRPr="00BC76FD">
        <w:rPr>
          <w:i/>
          <w:iCs/>
          <w:noProof/>
          <w:lang w:val="en-US"/>
        </w:rPr>
        <w:t>Rapid Communications in Mass Spectrometry</w:t>
      </w:r>
      <w:r w:rsidRPr="00BC76FD">
        <w:rPr>
          <w:noProof/>
          <w:lang w:val="en-US"/>
        </w:rPr>
        <w:t>, 25, 2538-2560, DOI: 10.1002/rcm.5129.</w:t>
      </w:r>
    </w:p>
    <w:p w14:paraId="18E81127" w14:textId="77777777" w:rsidR="00531864" w:rsidRPr="00BC76FD" w:rsidRDefault="00531864" w:rsidP="006E2CA0">
      <w:pPr>
        <w:pStyle w:val="References"/>
        <w:spacing w:before="0" w:line="480" w:lineRule="auto"/>
        <w:jc w:val="both"/>
        <w:rPr>
          <w:noProof/>
          <w:lang w:val="en-US"/>
        </w:rPr>
      </w:pPr>
      <w:r w:rsidRPr="00BC76FD">
        <w:rPr>
          <w:noProof/>
          <w:lang w:val="en-US"/>
        </w:rPr>
        <w:t xml:space="preserve">Crawford, K., Mcdonald, R. A., and Bearhop, S. (2008), “Applications of Stable Isotope Techniques to the Ecology of Mammals,” </w:t>
      </w:r>
      <w:r w:rsidRPr="00BC76FD">
        <w:rPr>
          <w:i/>
          <w:iCs/>
          <w:noProof/>
          <w:lang w:val="en-US"/>
        </w:rPr>
        <w:t>Mammal Review</w:t>
      </w:r>
      <w:r w:rsidRPr="00BC76FD">
        <w:rPr>
          <w:noProof/>
          <w:lang w:val="en-US"/>
        </w:rPr>
        <w:t>, 38, 87-107, DOI: 10.1111/j.1365-2907.2008.00120.x.</w:t>
      </w:r>
    </w:p>
    <w:p w14:paraId="19E6BCD8" w14:textId="77777777" w:rsidR="00531864" w:rsidRPr="00BC76FD" w:rsidRDefault="00531864" w:rsidP="006E2CA0">
      <w:pPr>
        <w:pStyle w:val="References"/>
        <w:spacing w:before="0" w:line="480" w:lineRule="auto"/>
        <w:jc w:val="both"/>
        <w:rPr>
          <w:lang w:val="en-US"/>
        </w:rPr>
      </w:pPr>
      <w:r w:rsidRPr="00BC76FD">
        <w:rPr>
          <w:lang w:val="en-US"/>
        </w:rPr>
        <w:t xml:space="preserve">Ehleringer, A. H, Hall, A. E., and Farquhar, G. (1993), </w:t>
      </w:r>
      <w:r w:rsidRPr="00BC76FD">
        <w:rPr>
          <w:i/>
          <w:iCs/>
          <w:lang w:val="en-US"/>
        </w:rPr>
        <w:t>Stable Isotopes and Plant Carbon-Water Relations</w:t>
      </w:r>
      <w:r w:rsidRPr="00BC76FD">
        <w:rPr>
          <w:lang w:val="en-US"/>
        </w:rPr>
        <w:t>, San Diego, CA.USA: Academic Press.</w:t>
      </w:r>
    </w:p>
    <w:p w14:paraId="43E75C5F" w14:textId="77777777" w:rsidR="00531864" w:rsidRPr="00BC76FD" w:rsidRDefault="00531864" w:rsidP="006E2CA0">
      <w:pPr>
        <w:pStyle w:val="References"/>
        <w:spacing w:before="0" w:line="480" w:lineRule="auto"/>
        <w:jc w:val="both"/>
        <w:rPr>
          <w:lang w:val="en-US"/>
        </w:rPr>
      </w:pPr>
      <w:r w:rsidRPr="00BC76FD">
        <w:rPr>
          <w:lang w:val="en-US"/>
        </w:rPr>
        <w:t xml:space="preserve">Enquist, B. J. (2002), “Universal Scaling in Tree and Vascular Plant Allometry: Toward a General Quantitative Theory Linking Plant Form and Function from Cells to Ecosystems,” </w:t>
      </w:r>
      <w:r w:rsidRPr="00BC76FD">
        <w:rPr>
          <w:i/>
          <w:iCs/>
          <w:lang w:val="en-US"/>
        </w:rPr>
        <w:t>Tree Physiology</w:t>
      </w:r>
      <w:r w:rsidRPr="00BC76FD">
        <w:rPr>
          <w:lang w:val="en-US"/>
        </w:rPr>
        <w:t>, 22, 1045-1064, DOI: 10.1093/treephys/22.15-16.1045.</w:t>
      </w:r>
    </w:p>
    <w:p w14:paraId="1DCF814E" w14:textId="77777777" w:rsidR="00531864" w:rsidRPr="00BC76FD" w:rsidRDefault="00531864" w:rsidP="006E2CA0">
      <w:pPr>
        <w:pStyle w:val="References"/>
        <w:spacing w:before="0" w:line="480" w:lineRule="auto"/>
        <w:jc w:val="both"/>
        <w:rPr>
          <w:lang w:val="en-US"/>
        </w:rPr>
      </w:pPr>
      <w:r w:rsidRPr="00BC76FD">
        <w:rPr>
          <w:lang w:val="en-US"/>
        </w:rPr>
        <w:lastRenderedPageBreak/>
        <w:t xml:space="preserve">Ericson, J. E. (1985), “Strontium Isotope Characterization in the Study of Prehistoric Human Ecology,” </w:t>
      </w:r>
      <w:r w:rsidRPr="00BC76FD">
        <w:rPr>
          <w:i/>
          <w:iCs/>
          <w:lang w:val="en-US"/>
        </w:rPr>
        <w:t>Journal of Human Evolution,</w:t>
      </w:r>
      <w:r w:rsidRPr="00BC76FD">
        <w:rPr>
          <w:lang w:val="en-US"/>
        </w:rPr>
        <w:t xml:space="preserve"> 14, 503-514, DOI: 10.1016/S0047-2484(85)80029-4.</w:t>
      </w:r>
    </w:p>
    <w:p w14:paraId="3CA04A2E" w14:textId="77777777" w:rsidR="00531864" w:rsidRPr="00BC76FD" w:rsidRDefault="00531864" w:rsidP="006E2CA0">
      <w:pPr>
        <w:pStyle w:val="References"/>
        <w:spacing w:before="0" w:line="480" w:lineRule="auto"/>
        <w:jc w:val="both"/>
        <w:rPr>
          <w:lang w:val="en-US"/>
        </w:rPr>
      </w:pPr>
      <w:r w:rsidRPr="00BC76FD">
        <w:rPr>
          <w:lang w:val="en-US"/>
        </w:rPr>
        <w:t xml:space="preserve">Faure, G. (1986), </w:t>
      </w:r>
      <w:r w:rsidRPr="00BC76FD">
        <w:rPr>
          <w:i/>
          <w:iCs/>
          <w:lang w:val="en-US"/>
        </w:rPr>
        <w:t>Principles of Isotope Geology</w:t>
      </w:r>
      <w:r w:rsidRPr="00BC76FD">
        <w:rPr>
          <w:lang w:val="en-US"/>
        </w:rPr>
        <w:t xml:space="preserve"> (2nd ed.), New York, Brisbane Toronto, Singapore: John Wiley and Sons.</w:t>
      </w:r>
    </w:p>
    <w:p w14:paraId="6C4A8D11" w14:textId="77777777" w:rsidR="00531864" w:rsidRDefault="00531864" w:rsidP="006E2CA0">
      <w:pPr>
        <w:pStyle w:val="References"/>
        <w:spacing w:before="0" w:line="480" w:lineRule="auto"/>
        <w:jc w:val="both"/>
        <w:rPr>
          <w:lang w:val="en-US"/>
        </w:rPr>
      </w:pPr>
      <w:r w:rsidRPr="00BC76FD">
        <w:rPr>
          <w:lang w:val="en-US"/>
        </w:rPr>
        <w:t xml:space="preserve">Finlay, J. C. (2001), “Stable Carbon-Isotope Ratios of River Biota: Implications for Energy Flow and lotic Food Webs,” </w:t>
      </w:r>
      <w:r w:rsidRPr="00BC76FD">
        <w:rPr>
          <w:i/>
          <w:iCs/>
          <w:lang w:val="en-US"/>
        </w:rPr>
        <w:t>Ecology,</w:t>
      </w:r>
      <w:r w:rsidRPr="00BC76FD">
        <w:rPr>
          <w:lang w:val="en-US"/>
        </w:rPr>
        <w:t xml:space="preserve"> 82, 1052-1064, DOI: 10.2307/2679902.</w:t>
      </w:r>
    </w:p>
    <w:p w14:paraId="0312B486" w14:textId="77777777" w:rsidR="00531864" w:rsidRPr="00BC76FD" w:rsidRDefault="00531864" w:rsidP="006E2CA0">
      <w:pPr>
        <w:pStyle w:val="References"/>
        <w:spacing w:before="0" w:line="480" w:lineRule="auto"/>
        <w:jc w:val="both"/>
        <w:rPr>
          <w:lang w:val="en-US"/>
        </w:rPr>
      </w:pPr>
      <w:r w:rsidRPr="00BC76FD">
        <w:rPr>
          <w:lang w:val="en-US"/>
        </w:rPr>
        <w:t xml:space="preserve">Gannes, L. Z., Martinez del Rio, C., and Kock, K. (1998), “Natural Abundance Variations in Stable Isotopes and Their Potential Used in Animal Physiological Ecology,” </w:t>
      </w:r>
      <w:r w:rsidRPr="00BC76FD">
        <w:rPr>
          <w:i/>
          <w:iCs/>
          <w:lang w:val="en-US"/>
        </w:rPr>
        <w:t>Comparative Biochemistry and Physiology Part A: Molecular &amp; Integrative Physiology</w:t>
      </w:r>
      <w:r w:rsidRPr="00BC76FD">
        <w:rPr>
          <w:lang w:val="en-US"/>
        </w:rPr>
        <w:t>, 119, 725-737, DOI: 10.1016/S1095-6433(98)01016-2.</w:t>
      </w:r>
    </w:p>
    <w:p w14:paraId="7FA42928" w14:textId="77777777" w:rsidR="00531864" w:rsidRDefault="00531864" w:rsidP="006E2CA0">
      <w:pPr>
        <w:pStyle w:val="References"/>
        <w:spacing w:before="0" w:line="480" w:lineRule="auto"/>
        <w:jc w:val="both"/>
        <w:rPr>
          <w:lang w:val="en-US"/>
        </w:rPr>
      </w:pPr>
      <w:r w:rsidRPr="00BC76FD">
        <w:rPr>
          <w:lang w:val="en-US"/>
        </w:rPr>
        <w:t xml:space="preserve">Gilbert, C., and Rasmussen J. B. (1994), “Modelling Food Chain Structure and Contaminant Bioaccumulation using Stable Nitrogen Isotopes,” </w:t>
      </w:r>
      <w:r w:rsidRPr="00BC76FD">
        <w:rPr>
          <w:i/>
          <w:iCs/>
          <w:lang w:val="en-US"/>
        </w:rPr>
        <w:t>Nature</w:t>
      </w:r>
      <w:r w:rsidRPr="00BC76FD">
        <w:rPr>
          <w:lang w:val="en-US"/>
        </w:rPr>
        <w:t>, 372, 255-257, DOI: 10.1038/372255a0.</w:t>
      </w:r>
    </w:p>
    <w:p w14:paraId="57CBD161" w14:textId="77777777" w:rsidR="00531864" w:rsidRPr="00BC76FD" w:rsidRDefault="00531864" w:rsidP="006E2CA0">
      <w:pPr>
        <w:pStyle w:val="References"/>
        <w:spacing w:before="0" w:line="480" w:lineRule="auto"/>
        <w:jc w:val="both"/>
        <w:rPr>
          <w:lang w:val="en-US"/>
        </w:rPr>
      </w:pPr>
      <w:r w:rsidRPr="00BC76FD">
        <w:rPr>
          <w:shd w:val="clear" w:color="auto" w:fill="FFFFFF"/>
          <w:lang w:val="en-US"/>
        </w:rPr>
        <w:t>Glazier, D. S. (2021), “Biological Scaling Analyses are More than Statistical Line Fitting</w:t>
      </w:r>
      <w:r w:rsidRPr="00BC76FD">
        <w:rPr>
          <w:i/>
          <w:iCs/>
          <w:shd w:val="clear" w:color="auto" w:fill="FFFFFF"/>
          <w:lang w:val="en-US"/>
        </w:rPr>
        <w:t>,” Journal of Experimental Biology</w:t>
      </w:r>
      <w:r w:rsidRPr="00BC76FD">
        <w:rPr>
          <w:shd w:val="clear" w:color="auto" w:fill="FFFFFF"/>
          <w:lang w:val="en-US"/>
        </w:rPr>
        <w:t>, 224, jeb241059, DOI: 10.1242/jeb.241059.</w:t>
      </w:r>
    </w:p>
    <w:p w14:paraId="412C4BBB" w14:textId="13557D2F" w:rsidR="00531864" w:rsidRPr="00BC76FD" w:rsidRDefault="00531864" w:rsidP="006E2CA0">
      <w:pPr>
        <w:pStyle w:val="References"/>
        <w:spacing w:before="0" w:line="480" w:lineRule="auto"/>
        <w:jc w:val="both"/>
        <w:rPr>
          <w:lang w:val="en-US"/>
        </w:rPr>
      </w:pPr>
      <w:r w:rsidRPr="00BC76FD">
        <w:rPr>
          <w:lang w:val="en-US"/>
        </w:rPr>
        <w:t>Goede, A., McCulloch, M., McDermott, F., and Hawkesworth, C. (199</w:t>
      </w:r>
      <w:r w:rsidR="002A77A0">
        <w:rPr>
          <w:lang w:val="en-US"/>
        </w:rPr>
        <w:t>8</w:t>
      </w:r>
      <w:r w:rsidRPr="00BC76FD">
        <w:rPr>
          <w:lang w:val="en-US"/>
        </w:rPr>
        <w:t xml:space="preserve">), “Aeolian Contribution to Strontium and Strontium Isotope Variations in a Tasmanian Speleothem,” </w:t>
      </w:r>
      <w:r w:rsidRPr="00BC76FD">
        <w:rPr>
          <w:i/>
          <w:iCs/>
          <w:lang w:val="en-US"/>
        </w:rPr>
        <w:t>The Holocene</w:t>
      </w:r>
      <w:r w:rsidRPr="00BC76FD">
        <w:rPr>
          <w:lang w:val="en-US"/>
        </w:rPr>
        <w:t>, 9, 715-722.</w:t>
      </w:r>
    </w:p>
    <w:p w14:paraId="5B622870" w14:textId="77777777" w:rsidR="00531864" w:rsidRPr="00BC76FD" w:rsidRDefault="00531864" w:rsidP="006E2CA0">
      <w:pPr>
        <w:pStyle w:val="References"/>
        <w:spacing w:before="0" w:line="480" w:lineRule="auto"/>
        <w:jc w:val="both"/>
        <w:rPr>
          <w:lang w:val="en-US"/>
        </w:rPr>
      </w:pPr>
      <w:r w:rsidRPr="00BC76FD">
        <w:rPr>
          <w:lang w:val="en-US"/>
        </w:rPr>
        <w:t xml:space="preserve">Grupe, G., Price, T. D., Schroter, P. Sollner, F. Johnson, C. M., and Beard, B. L. (1997), “Mobility of Bell Beaker People Revealed by Strontium Isotope Ratios of Tooth and Bone: A Study of Bavarian Skeletal Remains,” </w:t>
      </w:r>
      <w:r w:rsidRPr="00BC76FD">
        <w:rPr>
          <w:i/>
          <w:iCs/>
          <w:lang w:val="en-US"/>
        </w:rPr>
        <w:t>Applied Geochemistry,</w:t>
      </w:r>
      <w:r w:rsidRPr="00BC76FD">
        <w:rPr>
          <w:lang w:val="en-US"/>
        </w:rPr>
        <w:t xml:space="preserve"> 12, 517-525, DOI: 10.1016/S0883-2927(97)00030-9.</w:t>
      </w:r>
    </w:p>
    <w:p w14:paraId="5FB632EB" w14:textId="77777777" w:rsidR="00531864" w:rsidRPr="00BC76FD" w:rsidRDefault="00531864" w:rsidP="006E2CA0">
      <w:pPr>
        <w:pStyle w:val="References"/>
        <w:spacing w:before="0" w:line="480" w:lineRule="auto"/>
        <w:jc w:val="both"/>
        <w:rPr>
          <w:lang w:val="en-US"/>
        </w:rPr>
      </w:pPr>
      <w:r w:rsidRPr="00BC76FD">
        <w:rPr>
          <w:lang w:val="en-US"/>
        </w:rPr>
        <w:t xml:space="preserve">Hayes, J. M. (2004), </w:t>
      </w:r>
      <w:r w:rsidRPr="00BC76FD">
        <w:rPr>
          <w:i/>
          <w:iCs/>
          <w:lang w:val="en-US"/>
        </w:rPr>
        <w:t>An Introduction to Isotopic Calculations</w:t>
      </w:r>
      <w:r w:rsidRPr="00BC76FD">
        <w:rPr>
          <w:lang w:val="en-US"/>
        </w:rPr>
        <w:t>, Woods Hole MA, USA: Woods Hole Oceanographic Institution.</w:t>
      </w:r>
    </w:p>
    <w:p w14:paraId="6BCC403A" w14:textId="77777777" w:rsidR="00531864" w:rsidRPr="00BC76FD" w:rsidRDefault="00531864" w:rsidP="006E2CA0">
      <w:pPr>
        <w:pStyle w:val="References"/>
        <w:spacing w:before="0" w:line="480" w:lineRule="auto"/>
        <w:jc w:val="both"/>
        <w:rPr>
          <w:lang w:val="en-US"/>
        </w:rPr>
      </w:pPr>
      <w:r w:rsidRPr="00BC76FD">
        <w:rPr>
          <w:lang w:val="en-US"/>
        </w:rPr>
        <w:lastRenderedPageBreak/>
        <w:t xml:space="preserve">House, C. H., Wong, G. M., Webster, C. R., Flesch, G. J., Franz, H. B., Stern, J. C., Pavlov, A., Atreya, S. K., Eigenbrane, J. L., Gilbert, A., and Hofmann, A. E. (2022), “Depleted carbon isotope compositions observed at Gale crater, Mars,” </w:t>
      </w:r>
      <w:r w:rsidRPr="00BC76FD">
        <w:rPr>
          <w:i/>
          <w:iCs/>
          <w:lang w:val="en-US"/>
        </w:rPr>
        <w:t>Proceedings of the National Academy of Sciences</w:t>
      </w:r>
      <w:r w:rsidRPr="00BC76FD">
        <w:rPr>
          <w:lang w:val="en-US"/>
        </w:rPr>
        <w:t>, 119(4), e2115651119, DOI: 10.1073/pnas.2115651119.</w:t>
      </w:r>
    </w:p>
    <w:p w14:paraId="15C8EFA1" w14:textId="77777777" w:rsidR="00531864" w:rsidRPr="00BC76FD" w:rsidRDefault="00531864" w:rsidP="006E2CA0">
      <w:pPr>
        <w:pStyle w:val="References"/>
        <w:spacing w:before="0" w:line="480" w:lineRule="auto"/>
        <w:jc w:val="both"/>
        <w:rPr>
          <w:noProof/>
          <w:lang w:val="en-US"/>
        </w:rPr>
      </w:pPr>
      <w:r w:rsidRPr="00BC76FD">
        <w:rPr>
          <w:noProof/>
          <w:lang w:val="en-US"/>
        </w:rPr>
        <w:t xml:space="preserve">Inger, R., and Bearhop, S. (2008), “Applications of Stable Isotope Analyses to Avain Ecology,” </w:t>
      </w:r>
      <w:r w:rsidRPr="00BC76FD">
        <w:rPr>
          <w:i/>
          <w:iCs/>
          <w:noProof/>
          <w:lang w:val="en-US"/>
        </w:rPr>
        <w:t>Ibis</w:t>
      </w:r>
      <w:r w:rsidRPr="00BC76FD">
        <w:rPr>
          <w:noProof/>
          <w:lang w:val="en-US"/>
        </w:rPr>
        <w:t>, 150, 447-461, DOI: 10.1111/j.1474-919X.2008.00839.x.</w:t>
      </w:r>
    </w:p>
    <w:p w14:paraId="589D9F05" w14:textId="77777777" w:rsidR="00531864" w:rsidRPr="00BC76FD" w:rsidRDefault="00531864" w:rsidP="006E2CA0">
      <w:pPr>
        <w:pStyle w:val="References"/>
        <w:spacing w:before="0" w:line="480" w:lineRule="auto"/>
        <w:jc w:val="both"/>
        <w:rPr>
          <w:lang w:val="en-US"/>
        </w:rPr>
      </w:pPr>
      <w:r w:rsidRPr="00BC76FD">
        <w:rPr>
          <w:lang w:val="en-US"/>
        </w:rPr>
        <w:t xml:space="preserve">Isles, P. D. F. (2020), “The Misuse of Ratios in Ecological Stoichiometry,” </w:t>
      </w:r>
      <w:r w:rsidRPr="00BC76FD">
        <w:rPr>
          <w:i/>
          <w:iCs/>
          <w:lang w:val="en-US"/>
        </w:rPr>
        <w:t>Ecology</w:t>
      </w:r>
      <w:r w:rsidRPr="00BC76FD">
        <w:rPr>
          <w:lang w:val="en-US"/>
        </w:rPr>
        <w:t>, 101, 1-7, DOI: 10.1002/ecy.3153.</w:t>
      </w:r>
    </w:p>
    <w:p w14:paraId="31EA711D" w14:textId="77777777" w:rsidR="00531864" w:rsidRPr="00BC76FD" w:rsidRDefault="00531864" w:rsidP="006E2CA0">
      <w:pPr>
        <w:pStyle w:val="References"/>
        <w:spacing w:before="0" w:line="480" w:lineRule="auto"/>
        <w:jc w:val="both"/>
        <w:rPr>
          <w:lang w:val="en-US"/>
        </w:rPr>
      </w:pPr>
      <w:r w:rsidRPr="00BC76FD">
        <w:rPr>
          <w:lang w:val="en-US"/>
        </w:rPr>
        <w:t xml:space="preserve">Jackson, D. A., Harvey, H. H., and Somers, K. M. (1990), “Ratios in Aquatic Sciences: Statistical Shortcomings with Mean Depth and the Morphoedaphic Index,” </w:t>
      </w:r>
      <w:r w:rsidRPr="00BC76FD">
        <w:rPr>
          <w:i/>
          <w:iCs/>
          <w:lang w:val="en-US"/>
        </w:rPr>
        <w:t>Canadian Journal Fisheries and Aquatic Sciences</w:t>
      </w:r>
      <w:r w:rsidRPr="00BC76FD">
        <w:rPr>
          <w:lang w:val="en-US"/>
        </w:rPr>
        <w:t>, 47, 1788-1795, DOI: 10.1139/f90-203.</w:t>
      </w:r>
    </w:p>
    <w:p w14:paraId="0A022767" w14:textId="77777777" w:rsidR="00531864" w:rsidRPr="00BC76FD" w:rsidRDefault="00531864" w:rsidP="006E2CA0">
      <w:pPr>
        <w:pStyle w:val="References"/>
        <w:spacing w:before="0" w:line="480" w:lineRule="auto"/>
        <w:jc w:val="both"/>
        <w:rPr>
          <w:lang w:val="en-US"/>
        </w:rPr>
      </w:pPr>
      <w:r w:rsidRPr="00BC76FD">
        <w:rPr>
          <w:lang w:val="en-US"/>
        </w:rPr>
        <w:t>Jackson, P. C., Meinzer, F.C., Goldstein, G., Holbrook, N. M., Cavelier, J., and Rada, F. (1993), “Environmental and Physiological Influences on Carbon Isotope Composition of Gap and Understory Plants in a Lowland Tropical Forest,”</w:t>
      </w:r>
      <w:r w:rsidRPr="00BC76FD">
        <w:rPr>
          <w:b/>
          <w:bCs/>
          <w:lang w:val="en-US"/>
        </w:rPr>
        <w:t xml:space="preserve"> </w:t>
      </w:r>
      <w:r w:rsidRPr="00BC76FD">
        <w:rPr>
          <w:lang w:val="en-US"/>
        </w:rPr>
        <w:t xml:space="preserve">In </w:t>
      </w:r>
      <w:r w:rsidRPr="00BC76FD">
        <w:rPr>
          <w:i/>
          <w:iCs/>
          <w:lang w:val="en-US"/>
        </w:rPr>
        <w:t>Stable Isotopes and Plant Carbon-Water Relations</w:t>
      </w:r>
      <w:r w:rsidRPr="00BC76FD">
        <w:rPr>
          <w:lang w:val="en-US"/>
        </w:rPr>
        <w:t>, eds. A.H. Ehleringer, A. E. Hall, and G. Farquhar, San Diego, CA. USA: Academic Press.</w:t>
      </w:r>
    </w:p>
    <w:p w14:paraId="0FAE40EF" w14:textId="77777777" w:rsidR="00531864" w:rsidRPr="00BC76FD" w:rsidRDefault="00531864" w:rsidP="006E2CA0">
      <w:pPr>
        <w:pStyle w:val="References"/>
        <w:spacing w:before="0" w:line="480" w:lineRule="auto"/>
        <w:jc w:val="both"/>
        <w:rPr>
          <w:noProof/>
          <w:lang w:val="en-US"/>
        </w:rPr>
      </w:pPr>
      <w:r w:rsidRPr="00BC76FD">
        <w:rPr>
          <w:noProof/>
          <w:lang w:val="en-US"/>
        </w:rPr>
        <w:t>Jacobi, C. M., Villamarin, F., Jardine, T. D., and Magnusson, W.E. (2020), “Uncertainities Associated with Trophic Discrimination Factor and Body Size Complicate Calculation of d</w:t>
      </w:r>
      <w:r w:rsidRPr="00BC76FD">
        <w:rPr>
          <w:noProof/>
          <w:vertAlign w:val="superscript"/>
          <w:lang w:val="en-US"/>
        </w:rPr>
        <w:t>15</w:t>
      </w:r>
      <w:r w:rsidRPr="00BC76FD">
        <w:rPr>
          <w:noProof/>
          <w:lang w:val="en-US"/>
        </w:rPr>
        <w:t xml:space="preserve">N-Derived Trophic Positions in Arapaima sp.,” </w:t>
      </w:r>
      <w:r w:rsidRPr="00BC76FD">
        <w:rPr>
          <w:i/>
          <w:iCs/>
          <w:noProof/>
          <w:lang w:val="en-US"/>
        </w:rPr>
        <w:t>Ecology of Freshwater Fish,</w:t>
      </w:r>
      <w:r w:rsidRPr="00BC76FD">
        <w:rPr>
          <w:noProof/>
          <w:lang w:val="en-US"/>
        </w:rPr>
        <w:t xml:space="preserve"> 29, 779-789, DOI: 10.1111/eff.12553.</w:t>
      </w:r>
    </w:p>
    <w:p w14:paraId="2AFDD23D" w14:textId="77777777" w:rsidR="00531864" w:rsidRPr="00BC76FD" w:rsidRDefault="00531864" w:rsidP="006E2CA0">
      <w:pPr>
        <w:pStyle w:val="References"/>
        <w:spacing w:before="0" w:line="480" w:lineRule="auto"/>
        <w:jc w:val="both"/>
        <w:rPr>
          <w:lang w:val="en-US"/>
        </w:rPr>
      </w:pPr>
      <w:r w:rsidRPr="00BC76FD">
        <w:rPr>
          <w:lang w:val="en-US"/>
        </w:rPr>
        <w:t xml:space="preserve">Jahn, B., Gallet, S., and Han, J. (2001), “Geochemistry of Xining, Xifeng and Jixian Sections, Loess Plateau of China: Eolian Dust Provenance and Paleosol Evolution during The Last 140 ka,” </w:t>
      </w:r>
      <w:r w:rsidRPr="00BC76FD">
        <w:rPr>
          <w:i/>
          <w:iCs/>
          <w:lang w:val="en-US"/>
        </w:rPr>
        <w:t>Chemical Geology</w:t>
      </w:r>
      <w:r w:rsidRPr="00BC76FD">
        <w:rPr>
          <w:lang w:val="en-US"/>
        </w:rPr>
        <w:t>, 178, 71-94, DOI: 10.1016/S0009-2541(00)00430-7.</w:t>
      </w:r>
    </w:p>
    <w:p w14:paraId="66773796" w14:textId="77777777" w:rsidR="00531864" w:rsidRPr="00BC76FD" w:rsidRDefault="00531864" w:rsidP="006E2CA0">
      <w:pPr>
        <w:pStyle w:val="References"/>
        <w:spacing w:before="0" w:line="480" w:lineRule="auto"/>
        <w:jc w:val="both"/>
        <w:rPr>
          <w:lang w:val="en-US"/>
        </w:rPr>
      </w:pPr>
      <w:r w:rsidRPr="00BC76FD">
        <w:rPr>
          <w:lang w:val="en-US"/>
        </w:rPr>
        <w:t>Jasienski, M.</w:t>
      </w:r>
      <w:r w:rsidRPr="004D5160">
        <w:rPr>
          <w:lang w:val="en-US"/>
        </w:rPr>
        <w:t>,</w:t>
      </w:r>
      <w:r w:rsidRPr="00BC76FD">
        <w:rPr>
          <w:lang w:val="en-US"/>
        </w:rPr>
        <w:t xml:space="preserve"> and Bazzaz, F. A. (1999), “The Fallacy of Ratios and the Testability of Models in Biology,” </w:t>
      </w:r>
      <w:r w:rsidRPr="00BC76FD">
        <w:rPr>
          <w:i/>
          <w:iCs/>
          <w:lang w:val="en-US"/>
        </w:rPr>
        <w:t>Oikos</w:t>
      </w:r>
      <w:r w:rsidRPr="00BC76FD">
        <w:rPr>
          <w:lang w:val="en-US"/>
        </w:rPr>
        <w:t>, 84, 321-326, DOI: 10.2307/3546729</w:t>
      </w:r>
    </w:p>
    <w:p w14:paraId="069C75FF" w14:textId="77777777" w:rsidR="00531864" w:rsidRPr="00BC76FD" w:rsidRDefault="00531864" w:rsidP="006E2CA0">
      <w:pPr>
        <w:pStyle w:val="References"/>
        <w:spacing w:before="0" w:line="480" w:lineRule="auto"/>
        <w:jc w:val="both"/>
        <w:rPr>
          <w:lang w:val="en-US"/>
        </w:rPr>
      </w:pPr>
      <w:r w:rsidRPr="00BC76FD">
        <w:rPr>
          <w:lang w:val="en-US"/>
        </w:rPr>
        <w:lastRenderedPageBreak/>
        <w:t xml:space="preserve">Katzenberg, M. A. (2008), “Stable Isotope Analysis: A Tool for Studying Past Diet, Demography, and Life History,” In </w:t>
      </w:r>
      <w:r w:rsidRPr="00BC76FD">
        <w:rPr>
          <w:i/>
          <w:iCs/>
          <w:lang w:val="en-US"/>
        </w:rPr>
        <w:t>Biological Anthropology of the Human Skeleton</w:t>
      </w:r>
      <w:r w:rsidRPr="00BC76FD">
        <w:rPr>
          <w:lang w:val="en-US"/>
        </w:rPr>
        <w:t xml:space="preserve"> (2nd ed.)</w:t>
      </w:r>
      <w:r w:rsidRPr="004D5160">
        <w:rPr>
          <w:lang w:val="en-US"/>
        </w:rPr>
        <w:t>,</w:t>
      </w:r>
      <w:r w:rsidRPr="00BC76FD">
        <w:rPr>
          <w:lang w:val="en-US"/>
        </w:rPr>
        <w:t xml:space="preserve"> eds. M. A. Katzenberg, and S. R. Saunders, Ottawa, ON. Canada: S. R. John Wiley and Sons,</w:t>
      </w:r>
      <w:r w:rsidRPr="004D5160">
        <w:rPr>
          <w:lang w:val="en-US"/>
        </w:rPr>
        <w:t xml:space="preserve"> pp. 413-441.</w:t>
      </w:r>
    </w:p>
    <w:p w14:paraId="3B677ED2" w14:textId="77777777" w:rsidR="00531864" w:rsidRPr="00BC76FD" w:rsidRDefault="00531864" w:rsidP="006E2CA0">
      <w:pPr>
        <w:pStyle w:val="References"/>
        <w:spacing w:before="0" w:line="480" w:lineRule="auto"/>
        <w:jc w:val="both"/>
        <w:rPr>
          <w:lang w:val="en-US"/>
        </w:rPr>
      </w:pPr>
      <w:r w:rsidRPr="00BC76FD">
        <w:rPr>
          <w:lang w:val="en-US"/>
        </w:rPr>
        <w:t xml:space="preserve">Keeling, C. D. (1958), “The Concentration and Isotopic Abundances of Atmospheric Carbon Dioxide in Rural Areas,” </w:t>
      </w:r>
      <w:r w:rsidRPr="00BC76FD">
        <w:rPr>
          <w:i/>
          <w:iCs/>
          <w:lang w:val="en-US"/>
        </w:rPr>
        <w:t>Geochimica et Cosmochimica</w:t>
      </w:r>
      <w:r w:rsidRPr="00BC76FD">
        <w:rPr>
          <w:lang w:val="en-US"/>
        </w:rPr>
        <w:t>, 13, 322-334, DOI: 10.1016/0016-7037(58)90033-4.</w:t>
      </w:r>
    </w:p>
    <w:p w14:paraId="0C790733" w14:textId="77777777" w:rsidR="00531864" w:rsidRPr="00BC76FD" w:rsidRDefault="00531864" w:rsidP="006E2CA0">
      <w:pPr>
        <w:pStyle w:val="References"/>
        <w:spacing w:before="0" w:line="480" w:lineRule="auto"/>
        <w:jc w:val="both"/>
        <w:rPr>
          <w:lang w:val="en-US"/>
        </w:rPr>
      </w:pPr>
      <w:r w:rsidRPr="00BC76FD">
        <w:rPr>
          <w:shd w:val="clear" w:color="auto" w:fill="FFFFFF"/>
          <w:lang w:val="en-US"/>
        </w:rPr>
        <w:t>Kerkhoff, A. J., and Enquist, B. J. (2009), “Multiplicative by Nature: Why Logarithmic Transformation is Necessary in Allometry,”</w:t>
      </w:r>
      <w:r w:rsidRPr="00BC76FD">
        <w:rPr>
          <w:i/>
          <w:iCs/>
          <w:shd w:val="clear" w:color="auto" w:fill="FFFFFF"/>
          <w:lang w:val="en-US"/>
        </w:rPr>
        <w:t xml:space="preserve"> Journal of Theoretical Biology</w:t>
      </w:r>
      <w:r w:rsidRPr="00BC76FD">
        <w:rPr>
          <w:shd w:val="clear" w:color="auto" w:fill="FFFFFF"/>
          <w:lang w:val="en-US"/>
        </w:rPr>
        <w:t>, 257, 519-521, DOI: 10.1016/j.jtbi.2008.12.026.</w:t>
      </w:r>
    </w:p>
    <w:p w14:paraId="1A15D8E4" w14:textId="77777777" w:rsidR="00531864" w:rsidRDefault="00531864" w:rsidP="006E2CA0">
      <w:pPr>
        <w:pStyle w:val="References"/>
        <w:spacing w:before="0" w:line="480" w:lineRule="auto"/>
        <w:jc w:val="both"/>
        <w:rPr>
          <w:lang w:val="en-US"/>
        </w:rPr>
      </w:pPr>
      <w:r w:rsidRPr="00BC76FD">
        <w:rPr>
          <w:lang w:val="en-US"/>
        </w:rPr>
        <w:t xml:space="preserve">Kratochvil, L., and Fleger, J. (2009), “Differences in the 2nd to 4th Digit Length Ratio in Humans Reflect Shifts along the Common Allometric Line,” </w:t>
      </w:r>
      <w:r w:rsidRPr="00BC76FD">
        <w:rPr>
          <w:i/>
          <w:iCs/>
          <w:lang w:val="en-US"/>
        </w:rPr>
        <w:t>Biology letters</w:t>
      </w:r>
      <w:r w:rsidRPr="00BC76FD">
        <w:rPr>
          <w:lang w:val="en-US"/>
        </w:rPr>
        <w:t>, 5, 643-646, DOI: 10.1098/rsbl.2009.0346.</w:t>
      </w:r>
    </w:p>
    <w:p w14:paraId="7AFC2C65" w14:textId="0AD1ED04" w:rsidR="00316A5E" w:rsidRPr="00BC76FD" w:rsidRDefault="00316A5E" w:rsidP="006E2CA0">
      <w:pPr>
        <w:pStyle w:val="References"/>
        <w:spacing w:before="0" w:line="480" w:lineRule="auto"/>
        <w:jc w:val="both"/>
        <w:rPr>
          <w:lang w:val="en-US"/>
        </w:rPr>
      </w:pPr>
      <w:r>
        <w:t xml:space="preserve">Lerch, T. Z., Nunan, N., Dignac, M. F., Chenu, C., &amp; Mariotti, A. (2011). Variations in microbial isotopic fractionation during soil organic matter decomposition. </w:t>
      </w:r>
      <w:r>
        <w:rPr>
          <w:i/>
          <w:iCs/>
        </w:rPr>
        <w:t>Biogeochemistry</w:t>
      </w:r>
      <w:r>
        <w:t xml:space="preserve">, </w:t>
      </w:r>
      <w:r>
        <w:rPr>
          <w:i/>
          <w:iCs/>
        </w:rPr>
        <w:t>106</w:t>
      </w:r>
      <w:r>
        <w:t>, 5-21, DOI:10.1007/s10533-010-9432-7</w:t>
      </w:r>
    </w:p>
    <w:p w14:paraId="532E607E" w14:textId="77777777" w:rsidR="00531864" w:rsidRPr="00BC76FD" w:rsidRDefault="00531864" w:rsidP="006E2CA0">
      <w:pPr>
        <w:pStyle w:val="References"/>
        <w:spacing w:before="0" w:line="480" w:lineRule="auto"/>
        <w:jc w:val="both"/>
        <w:rPr>
          <w:lang w:val="en-US"/>
        </w:rPr>
      </w:pPr>
      <w:r w:rsidRPr="00BC76FD">
        <w:rPr>
          <w:lang w:val="en-US"/>
        </w:rPr>
        <w:t xml:space="preserve">Leslie, M. (2019), “The Mismeasure of Hands?” </w:t>
      </w:r>
      <w:r w:rsidRPr="00BC76FD">
        <w:rPr>
          <w:i/>
          <w:iCs/>
          <w:lang w:val="en-US"/>
        </w:rPr>
        <w:t>Science,</w:t>
      </w:r>
      <w:r w:rsidRPr="00BC76FD">
        <w:rPr>
          <w:lang w:val="en-US"/>
        </w:rPr>
        <w:t xml:space="preserve"> 364, 923-925, DOI: 10.1126/science.364.6444.923.</w:t>
      </w:r>
    </w:p>
    <w:p w14:paraId="3538AE6C" w14:textId="77777777" w:rsidR="00531864" w:rsidRPr="00BC76FD" w:rsidRDefault="00531864" w:rsidP="006E2CA0">
      <w:pPr>
        <w:pStyle w:val="References"/>
        <w:spacing w:before="0" w:line="480" w:lineRule="auto"/>
        <w:jc w:val="both"/>
        <w:rPr>
          <w:lang w:val="en-US"/>
        </w:rPr>
      </w:pPr>
      <w:r w:rsidRPr="00BC76FD">
        <w:rPr>
          <w:lang w:val="en-US"/>
        </w:rPr>
        <w:t>Li, H. C., Ku, T. L., You, C F., Cheng, H., Edwards, R. L., Ma, Z. B., Tsai, W. S., and Li, M. D. (2005), “</w:t>
      </w:r>
      <w:r w:rsidRPr="00BC76FD">
        <w:rPr>
          <w:vertAlign w:val="superscript"/>
          <w:lang w:val="en-US"/>
        </w:rPr>
        <w:t>87</w:t>
      </w:r>
      <w:r w:rsidRPr="00BC76FD">
        <w:rPr>
          <w:lang w:val="en-US"/>
        </w:rPr>
        <w:t>Sr/</w:t>
      </w:r>
      <w:r w:rsidRPr="00BC76FD">
        <w:rPr>
          <w:vertAlign w:val="superscript"/>
          <w:lang w:val="en-US"/>
        </w:rPr>
        <w:t>86</w:t>
      </w:r>
      <w:r w:rsidRPr="00BC76FD">
        <w:rPr>
          <w:lang w:val="en-US"/>
        </w:rPr>
        <w:t xml:space="preserve">Sr and Sr/Ca in Speleothems for Paleoclimate Reconstruction in Central China between 70 and 280 kyr ago,” </w:t>
      </w:r>
      <w:r w:rsidRPr="00BC76FD">
        <w:rPr>
          <w:i/>
          <w:iCs/>
          <w:lang w:val="en-US"/>
        </w:rPr>
        <w:t>Geochimica et Cosmochimica Acta</w:t>
      </w:r>
      <w:r w:rsidRPr="00BC76FD">
        <w:rPr>
          <w:lang w:val="en-US"/>
        </w:rPr>
        <w:t>, 69, 3933-3947, DOI: 10.1016/j.gca.2005.01.009.</w:t>
      </w:r>
    </w:p>
    <w:p w14:paraId="5A88273F" w14:textId="77777777" w:rsidR="00531864" w:rsidRPr="00BC76FD" w:rsidRDefault="00531864" w:rsidP="006E2CA0">
      <w:pPr>
        <w:pStyle w:val="References"/>
        <w:spacing w:before="0" w:line="480" w:lineRule="auto"/>
        <w:jc w:val="both"/>
        <w:rPr>
          <w:lang w:val="en-US"/>
        </w:rPr>
      </w:pPr>
      <w:r w:rsidRPr="00BC76FD">
        <w:rPr>
          <w:lang w:val="en-US"/>
        </w:rPr>
        <w:t xml:space="preserve">McGarvey, D. J. (2020), “Individual Level Data Reveal High Prevalence of Positive Size Trophic Position Relationship for Vertebrates,” </w:t>
      </w:r>
      <w:r w:rsidRPr="00BC76FD">
        <w:rPr>
          <w:i/>
          <w:iCs/>
          <w:lang w:val="en-US"/>
        </w:rPr>
        <w:t>Freshwater Biology,</w:t>
      </w:r>
      <w:r w:rsidRPr="00BC76FD">
        <w:rPr>
          <w:lang w:val="en-US"/>
        </w:rPr>
        <w:t xml:space="preserve"> 66, 628-639, DOI: 10.1111/fwb.13666.</w:t>
      </w:r>
    </w:p>
    <w:p w14:paraId="345676B3" w14:textId="77777777" w:rsidR="00531864" w:rsidRPr="00BC76FD" w:rsidRDefault="00531864" w:rsidP="006E2CA0">
      <w:pPr>
        <w:pStyle w:val="References"/>
        <w:spacing w:before="0" w:line="480" w:lineRule="auto"/>
        <w:jc w:val="both"/>
        <w:rPr>
          <w:lang w:val="en-US"/>
        </w:rPr>
      </w:pPr>
      <w:r w:rsidRPr="00BC76FD">
        <w:rPr>
          <w:lang w:val="en-US"/>
        </w:rPr>
        <w:lastRenderedPageBreak/>
        <w:t xml:space="preserve">Mobius, J. (2013), “Isotope Fractionation during Nitrogen Remineralization (Ammonification): Implications for Nitrogen Isotope Biogeochemistry,” </w:t>
      </w:r>
      <w:r w:rsidRPr="00BC76FD">
        <w:rPr>
          <w:i/>
          <w:iCs/>
          <w:lang w:val="en-US"/>
        </w:rPr>
        <w:t>Geochimica et Cosmochimica Acta</w:t>
      </w:r>
      <w:r w:rsidRPr="00BC76FD">
        <w:rPr>
          <w:lang w:val="en-US"/>
        </w:rPr>
        <w:t>, 105, 422-432, DOI: 10.1016/j.gca.2012.11.048.</w:t>
      </w:r>
    </w:p>
    <w:p w14:paraId="7414908F" w14:textId="77777777" w:rsidR="00531864" w:rsidRPr="00BC76FD" w:rsidRDefault="00531864" w:rsidP="006E2CA0">
      <w:pPr>
        <w:pStyle w:val="References"/>
        <w:spacing w:before="0" w:line="480" w:lineRule="auto"/>
        <w:jc w:val="both"/>
        <w:rPr>
          <w:lang w:val="en-US"/>
        </w:rPr>
      </w:pPr>
      <w:r w:rsidRPr="00BC76FD">
        <w:rPr>
          <w:lang w:val="en-US"/>
        </w:rPr>
        <w:t xml:space="preserve">Montgomery, J., and Evans, J. A. (2006), “Immigrants on the Isle of Lewis - Combining Traditional Funerary and Modern Isotopic Evidence to Investigate Social Differentiation, Migration and Dietary Change in the Outer Hebrides of Scotland,” In </w:t>
      </w:r>
      <w:r w:rsidRPr="00BC76FD">
        <w:rPr>
          <w:i/>
          <w:iCs/>
          <w:lang w:val="en-US"/>
        </w:rPr>
        <w:t>Social Archaeology of Funerary Remains</w:t>
      </w:r>
      <w:r w:rsidRPr="00BC76FD">
        <w:rPr>
          <w:lang w:val="en-US"/>
        </w:rPr>
        <w:t>, eds. R. Gowland, and C. Knusel, Oxbow: Oxford</w:t>
      </w:r>
      <w:r w:rsidRPr="004D5160">
        <w:rPr>
          <w:lang w:val="en-US"/>
        </w:rPr>
        <w:t>, pp. 123-142</w:t>
      </w:r>
      <w:r w:rsidRPr="00BC76FD">
        <w:rPr>
          <w:lang w:val="en-US"/>
        </w:rPr>
        <w:t xml:space="preserve">. </w:t>
      </w:r>
    </w:p>
    <w:p w14:paraId="53FAAE7E" w14:textId="77777777" w:rsidR="00531864" w:rsidRDefault="00531864" w:rsidP="006E2CA0">
      <w:pPr>
        <w:pStyle w:val="References"/>
        <w:spacing w:before="0" w:line="480" w:lineRule="auto"/>
        <w:jc w:val="both"/>
        <w:rPr>
          <w:lang w:val="en-US"/>
        </w:rPr>
      </w:pPr>
      <w:r w:rsidRPr="00BC76FD">
        <w:rPr>
          <w:lang w:val="en-US"/>
        </w:rPr>
        <w:t>Montgomery, J., Evans, J. A.</w:t>
      </w:r>
      <w:r w:rsidRPr="004D5160">
        <w:rPr>
          <w:lang w:val="en-US"/>
        </w:rPr>
        <w:t>,</w:t>
      </w:r>
      <w:r w:rsidRPr="00BC76FD">
        <w:rPr>
          <w:lang w:val="en-US"/>
        </w:rPr>
        <w:t xml:space="preserve"> and Cooper, R. E. (2005), “Resolving Archaeological Populations with Strontium Mixing Diagrams,” </w:t>
      </w:r>
      <w:r w:rsidRPr="00BC76FD">
        <w:rPr>
          <w:i/>
          <w:iCs/>
          <w:lang w:val="en-US"/>
        </w:rPr>
        <w:t>Geological Research Abstracts</w:t>
      </w:r>
      <w:r w:rsidRPr="00BC76FD">
        <w:rPr>
          <w:lang w:val="en-US"/>
        </w:rPr>
        <w:t>, 17, 10020.</w:t>
      </w:r>
    </w:p>
    <w:p w14:paraId="2AB67829" w14:textId="57E28D5B" w:rsidR="001D2466" w:rsidRPr="001D2466" w:rsidRDefault="001D2466" w:rsidP="001D2466">
      <w:pPr>
        <w:pStyle w:val="EndNoteBibliography"/>
        <w:spacing w:after="0" w:line="480" w:lineRule="auto"/>
        <w:ind w:left="720" w:hanging="720"/>
        <w:contextualSpacing/>
        <w:rPr>
          <w:rFonts w:ascii="Times New Roman" w:hAnsi="Times New Roman"/>
        </w:rPr>
      </w:pPr>
      <w:r w:rsidRPr="00743677">
        <w:rPr>
          <w:rFonts w:ascii="Times New Roman" w:hAnsi="Times New Roman"/>
        </w:rPr>
        <w:t>M</w:t>
      </w:r>
      <w:r>
        <w:rPr>
          <w:rFonts w:ascii="Times New Roman" w:hAnsi="Times New Roman"/>
        </w:rPr>
        <w:t xml:space="preserve">oots, K. Nguyen, C. P Nguyen C. Camacho, F., Lindstrom, D., and Righetti, T, L. (2024). </w:t>
      </w:r>
      <w:r w:rsidRPr="00743677">
        <w:rPr>
          <w:rFonts w:ascii="Times New Roman" w:hAnsi="Times New Roman"/>
        </w:rPr>
        <w:t xml:space="preserve">A mathematical explanation for why ratio-based isotopic analyses are commonly misleading: </w:t>
      </w:r>
      <w:r w:rsidR="00A917BA">
        <w:rPr>
          <w:rFonts w:ascii="Times New Roman" w:hAnsi="Times New Roman"/>
        </w:rPr>
        <w:t>D</w:t>
      </w:r>
      <w:r w:rsidRPr="00743677">
        <w:rPr>
          <w:rFonts w:ascii="Times New Roman" w:hAnsi="Times New Roman"/>
        </w:rPr>
        <w:t xml:space="preserve">ealing with confounded isotopic ratios. </w:t>
      </w:r>
      <w:r>
        <w:rPr>
          <w:rFonts w:ascii="Times New Roman" w:hAnsi="Times New Roman"/>
        </w:rPr>
        <w:t xml:space="preserve">Scientific Reports </w:t>
      </w:r>
      <w:r>
        <w:rPr>
          <w:rFonts w:ascii="Times New Roman" w:hAnsi="Times New Roman"/>
          <w:i/>
        </w:rPr>
        <w:t xml:space="preserve">this issue </w:t>
      </w:r>
      <w:r>
        <w:rPr>
          <w:rFonts w:ascii="Times New Roman" w:hAnsi="Times New Roman"/>
        </w:rPr>
        <w:t>.</w:t>
      </w:r>
    </w:p>
    <w:p w14:paraId="1805C3C5" w14:textId="77777777" w:rsidR="00531864" w:rsidRDefault="00531864" w:rsidP="006E2CA0">
      <w:pPr>
        <w:pStyle w:val="References"/>
        <w:spacing w:before="0" w:line="480" w:lineRule="auto"/>
        <w:jc w:val="both"/>
        <w:rPr>
          <w:lang w:val="en-US"/>
        </w:rPr>
      </w:pPr>
      <w:r w:rsidRPr="00DD2C1A">
        <w:rPr>
          <w:lang w:val="en-US"/>
        </w:rPr>
        <w:t xml:space="preserve">Moyo, S., Bennadji, H., Laguaite, D., Pérez-Umphrey, A. A., Snider, A. M., Bonisoli-Alquati, A., et al. (2021), “Stable Isotope Analyses Identify Trophic Niche Partitioning between Sympatric Terrestrial Vertebrates in Coastal Saltmarshes with Differing Oiling Histories,” </w:t>
      </w:r>
      <w:r w:rsidRPr="00DD2C1A">
        <w:rPr>
          <w:i/>
          <w:iCs/>
          <w:lang w:val="en-US"/>
        </w:rPr>
        <w:t>PeerJ</w:t>
      </w:r>
      <w:r w:rsidRPr="00DD2C1A">
        <w:rPr>
          <w:lang w:val="en-US"/>
        </w:rPr>
        <w:t>, 9, e11392, DOI: 10.7717/peerj.11392.</w:t>
      </w:r>
    </w:p>
    <w:p w14:paraId="303409E6" w14:textId="77777777" w:rsidR="00531864" w:rsidRPr="00BC76FD" w:rsidRDefault="00531864" w:rsidP="006E2CA0">
      <w:pPr>
        <w:pStyle w:val="References"/>
        <w:spacing w:before="0" w:line="480" w:lineRule="auto"/>
        <w:jc w:val="both"/>
        <w:rPr>
          <w:lang w:val="en-US"/>
        </w:rPr>
      </w:pPr>
      <w:r w:rsidRPr="00BC76FD">
        <w:rPr>
          <w:lang w:val="en-US"/>
        </w:rPr>
        <w:t xml:space="preserve">O’Reilly, C. M., Alan, S. R., Pilisnier, P., Cohen, A. S., and Mckee, B. A. (2003), “Climate Change Decreases Aquatic Ecosystem Productivity of Lake Tanganykik, Africa,” </w:t>
      </w:r>
      <w:r w:rsidRPr="00BC76FD">
        <w:rPr>
          <w:i/>
          <w:iCs/>
          <w:lang w:val="en-US"/>
        </w:rPr>
        <w:t>Nature</w:t>
      </w:r>
      <w:r w:rsidRPr="00BC76FD">
        <w:rPr>
          <w:lang w:val="en-US"/>
        </w:rPr>
        <w:t>, 6950, 766-768, DOI: 10.1038/nature01833.</w:t>
      </w:r>
    </w:p>
    <w:p w14:paraId="576C9246" w14:textId="77777777" w:rsidR="00531864" w:rsidRPr="00BC76FD" w:rsidRDefault="00531864" w:rsidP="006E2CA0">
      <w:pPr>
        <w:pStyle w:val="References"/>
        <w:spacing w:before="0" w:line="480" w:lineRule="auto"/>
        <w:jc w:val="both"/>
        <w:rPr>
          <w:lang w:val="en-US"/>
        </w:rPr>
      </w:pPr>
      <w:r w:rsidRPr="00BC76FD">
        <w:rPr>
          <w:lang w:val="en-US"/>
        </w:rPr>
        <w:t xml:space="preserve">Packard, G. C., and Boardman, T. J. (1998), “The Misuse of Indices and Percentages in Ecophysiological Research,” </w:t>
      </w:r>
      <w:r w:rsidRPr="00BC76FD">
        <w:rPr>
          <w:i/>
          <w:iCs/>
          <w:lang w:val="en-US"/>
        </w:rPr>
        <w:t>Physiological Zoology</w:t>
      </w:r>
      <w:r w:rsidRPr="00BC76FD">
        <w:rPr>
          <w:lang w:val="en-US"/>
        </w:rPr>
        <w:t>, 61, 1-9, DOI: 10.1086/physzool.61.1.30163730.</w:t>
      </w:r>
    </w:p>
    <w:p w14:paraId="7B345979" w14:textId="77777777" w:rsidR="00531864" w:rsidRPr="00BC76FD" w:rsidRDefault="00531864" w:rsidP="006E2CA0">
      <w:pPr>
        <w:pStyle w:val="References"/>
        <w:spacing w:before="0" w:line="480" w:lineRule="auto"/>
        <w:jc w:val="both"/>
        <w:rPr>
          <w:lang w:val="en-US"/>
        </w:rPr>
      </w:pPr>
      <w:r w:rsidRPr="00BC76FD">
        <w:rPr>
          <w:lang w:val="en-US"/>
        </w:rPr>
        <w:lastRenderedPageBreak/>
        <w:t xml:space="preserve">Pataki, L., Ehleringer, J. R., Flanagan, L. B., Yakir, D., Bowling, D. R., Still, C. J., </w:t>
      </w:r>
      <w:r w:rsidRPr="004D5160">
        <w:rPr>
          <w:lang w:val="en-US"/>
        </w:rPr>
        <w:t>et al</w:t>
      </w:r>
      <w:r w:rsidRPr="00BC76FD">
        <w:rPr>
          <w:lang w:val="en-US"/>
        </w:rPr>
        <w:t xml:space="preserve">. (2003), “The Application and Interpretation of Keeling Plots in Terrestrial Carbon Cycle Research,” </w:t>
      </w:r>
      <w:r w:rsidRPr="00BC76FD">
        <w:rPr>
          <w:i/>
          <w:iCs/>
          <w:lang w:val="en-US"/>
        </w:rPr>
        <w:t>Global Biochemical Cycles</w:t>
      </w:r>
      <w:r w:rsidRPr="00BC76FD">
        <w:rPr>
          <w:lang w:val="en-US"/>
        </w:rPr>
        <w:t>, 25, 1-14, DOI: 10.1029/2001GB001850.</w:t>
      </w:r>
    </w:p>
    <w:p w14:paraId="22597331" w14:textId="77777777" w:rsidR="00531864" w:rsidRPr="00BC76FD" w:rsidRDefault="00531864" w:rsidP="006E2CA0">
      <w:pPr>
        <w:pStyle w:val="References"/>
        <w:spacing w:before="0" w:line="480" w:lineRule="auto"/>
        <w:jc w:val="both"/>
        <w:rPr>
          <w:lang w:val="en-US"/>
        </w:rPr>
      </w:pPr>
      <w:r w:rsidRPr="00BC76FD">
        <w:rPr>
          <w:lang w:val="en-US"/>
        </w:rPr>
        <w:t xml:space="preserve">Pearson, K. (1897), “Mathematical Contribution to the Theory of Evolution: On a Form of Spurious Correlation Which May Arise When Indices are Used in the Measurement of Organs,” </w:t>
      </w:r>
      <w:r w:rsidRPr="00BC76FD">
        <w:rPr>
          <w:i/>
          <w:iCs/>
          <w:lang w:val="en-US"/>
        </w:rPr>
        <w:t>Proceeding of the Royal Society of London</w:t>
      </w:r>
      <w:r w:rsidRPr="00BC76FD">
        <w:rPr>
          <w:lang w:val="en-US"/>
        </w:rPr>
        <w:t>, 60, 489-498, DOI: 10.1098/rspl.1896.0076.</w:t>
      </w:r>
    </w:p>
    <w:p w14:paraId="5CA4D892" w14:textId="77777777" w:rsidR="00531864" w:rsidRPr="00BC76FD" w:rsidRDefault="00531864" w:rsidP="006E2CA0">
      <w:pPr>
        <w:pStyle w:val="References"/>
        <w:spacing w:before="0" w:line="480" w:lineRule="auto"/>
        <w:jc w:val="both"/>
        <w:rPr>
          <w:lang w:val="en-US"/>
        </w:rPr>
      </w:pPr>
      <w:r w:rsidRPr="00BC76FD">
        <w:rPr>
          <w:lang w:val="en-US"/>
        </w:rPr>
        <w:t xml:space="preserve">Pearson, S. F., Levey, D. J., and Greenberg, C. H. (2003), “Effects of Elemental Composition on the Incorporation of Dietary Nitrogen and Carbon Isotopic Signatures in an Omnivorous Songbird,” </w:t>
      </w:r>
      <w:r w:rsidRPr="00BC76FD">
        <w:rPr>
          <w:i/>
          <w:iCs/>
          <w:lang w:val="en-US"/>
        </w:rPr>
        <w:t>Oecologia</w:t>
      </w:r>
      <w:r w:rsidRPr="00BC76FD">
        <w:rPr>
          <w:lang w:val="en-US"/>
        </w:rPr>
        <w:t>, 135, 516-523, DOI: 10.1007/s00442-003-1221-8.</w:t>
      </w:r>
    </w:p>
    <w:p w14:paraId="378FD070" w14:textId="77777777" w:rsidR="00531864" w:rsidRDefault="00531864" w:rsidP="006E2CA0">
      <w:pPr>
        <w:pStyle w:val="References"/>
        <w:spacing w:before="0" w:line="480" w:lineRule="auto"/>
        <w:jc w:val="both"/>
        <w:rPr>
          <w:lang w:val="en-US"/>
        </w:rPr>
      </w:pPr>
      <w:r w:rsidRPr="00BC76FD">
        <w:rPr>
          <w:lang w:val="en-US"/>
        </w:rPr>
        <w:t xml:space="preserve">Phillips, D. L., and Koch, P. L. (2002), “Incorporating Concentration Dependence in Stable Isotope Mixing Models,” </w:t>
      </w:r>
      <w:r w:rsidRPr="00BC76FD">
        <w:rPr>
          <w:i/>
          <w:iCs/>
          <w:lang w:val="en-US"/>
        </w:rPr>
        <w:t>Oecologia</w:t>
      </w:r>
      <w:r w:rsidRPr="00BC76FD">
        <w:rPr>
          <w:lang w:val="en-US"/>
        </w:rPr>
        <w:t>, 130, 114-125, DOI: 10.1007/s004420100786.</w:t>
      </w:r>
    </w:p>
    <w:p w14:paraId="233C2005" w14:textId="77777777" w:rsidR="00531864" w:rsidRPr="00D55EBD" w:rsidRDefault="00531864" w:rsidP="006E2CA0">
      <w:pPr>
        <w:pStyle w:val="References"/>
        <w:spacing w:before="0" w:line="480" w:lineRule="auto"/>
        <w:jc w:val="both"/>
      </w:pPr>
      <w:r w:rsidRPr="00D55EBD">
        <w:t xml:space="preserve">Reitsema, L. J. (2013), “Beyond Diet Reconstruction: Stable Isotope Applications to Human Physiology, Health, and Nutrition,” </w:t>
      </w:r>
      <w:r w:rsidRPr="00D55EBD">
        <w:rPr>
          <w:i/>
          <w:iCs/>
        </w:rPr>
        <w:t>American Journal of Human Biology</w:t>
      </w:r>
      <w:r w:rsidRPr="00D55EBD">
        <w:t>, 25, 445-456, DOI: 10.1002/aajhb.22398.</w:t>
      </w:r>
    </w:p>
    <w:p w14:paraId="54A536A8" w14:textId="77777777" w:rsidR="00531864" w:rsidRPr="00BC76FD" w:rsidRDefault="00531864" w:rsidP="006E2CA0">
      <w:pPr>
        <w:pStyle w:val="References"/>
        <w:spacing w:before="0" w:line="480" w:lineRule="auto"/>
        <w:jc w:val="both"/>
        <w:rPr>
          <w:lang w:val="en-US"/>
        </w:rPr>
      </w:pPr>
      <w:r w:rsidRPr="00BC76FD">
        <w:rPr>
          <w:lang w:val="en-US"/>
        </w:rPr>
        <w:t xml:space="preserve">Richardson, T. (2020), “Ratios in the Evolutionary Behavioural Sciences: Problems and Solutions,” PsyArXiv. DOI: 10.31234/osf.io/j7vem </w:t>
      </w:r>
    </w:p>
    <w:p w14:paraId="612EB8E0" w14:textId="77777777" w:rsidR="00531864" w:rsidRPr="00BC76FD" w:rsidRDefault="00531864" w:rsidP="006E2CA0">
      <w:pPr>
        <w:pStyle w:val="References"/>
        <w:spacing w:before="0" w:line="480" w:lineRule="auto"/>
        <w:jc w:val="both"/>
        <w:rPr>
          <w:lang w:val="en-US"/>
        </w:rPr>
      </w:pPr>
      <w:r w:rsidRPr="00BC76FD">
        <w:rPr>
          <w:lang w:val="en-US"/>
        </w:rPr>
        <w:t xml:space="preserve">Righetti, T. L., Sandrock, D. R. Strik, B., Vasconcelos, C., Moreno, Y., Oretega-Farias, S., </w:t>
      </w:r>
      <w:r w:rsidRPr="004D5160">
        <w:rPr>
          <w:lang w:val="en-US"/>
        </w:rPr>
        <w:t>et al</w:t>
      </w:r>
      <w:r w:rsidRPr="00BC76FD">
        <w:rPr>
          <w:lang w:val="en-US"/>
        </w:rPr>
        <w:t xml:space="preserve">. (2007a), “Analysis of Ratio-Based Responses,” </w:t>
      </w:r>
      <w:r w:rsidRPr="00BC76FD">
        <w:rPr>
          <w:i/>
          <w:iCs/>
          <w:lang w:val="en-US"/>
        </w:rPr>
        <w:t>Journal of the American Society for Horticultural Science</w:t>
      </w:r>
      <w:r w:rsidRPr="00BC76FD">
        <w:rPr>
          <w:lang w:val="en-US"/>
        </w:rPr>
        <w:t>, 132, 3-13, DOI: 10.21273/JASHS.132.1.3.</w:t>
      </w:r>
    </w:p>
    <w:p w14:paraId="58774E27" w14:textId="77777777" w:rsidR="00531864" w:rsidRDefault="00531864" w:rsidP="006E2CA0">
      <w:pPr>
        <w:pStyle w:val="References"/>
        <w:spacing w:before="0" w:line="480" w:lineRule="auto"/>
        <w:jc w:val="both"/>
        <w:rPr>
          <w:lang w:val="en-US"/>
        </w:rPr>
      </w:pPr>
      <w:r w:rsidRPr="00BC76FD">
        <w:rPr>
          <w:lang w:val="en-US"/>
        </w:rPr>
        <w:t xml:space="preserve">Righetti, T. L., Dalthorp, D., Sandrock, D., Strik, B., Banados, P., and Zhou, Z. (2007b), “Slope-Based and Ratio-Based Approaches to Determine Fertiliser-Derived N in Plant Tissues for Established Perennial Plants,” </w:t>
      </w:r>
      <w:r w:rsidRPr="00BC76FD">
        <w:rPr>
          <w:i/>
          <w:iCs/>
          <w:lang w:val="en-US"/>
        </w:rPr>
        <w:t>The Journal of Horticultural Science and Biotechnology</w:t>
      </w:r>
      <w:r w:rsidRPr="00BC76FD">
        <w:rPr>
          <w:lang w:val="en-US"/>
        </w:rPr>
        <w:t>, 82, 641-647, DOI: 10.1080/14620316.2007.11512285.</w:t>
      </w:r>
    </w:p>
    <w:p w14:paraId="73FE13C5" w14:textId="77777777" w:rsidR="00531864" w:rsidRPr="00DD2C1A" w:rsidRDefault="00531864" w:rsidP="006E2CA0">
      <w:pPr>
        <w:pStyle w:val="References"/>
        <w:spacing w:before="0" w:line="480" w:lineRule="auto"/>
        <w:jc w:val="both"/>
        <w:rPr>
          <w:lang w:val="en-US"/>
        </w:rPr>
      </w:pPr>
      <w:r>
        <w:lastRenderedPageBreak/>
        <w:t xml:space="preserve">Righetti, T.L., Sandrock, D.R., Strik, B. and Azarenko, A. (2007c). “Appropriate analysis and interpretation approaches to determine fertilizer-derived nitrogen in plant tissues.” </w:t>
      </w:r>
      <w:r>
        <w:rPr>
          <w:i/>
          <w:iCs/>
        </w:rPr>
        <w:t>Journal of the American Society for Horticultural Science</w:t>
      </w:r>
      <w:r>
        <w:t xml:space="preserve">, </w:t>
      </w:r>
      <w:r w:rsidRPr="00F8743C">
        <w:t>132</w:t>
      </w:r>
      <w:r>
        <w:t>, 429-436, DOI: 10.21273/jash.132.3.429</w:t>
      </w:r>
    </w:p>
    <w:p w14:paraId="75495217" w14:textId="77777777" w:rsidR="00531864" w:rsidRDefault="00531864" w:rsidP="006E2CA0">
      <w:pPr>
        <w:pStyle w:val="References"/>
        <w:spacing w:before="0" w:line="480" w:lineRule="auto"/>
        <w:jc w:val="both"/>
        <w:rPr>
          <w:lang w:val="en-US"/>
        </w:rPr>
      </w:pPr>
      <w:r w:rsidRPr="00BC76FD">
        <w:rPr>
          <w:lang w:val="en-US"/>
        </w:rPr>
        <w:t>Righetti, T. L., Dalthorp D., Lambrinos, J. D.</w:t>
      </w:r>
      <w:r w:rsidRPr="004D5160">
        <w:rPr>
          <w:lang w:val="en-US"/>
        </w:rPr>
        <w:t>,</w:t>
      </w:r>
      <w:r w:rsidRPr="00BC76FD">
        <w:rPr>
          <w:lang w:val="en-US"/>
        </w:rPr>
        <w:t xml:space="preserve"> Strik, B., Sandrock, D., and Phillips, C. (2012), “Scaling Confounds the Interpretation of Isotopic Data,” </w:t>
      </w:r>
      <w:r w:rsidRPr="00BC76FD">
        <w:rPr>
          <w:i/>
          <w:iCs/>
          <w:lang w:val="en-US"/>
        </w:rPr>
        <w:t>International Journal of Environmental Analytical Chemistry</w:t>
      </w:r>
      <w:r w:rsidRPr="00BC76FD">
        <w:rPr>
          <w:lang w:val="en-US"/>
        </w:rPr>
        <w:t>, 92, 1-27, DOI: 10.1080/03067319.2010.522236.</w:t>
      </w:r>
    </w:p>
    <w:p w14:paraId="18DF415B" w14:textId="77777777" w:rsidR="00531864" w:rsidRPr="00BC76FD" w:rsidRDefault="00531864" w:rsidP="006E2CA0">
      <w:pPr>
        <w:pStyle w:val="References"/>
        <w:spacing w:before="0" w:line="480" w:lineRule="auto"/>
        <w:jc w:val="both"/>
        <w:rPr>
          <w:lang w:val="en-US"/>
        </w:rPr>
      </w:pPr>
      <w:r w:rsidRPr="00BC76FD">
        <w:rPr>
          <w:lang w:val="en-US"/>
        </w:rPr>
        <w:t xml:space="preserve">Sanchez, E. E., Righetti, T. L., and Lombard, P. B. (1992), “Effects of Timing on Nitrogen Application on Nitrogen Partitioning Between Vegetative, Reproductive, and Structural Components of Mature ‘Comice’ Pears,” </w:t>
      </w:r>
      <w:r w:rsidRPr="00BC76FD">
        <w:rPr>
          <w:i/>
          <w:iCs/>
          <w:lang w:val="en-US"/>
        </w:rPr>
        <w:t>Journal of Horticultural Science,</w:t>
      </w:r>
      <w:r w:rsidRPr="00BC76FD">
        <w:rPr>
          <w:lang w:val="en-US"/>
        </w:rPr>
        <w:t xml:space="preserve"> 67, 51-58, DOI: 10.1080/00221589.1992.11516220.</w:t>
      </w:r>
    </w:p>
    <w:p w14:paraId="47DB036B" w14:textId="77777777" w:rsidR="00531864" w:rsidRPr="00BC76FD" w:rsidRDefault="00531864" w:rsidP="006E2CA0">
      <w:pPr>
        <w:pStyle w:val="References"/>
        <w:spacing w:before="0" w:line="480" w:lineRule="auto"/>
        <w:jc w:val="both"/>
        <w:rPr>
          <w:lang w:val="en-US"/>
        </w:rPr>
      </w:pPr>
      <w:r w:rsidRPr="00BC76FD">
        <w:rPr>
          <w:lang w:val="en-US"/>
        </w:rPr>
        <w:t xml:space="preserve">Sandrock, D. R., Righetti, T. L., and Azarenko, A. N. (2005), “Isotopic and Nonisotopic Estimation of Nitrogen Uptake Efficiency in Container-Grown Woody Ornamentals,” </w:t>
      </w:r>
      <w:r w:rsidRPr="00BC76FD">
        <w:rPr>
          <w:i/>
          <w:iCs/>
          <w:lang w:val="en-US"/>
        </w:rPr>
        <w:t>HortScience</w:t>
      </w:r>
      <w:r w:rsidRPr="00BC76FD">
        <w:rPr>
          <w:lang w:val="en-US"/>
        </w:rPr>
        <w:t>, 40, 665-669, DOI: 10.21273/HORTSCI.40.3.665.</w:t>
      </w:r>
    </w:p>
    <w:p w14:paraId="381F0506" w14:textId="77777777" w:rsidR="00531864" w:rsidRPr="00BC76FD" w:rsidRDefault="00531864" w:rsidP="006E2CA0">
      <w:pPr>
        <w:pStyle w:val="References"/>
        <w:spacing w:before="0" w:line="480" w:lineRule="auto"/>
        <w:jc w:val="both"/>
        <w:rPr>
          <w:lang w:val="en-US"/>
        </w:rPr>
      </w:pPr>
      <w:r w:rsidRPr="00BC76FD">
        <w:rPr>
          <w:lang w:val="en-US"/>
        </w:rPr>
        <w:t xml:space="preserve">Sara, G., Scilipoti, D., Mazzola, A., and Modica, A. (2004), “Effects of Fish Farming Waste to Sedimentary and Particulate Organic Matter in a Southern Mediterranean Area (Gulf of Castellammare, Sicily): A Multiple Stable Isotope Study (ð </w:t>
      </w:r>
      <w:r w:rsidRPr="00BC76FD">
        <w:rPr>
          <w:vertAlign w:val="superscript"/>
          <w:lang w:val="en-US"/>
        </w:rPr>
        <w:t>13</w:t>
      </w:r>
      <w:r w:rsidRPr="00BC76FD">
        <w:rPr>
          <w:lang w:val="en-US"/>
        </w:rPr>
        <w:t>C and ð</w:t>
      </w:r>
      <w:r w:rsidRPr="00BC76FD">
        <w:rPr>
          <w:vertAlign w:val="superscript"/>
          <w:lang w:val="en-US"/>
        </w:rPr>
        <w:t>15</w:t>
      </w:r>
      <w:r w:rsidRPr="00BC76FD">
        <w:rPr>
          <w:lang w:val="en-US"/>
        </w:rPr>
        <w:t xml:space="preserve">N),” </w:t>
      </w:r>
      <w:r w:rsidRPr="00BC76FD">
        <w:rPr>
          <w:i/>
          <w:iCs/>
          <w:lang w:val="en-US"/>
        </w:rPr>
        <w:t>Agriculture</w:t>
      </w:r>
      <w:r w:rsidRPr="00BC76FD">
        <w:rPr>
          <w:lang w:val="en-US"/>
        </w:rPr>
        <w:t>, 234, 199-213, DOI: 10.1016/j.aquaculture.2003.11.020.</w:t>
      </w:r>
    </w:p>
    <w:p w14:paraId="19109943" w14:textId="77777777" w:rsidR="00531864" w:rsidRPr="00BC76FD" w:rsidRDefault="00531864" w:rsidP="006E2CA0">
      <w:pPr>
        <w:pStyle w:val="References"/>
        <w:spacing w:before="0" w:line="480" w:lineRule="auto"/>
        <w:jc w:val="both"/>
        <w:rPr>
          <w:lang w:val="en-US"/>
        </w:rPr>
      </w:pPr>
      <w:r w:rsidRPr="00BC76FD">
        <w:rPr>
          <w:lang w:val="en-US"/>
        </w:rPr>
        <w:t xml:space="preserve">Shackleton, N. J. (1987), “Oxygen Isotopes, Ice Volume and Sea Level,” </w:t>
      </w:r>
      <w:r w:rsidRPr="00BC76FD">
        <w:rPr>
          <w:i/>
          <w:iCs/>
          <w:lang w:val="en-US"/>
        </w:rPr>
        <w:t>Quaternary Science Reviews</w:t>
      </w:r>
      <w:r w:rsidRPr="00BC76FD">
        <w:rPr>
          <w:lang w:val="en-US"/>
        </w:rPr>
        <w:t>, 6, 183-190, DOI: 10.1016/0277-3791(87)90003-5.</w:t>
      </w:r>
    </w:p>
    <w:p w14:paraId="2CD47044" w14:textId="77777777" w:rsidR="00531864" w:rsidRPr="00BC76FD" w:rsidRDefault="00531864" w:rsidP="006E2CA0">
      <w:pPr>
        <w:pStyle w:val="References"/>
        <w:spacing w:before="0" w:line="480" w:lineRule="auto"/>
        <w:jc w:val="both"/>
        <w:rPr>
          <w:lang w:val="en-US"/>
        </w:rPr>
      </w:pPr>
      <w:r w:rsidRPr="00BC76FD">
        <w:rPr>
          <w:lang w:val="en-US"/>
        </w:rPr>
        <w:t xml:space="preserve">Smith, B. N., and Epstein, S. (1970), “Two Categories of </w:t>
      </w:r>
      <w:r w:rsidRPr="00BC76FD">
        <w:rPr>
          <w:vertAlign w:val="superscript"/>
          <w:lang w:val="en-US"/>
        </w:rPr>
        <w:t>13</w:t>
      </w:r>
      <w:r w:rsidRPr="00BC76FD">
        <w:rPr>
          <w:lang w:val="en-US"/>
        </w:rPr>
        <w:t>C/</w:t>
      </w:r>
      <w:r w:rsidRPr="00BC76FD">
        <w:rPr>
          <w:vertAlign w:val="superscript"/>
          <w:lang w:val="en-US"/>
        </w:rPr>
        <w:t>12</w:t>
      </w:r>
      <w:r w:rsidRPr="00BC76FD">
        <w:rPr>
          <w:lang w:val="en-US"/>
        </w:rPr>
        <w:t xml:space="preserve">C Ratios for Higher Plants,” </w:t>
      </w:r>
      <w:r w:rsidRPr="00BC76FD">
        <w:rPr>
          <w:i/>
          <w:iCs/>
          <w:lang w:val="en-US"/>
        </w:rPr>
        <w:t>Plant Physiology</w:t>
      </w:r>
      <w:r w:rsidRPr="00BC76FD">
        <w:rPr>
          <w:lang w:val="en-US"/>
        </w:rPr>
        <w:t>, 47, 380-384, DOI: 10.1104/pp.47.3.380.</w:t>
      </w:r>
    </w:p>
    <w:p w14:paraId="6CE39AC5" w14:textId="2D715C43" w:rsidR="00531864" w:rsidRPr="00BC76FD" w:rsidRDefault="00531864" w:rsidP="006E2CA0">
      <w:pPr>
        <w:pStyle w:val="References"/>
        <w:spacing w:before="0" w:line="480" w:lineRule="auto"/>
        <w:jc w:val="both"/>
        <w:rPr>
          <w:lang w:val="en-US"/>
        </w:rPr>
      </w:pPr>
      <w:r w:rsidRPr="00BC76FD">
        <w:rPr>
          <w:lang w:val="en-US"/>
        </w:rPr>
        <w:t>Sundq</w:t>
      </w:r>
      <w:r w:rsidR="006E764E">
        <w:rPr>
          <w:lang w:val="en-US"/>
        </w:rPr>
        <w:t>u</w:t>
      </w:r>
      <w:r w:rsidRPr="00BC76FD">
        <w:rPr>
          <w:lang w:val="en-US"/>
        </w:rPr>
        <w:t xml:space="preserve">ist, H. S. (2007), “Speleothems as Environmental Recorders: A Study of Holocene Speleothems and Their Growth Environments in Sweden,” unpublished Ph.D. dissertation, Institutionen for Naturgeogradi Och Kvartargeologi. </w:t>
      </w:r>
    </w:p>
    <w:p w14:paraId="72B56F00" w14:textId="77777777" w:rsidR="00531864" w:rsidRDefault="00531864" w:rsidP="006E2CA0">
      <w:pPr>
        <w:pStyle w:val="References"/>
        <w:spacing w:before="0" w:line="480" w:lineRule="auto"/>
        <w:jc w:val="both"/>
        <w:rPr>
          <w:lang w:val="en-US"/>
        </w:rPr>
      </w:pPr>
      <w:r w:rsidRPr="00BC76FD">
        <w:rPr>
          <w:lang w:val="en-US"/>
        </w:rPr>
        <w:lastRenderedPageBreak/>
        <w:t xml:space="preserve">Tanner, J. M. (1949), “Fallacy of Per-Weight and Per-Surface Area Standards, and Their Relation to Spurious Correlation,” </w:t>
      </w:r>
      <w:r w:rsidRPr="00BC76FD">
        <w:rPr>
          <w:i/>
          <w:iCs/>
          <w:lang w:val="en-US"/>
        </w:rPr>
        <w:t>Journal of Applied Physiology</w:t>
      </w:r>
      <w:r w:rsidRPr="00BC76FD">
        <w:rPr>
          <w:lang w:val="en-US"/>
        </w:rPr>
        <w:t>, 2, 1-15, DOI: 10.1152/jappl.1949.2.1.1.</w:t>
      </w:r>
    </w:p>
    <w:p w14:paraId="6704966F" w14:textId="249A87CF" w:rsidR="00FE59B6" w:rsidRDefault="00FE59B6" w:rsidP="006E2CA0">
      <w:pPr>
        <w:pStyle w:val="References"/>
        <w:spacing w:before="0" w:line="480" w:lineRule="auto"/>
        <w:jc w:val="both"/>
      </w:pPr>
      <w:r>
        <w:t xml:space="preserve">Tejada-Lara JV, MacFadden BJ, Bermudez L, Rojas G, Salas-Gismondi R, Flynn JJ. </w:t>
      </w:r>
      <w:r w:rsidR="00860C05">
        <w:t>(</w:t>
      </w:r>
      <w:r>
        <w:t>2018</w:t>
      </w:r>
      <w:r w:rsidR="00860C05">
        <w:t>)</w:t>
      </w:r>
      <w:r>
        <w:t xml:space="preserve"> Body mass predicts isotope enrichment in herbivorous mammals. Proc. R. Soc. B 285: 20181020. DOI:/10.1098/rspb.2018.1020.</w:t>
      </w:r>
    </w:p>
    <w:p w14:paraId="35704185" w14:textId="700410C7" w:rsidR="00531864" w:rsidRPr="00E16DC6" w:rsidRDefault="00531864" w:rsidP="006E2CA0">
      <w:pPr>
        <w:pStyle w:val="References"/>
        <w:spacing w:before="0" w:line="480" w:lineRule="auto"/>
        <w:jc w:val="both"/>
        <w:rPr>
          <w:lang w:val="en-US"/>
        </w:rPr>
      </w:pPr>
      <w:r w:rsidRPr="00E16DC6">
        <w:rPr>
          <w:lang w:val="en-US"/>
        </w:rPr>
        <w:t xml:space="preserve">Villamarín, F., Jardine, T. D., Bunn, S. E., Marioni, B., and Magnusson, W. E. (2018), “Body Size is More Important Than Diet in Determining Stable-Isotope Estimates of Trophic Position in Crocodilians,” </w:t>
      </w:r>
      <w:r w:rsidRPr="00E16DC6">
        <w:rPr>
          <w:i/>
          <w:iCs/>
          <w:lang w:val="en-US"/>
        </w:rPr>
        <w:t>Scientific Reports</w:t>
      </w:r>
      <w:r w:rsidRPr="00E16DC6">
        <w:rPr>
          <w:lang w:val="en-US"/>
        </w:rPr>
        <w:t>, 8, 1-11, DOI: 10.1038/s41598-018-19918-6.</w:t>
      </w:r>
    </w:p>
    <w:p w14:paraId="2E8E6229" w14:textId="77777777" w:rsidR="00531864" w:rsidRDefault="00531864" w:rsidP="006E2CA0">
      <w:pPr>
        <w:pStyle w:val="References"/>
        <w:spacing w:before="0" w:line="480" w:lineRule="auto"/>
        <w:jc w:val="both"/>
        <w:rPr>
          <w:shd w:val="clear" w:color="auto" w:fill="FFFFFF"/>
          <w:lang w:val="en-US"/>
        </w:rPr>
      </w:pPr>
      <w:r w:rsidRPr="00BC76FD">
        <w:rPr>
          <w:shd w:val="clear" w:color="auto" w:fill="FFFFFF"/>
          <w:lang w:val="en-US"/>
        </w:rPr>
        <w:t>Xiao, X., White, E. P., Hooten, M. B., and Durham, S. L. (2011), “On the Use of Log‐Transformation Vs. Nonlinear Regression for Analyzing Biological Power Laws,”</w:t>
      </w:r>
      <w:r w:rsidRPr="00BC76FD">
        <w:rPr>
          <w:i/>
          <w:iCs/>
          <w:shd w:val="clear" w:color="auto" w:fill="FFFFFF"/>
          <w:lang w:val="en-US"/>
        </w:rPr>
        <w:t xml:space="preserve"> Ecology</w:t>
      </w:r>
      <w:r w:rsidRPr="00BC76FD">
        <w:rPr>
          <w:shd w:val="clear" w:color="auto" w:fill="FFFFFF"/>
          <w:lang w:val="en-US"/>
        </w:rPr>
        <w:t>,</w:t>
      </w:r>
      <w:r w:rsidRPr="00BC76FD">
        <w:rPr>
          <w:i/>
          <w:iCs/>
          <w:shd w:val="clear" w:color="auto" w:fill="FFFFFF"/>
          <w:lang w:val="en-US"/>
        </w:rPr>
        <w:t xml:space="preserve"> </w:t>
      </w:r>
      <w:r w:rsidRPr="00BC76FD">
        <w:rPr>
          <w:shd w:val="clear" w:color="auto" w:fill="FFFFFF"/>
          <w:lang w:val="en-US"/>
        </w:rPr>
        <w:t>92, 1887-1894, DOI: 10.1890/11-0538.1.</w:t>
      </w:r>
    </w:p>
    <w:p w14:paraId="1FD6015D" w14:textId="706E284F" w:rsidR="00316A5E" w:rsidRDefault="00316A5E" w:rsidP="006E2CA0">
      <w:pPr>
        <w:pStyle w:val="References"/>
        <w:spacing w:before="0" w:line="480" w:lineRule="auto"/>
        <w:jc w:val="both"/>
      </w:pPr>
      <w:r>
        <w:t>Wang, G., Yufu, J., and Wei, L. (2015), Effects of environmental and biotic factors on carbon isotopic fractionation during decomposition of soil organic matter. Sci. Rep. 5, 11043; DOI: 10.1038/srep11043.</w:t>
      </w:r>
    </w:p>
    <w:p w14:paraId="5CADF944" w14:textId="00AEFCF2" w:rsidR="00E33601" w:rsidRPr="00BC76FD" w:rsidRDefault="00E33601" w:rsidP="00E33601">
      <w:pPr>
        <w:pStyle w:val="References"/>
        <w:spacing w:before="0" w:line="480" w:lineRule="auto"/>
        <w:jc w:val="both"/>
        <w:rPr>
          <w:lang w:val="en-US" w:eastAsia="ja-JP"/>
        </w:rPr>
      </w:pPr>
      <w:r w:rsidRPr="00DD2C1A">
        <w:rPr>
          <w:lang w:val="en-US" w:eastAsia="ja-JP"/>
        </w:rPr>
        <w:t xml:space="preserve">Whitledge, G. W., and Rabeni, C. F. (1997), “Energy Sources and Ecological Role of Crayfishes in an Ozark Stream: Insights from Stable Isotopes and Gut Analysis,” </w:t>
      </w:r>
      <w:r w:rsidRPr="00DD2C1A">
        <w:rPr>
          <w:i/>
          <w:iCs/>
          <w:lang w:val="en-US" w:eastAsia="ja-JP"/>
        </w:rPr>
        <w:t>Canadian Journal of Fisheries and Aquatic Sciences</w:t>
      </w:r>
      <w:r w:rsidRPr="00DD2C1A">
        <w:rPr>
          <w:lang w:val="en-US" w:eastAsia="ja-JP"/>
        </w:rPr>
        <w:t>, 54, 2555-2563, DOI: 10.1139/f97-173.</w:t>
      </w:r>
    </w:p>
    <w:p w14:paraId="27588661" w14:textId="77777777" w:rsidR="00531864" w:rsidRPr="00E255E3" w:rsidRDefault="00531864" w:rsidP="006E2CA0">
      <w:pPr>
        <w:pStyle w:val="References"/>
        <w:spacing w:before="0" w:line="480" w:lineRule="auto"/>
        <w:jc w:val="both"/>
        <w:rPr>
          <w:lang w:val="en-US"/>
        </w:rPr>
      </w:pPr>
      <w:r w:rsidRPr="00BC76FD">
        <w:rPr>
          <w:lang w:val="en-US"/>
        </w:rPr>
        <w:t xml:space="preserve">Zhou, H., Feng, Y. X., Zhao, J. X., Shen, C. C., You, C. F., and Lin, Y., (2009), “Deglacial Variations of Sr and </w:t>
      </w:r>
      <w:r w:rsidRPr="00544669">
        <w:rPr>
          <w:vertAlign w:val="superscript"/>
          <w:lang w:val="en-US"/>
        </w:rPr>
        <w:t>87</w:t>
      </w:r>
      <w:r w:rsidRPr="00BC76FD">
        <w:rPr>
          <w:lang w:val="en-US"/>
        </w:rPr>
        <w:t>Sr/</w:t>
      </w:r>
      <w:r w:rsidRPr="00544669">
        <w:rPr>
          <w:vertAlign w:val="superscript"/>
          <w:lang w:val="en-US"/>
        </w:rPr>
        <w:t>86</w:t>
      </w:r>
      <w:r w:rsidRPr="00BC76FD">
        <w:rPr>
          <w:lang w:val="en-US"/>
        </w:rPr>
        <w:t xml:space="preserve">Sr Ratio Recorded by a Stalagmite from Central China and Their Association with Past Climate and Environment,” </w:t>
      </w:r>
      <w:r w:rsidRPr="00BC76FD">
        <w:rPr>
          <w:i/>
          <w:iCs/>
          <w:lang w:val="en-US"/>
        </w:rPr>
        <w:t>Chemical Geology</w:t>
      </w:r>
      <w:r w:rsidRPr="00BC76FD">
        <w:rPr>
          <w:lang w:val="en-US"/>
        </w:rPr>
        <w:t>, 268, 233-247, DOI: 10.1016/j.chemgeo.2009.09.003.</w:t>
      </w:r>
    </w:p>
    <w:sectPr w:rsidR="00531864" w:rsidRPr="00E255E3" w:rsidSect="002A0E7A">
      <w:footerReference w:type="default" r:id="rId83"/>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BCF8FE" w14:textId="77777777" w:rsidR="002A0E7A" w:rsidRDefault="002A0E7A">
      <w:pPr>
        <w:spacing w:line="240" w:lineRule="auto"/>
      </w:pPr>
      <w:r>
        <w:separator/>
      </w:r>
    </w:p>
  </w:endnote>
  <w:endnote w:type="continuationSeparator" w:id="0">
    <w:p w14:paraId="0E396CF3" w14:textId="77777777" w:rsidR="002A0E7A" w:rsidRDefault="002A0E7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94357556"/>
      <w:docPartObj>
        <w:docPartGallery w:val="Page Numbers (Bottom of Page)"/>
        <w:docPartUnique/>
      </w:docPartObj>
    </w:sdtPr>
    <w:sdtEndPr>
      <w:rPr>
        <w:noProof/>
      </w:rPr>
    </w:sdtEndPr>
    <w:sdtContent>
      <w:p w14:paraId="249540DC" w14:textId="77777777" w:rsidR="003A7EA8" w:rsidRDefault="003A7EA8">
        <w:pPr>
          <w:pStyle w:val="Footer"/>
          <w:jc w:val="center"/>
        </w:pPr>
        <w:r>
          <w:fldChar w:fldCharType="begin"/>
        </w:r>
        <w:r>
          <w:instrText xml:space="preserve"> PAGE   \* MERGEFORMAT </w:instrText>
        </w:r>
        <w:r>
          <w:fldChar w:fldCharType="separate"/>
        </w:r>
        <w:r>
          <w:rPr>
            <w:noProof/>
          </w:rPr>
          <w:t>20</w:t>
        </w:r>
        <w:r>
          <w:rPr>
            <w:noProof/>
          </w:rPr>
          <w:fldChar w:fldCharType="end"/>
        </w:r>
      </w:p>
    </w:sdtContent>
  </w:sdt>
  <w:p w14:paraId="0CE5FC56" w14:textId="77777777" w:rsidR="003A7EA8" w:rsidRDefault="003A7EA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88530557"/>
      <w:docPartObj>
        <w:docPartGallery w:val="Page Numbers (Bottom of Page)"/>
        <w:docPartUnique/>
      </w:docPartObj>
    </w:sdtPr>
    <w:sdtEndPr>
      <w:rPr>
        <w:noProof/>
      </w:rPr>
    </w:sdtEndPr>
    <w:sdtContent>
      <w:p w14:paraId="77CC4330" w14:textId="77777777" w:rsidR="002524F7" w:rsidRDefault="00B81204">
        <w:pPr>
          <w:pStyle w:val="Footer"/>
          <w:jc w:val="center"/>
        </w:pPr>
        <w:r>
          <w:fldChar w:fldCharType="begin"/>
        </w:r>
        <w:r>
          <w:instrText xml:space="preserve"> PAGE   \* MERGEFORMAT </w:instrText>
        </w:r>
        <w:r>
          <w:fldChar w:fldCharType="separate"/>
        </w:r>
        <w:r w:rsidR="003661C1">
          <w:rPr>
            <w:noProof/>
          </w:rPr>
          <w:t>1</w:t>
        </w:r>
        <w:r>
          <w:rPr>
            <w:noProof/>
          </w:rPr>
          <w:fldChar w:fldCharType="end"/>
        </w:r>
      </w:p>
    </w:sdtContent>
  </w:sdt>
  <w:p w14:paraId="723A7C20" w14:textId="77777777" w:rsidR="002524F7" w:rsidRDefault="002524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26D6F4" w14:textId="77777777" w:rsidR="002A0E7A" w:rsidRDefault="002A0E7A">
      <w:pPr>
        <w:spacing w:line="240" w:lineRule="auto"/>
      </w:pPr>
      <w:r>
        <w:separator/>
      </w:r>
    </w:p>
  </w:footnote>
  <w:footnote w:type="continuationSeparator" w:id="0">
    <w:p w14:paraId="515A5848" w14:textId="77777777" w:rsidR="002A0E7A" w:rsidRDefault="002A0E7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0D4262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B1FECAF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7C74E2DA"/>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E8F228EA"/>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A274B1E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2442F12"/>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79147BCA"/>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594C1B5A"/>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34C6DA04"/>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C472E25E"/>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5DC819A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5CC0843"/>
    <w:multiLevelType w:val="multilevel"/>
    <w:tmpl w:val="9426EBB6"/>
    <w:lvl w:ilvl="0">
      <w:start w:val="1"/>
      <w:numFmt w:val="decimal"/>
      <w:lvlText w:val="(%1)"/>
      <w:lvlJc w:val="right"/>
      <w:pPr>
        <w:ind w:left="720" w:hanging="181"/>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0D0E765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F413159"/>
    <w:multiLevelType w:val="multilevel"/>
    <w:tmpl w:val="30C08770"/>
    <w:lvl w:ilvl="0">
      <w:start w:val="1"/>
      <w:numFmt w:val="decimal"/>
      <w:lvlText w:val="(%1)"/>
      <w:lvlJc w:val="right"/>
      <w:pPr>
        <w:ind w:left="720" w:hanging="153"/>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1FBD58E1"/>
    <w:multiLevelType w:val="multilevel"/>
    <w:tmpl w:val="1B88B87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27E8289F"/>
    <w:multiLevelType w:val="hybridMultilevel"/>
    <w:tmpl w:val="E976D66C"/>
    <w:lvl w:ilvl="0" w:tplc="FFD8C89E">
      <w:start w:val="1"/>
      <w:numFmt w:val="decimal"/>
      <w:lvlText w:val="(%1)"/>
      <w:lvlJc w:val="left"/>
      <w:pPr>
        <w:tabs>
          <w:tab w:val="num" w:pos="720"/>
        </w:tabs>
        <w:ind w:left="720" w:hanging="360"/>
      </w:pPr>
      <w:rPr>
        <w:rFonts w:hint="default"/>
      </w:rPr>
    </w:lvl>
    <w:lvl w:ilvl="1" w:tplc="F9A25630" w:tentative="1">
      <w:start w:val="1"/>
      <w:numFmt w:val="lowerLetter"/>
      <w:lvlText w:val="%2."/>
      <w:lvlJc w:val="left"/>
      <w:pPr>
        <w:tabs>
          <w:tab w:val="num" w:pos="1440"/>
        </w:tabs>
        <w:ind w:left="1440" w:hanging="360"/>
      </w:pPr>
    </w:lvl>
    <w:lvl w:ilvl="2" w:tplc="CC0C8632" w:tentative="1">
      <w:start w:val="1"/>
      <w:numFmt w:val="lowerRoman"/>
      <w:lvlText w:val="%3."/>
      <w:lvlJc w:val="right"/>
      <w:pPr>
        <w:tabs>
          <w:tab w:val="num" w:pos="2160"/>
        </w:tabs>
        <w:ind w:left="2160" w:hanging="180"/>
      </w:pPr>
    </w:lvl>
    <w:lvl w:ilvl="3" w:tplc="A358EA66" w:tentative="1">
      <w:start w:val="1"/>
      <w:numFmt w:val="decimal"/>
      <w:lvlText w:val="%4."/>
      <w:lvlJc w:val="left"/>
      <w:pPr>
        <w:tabs>
          <w:tab w:val="num" w:pos="2880"/>
        </w:tabs>
        <w:ind w:left="2880" w:hanging="360"/>
      </w:pPr>
    </w:lvl>
    <w:lvl w:ilvl="4" w:tplc="D42E7C4A" w:tentative="1">
      <w:start w:val="1"/>
      <w:numFmt w:val="lowerLetter"/>
      <w:lvlText w:val="%5."/>
      <w:lvlJc w:val="left"/>
      <w:pPr>
        <w:tabs>
          <w:tab w:val="num" w:pos="3600"/>
        </w:tabs>
        <w:ind w:left="3600" w:hanging="360"/>
      </w:pPr>
    </w:lvl>
    <w:lvl w:ilvl="5" w:tplc="9ACE818A" w:tentative="1">
      <w:start w:val="1"/>
      <w:numFmt w:val="lowerRoman"/>
      <w:lvlText w:val="%6."/>
      <w:lvlJc w:val="right"/>
      <w:pPr>
        <w:tabs>
          <w:tab w:val="num" w:pos="4320"/>
        </w:tabs>
        <w:ind w:left="4320" w:hanging="180"/>
      </w:pPr>
    </w:lvl>
    <w:lvl w:ilvl="6" w:tplc="0B982DD8" w:tentative="1">
      <w:start w:val="1"/>
      <w:numFmt w:val="decimal"/>
      <w:lvlText w:val="%7."/>
      <w:lvlJc w:val="left"/>
      <w:pPr>
        <w:tabs>
          <w:tab w:val="num" w:pos="5040"/>
        </w:tabs>
        <w:ind w:left="5040" w:hanging="360"/>
      </w:pPr>
    </w:lvl>
    <w:lvl w:ilvl="7" w:tplc="2ECEF5F8" w:tentative="1">
      <w:start w:val="1"/>
      <w:numFmt w:val="lowerLetter"/>
      <w:lvlText w:val="%8."/>
      <w:lvlJc w:val="left"/>
      <w:pPr>
        <w:tabs>
          <w:tab w:val="num" w:pos="5760"/>
        </w:tabs>
        <w:ind w:left="5760" w:hanging="360"/>
      </w:pPr>
    </w:lvl>
    <w:lvl w:ilvl="8" w:tplc="E44A77CA" w:tentative="1">
      <w:start w:val="1"/>
      <w:numFmt w:val="lowerRoman"/>
      <w:lvlText w:val="%9."/>
      <w:lvlJc w:val="right"/>
      <w:pPr>
        <w:tabs>
          <w:tab w:val="num" w:pos="6480"/>
        </w:tabs>
        <w:ind w:left="6480" w:hanging="180"/>
      </w:pPr>
    </w:lvl>
  </w:abstractNum>
  <w:abstractNum w:abstractNumId="16" w15:restartNumberingAfterBreak="0">
    <w:nsid w:val="389B5003"/>
    <w:multiLevelType w:val="multilevel"/>
    <w:tmpl w:val="DD5255FA"/>
    <w:lvl w:ilvl="0">
      <w:start w:val="1"/>
      <w:numFmt w:val="decimal"/>
      <w:lvlText w:val="(%1)"/>
      <w:lvlJc w:val="left"/>
      <w:pPr>
        <w:ind w:left="720" w:hanging="454"/>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C5D0C07"/>
    <w:multiLevelType w:val="hybridMultilevel"/>
    <w:tmpl w:val="4CA02766"/>
    <w:lvl w:ilvl="0" w:tplc="6E264AD6">
      <w:start w:val="1"/>
      <w:numFmt w:val="decimal"/>
      <w:pStyle w:val="Numberedlist"/>
      <w:lvlText w:val="(%1)"/>
      <w:lvlJc w:val="right"/>
      <w:pPr>
        <w:ind w:left="720" w:hanging="153"/>
      </w:pPr>
      <w:rPr>
        <w:rFonts w:hint="default"/>
      </w:rPr>
    </w:lvl>
    <w:lvl w:ilvl="1" w:tplc="79F668F6">
      <w:start w:val="1"/>
      <w:numFmt w:val="lowerLetter"/>
      <w:lvlText w:val="(%2)"/>
      <w:lvlJc w:val="left"/>
      <w:pPr>
        <w:ind w:left="1440" w:hanging="360"/>
      </w:pPr>
      <w:rPr>
        <w:rFonts w:hint="default"/>
      </w:rPr>
    </w:lvl>
    <w:lvl w:ilvl="2" w:tplc="270C7214">
      <w:start w:val="1"/>
      <w:numFmt w:val="lowerRoman"/>
      <w:lvlText w:val="(%3)"/>
      <w:lvlJc w:val="right"/>
      <w:pPr>
        <w:ind w:left="2160" w:hanging="180"/>
      </w:pPr>
      <w:rPr>
        <w:rFonts w:hint="default"/>
      </w:rPr>
    </w:lvl>
    <w:lvl w:ilvl="3" w:tplc="F8C67B46" w:tentative="1">
      <w:start w:val="1"/>
      <w:numFmt w:val="decimal"/>
      <w:lvlText w:val="%4."/>
      <w:lvlJc w:val="left"/>
      <w:pPr>
        <w:ind w:left="2880" w:hanging="360"/>
      </w:pPr>
    </w:lvl>
    <w:lvl w:ilvl="4" w:tplc="8BF6CF1E" w:tentative="1">
      <w:start w:val="1"/>
      <w:numFmt w:val="lowerLetter"/>
      <w:lvlText w:val="%5."/>
      <w:lvlJc w:val="left"/>
      <w:pPr>
        <w:ind w:left="3600" w:hanging="360"/>
      </w:pPr>
    </w:lvl>
    <w:lvl w:ilvl="5" w:tplc="383221EA" w:tentative="1">
      <w:start w:val="1"/>
      <w:numFmt w:val="lowerRoman"/>
      <w:lvlText w:val="%6."/>
      <w:lvlJc w:val="right"/>
      <w:pPr>
        <w:ind w:left="4320" w:hanging="180"/>
      </w:pPr>
    </w:lvl>
    <w:lvl w:ilvl="6" w:tplc="59E4DD6C" w:tentative="1">
      <w:start w:val="1"/>
      <w:numFmt w:val="decimal"/>
      <w:lvlText w:val="%7."/>
      <w:lvlJc w:val="left"/>
      <w:pPr>
        <w:ind w:left="5040" w:hanging="360"/>
      </w:pPr>
    </w:lvl>
    <w:lvl w:ilvl="7" w:tplc="F356AF4E" w:tentative="1">
      <w:start w:val="1"/>
      <w:numFmt w:val="lowerLetter"/>
      <w:lvlText w:val="%8."/>
      <w:lvlJc w:val="left"/>
      <w:pPr>
        <w:ind w:left="5760" w:hanging="360"/>
      </w:pPr>
    </w:lvl>
    <w:lvl w:ilvl="8" w:tplc="BA5A92E6" w:tentative="1">
      <w:start w:val="1"/>
      <w:numFmt w:val="lowerRoman"/>
      <w:lvlText w:val="%9."/>
      <w:lvlJc w:val="right"/>
      <w:pPr>
        <w:ind w:left="6480" w:hanging="180"/>
      </w:pPr>
    </w:lvl>
  </w:abstractNum>
  <w:abstractNum w:abstractNumId="18" w15:restartNumberingAfterBreak="0">
    <w:nsid w:val="3D4A71FF"/>
    <w:multiLevelType w:val="hybridMultilevel"/>
    <w:tmpl w:val="CADCD1BE"/>
    <w:lvl w:ilvl="0" w:tplc="F27060C4">
      <w:start w:val="1"/>
      <w:numFmt w:val="decimal"/>
      <w:lvlText w:val="%1."/>
      <w:lvlJc w:val="left"/>
      <w:pPr>
        <w:ind w:left="360" w:hanging="360"/>
      </w:pPr>
      <w:rPr>
        <w:rFonts w:hint="default"/>
      </w:rPr>
    </w:lvl>
    <w:lvl w:ilvl="1" w:tplc="A1501AA0" w:tentative="1">
      <w:start w:val="1"/>
      <w:numFmt w:val="lowerLetter"/>
      <w:lvlText w:val="%2."/>
      <w:lvlJc w:val="left"/>
      <w:pPr>
        <w:ind w:left="1080" w:hanging="360"/>
      </w:pPr>
    </w:lvl>
    <w:lvl w:ilvl="2" w:tplc="D6E0CBB0" w:tentative="1">
      <w:start w:val="1"/>
      <w:numFmt w:val="lowerRoman"/>
      <w:lvlText w:val="%3."/>
      <w:lvlJc w:val="right"/>
      <w:pPr>
        <w:ind w:left="1800" w:hanging="180"/>
      </w:pPr>
    </w:lvl>
    <w:lvl w:ilvl="3" w:tplc="B8D67DA8" w:tentative="1">
      <w:start w:val="1"/>
      <w:numFmt w:val="decimal"/>
      <w:lvlText w:val="%4."/>
      <w:lvlJc w:val="left"/>
      <w:pPr>
        <w:ind w:left="2520" w:hanging="360"/>
      </w:pPr>
    </w:lvl>
    <w:lvl w:ilvl="4" w:tplc="23749DA0" w:tentative="1">
      <w:start w:val="1"/>
      <w:numFmt w:val="lowerLetter"/>
      <w:lvlText w:val="%5."/>
      <w:lvlJc w:val="left"/>
      <w:pPr>
        <w:ind w:left="3240" w:hanging="360"/>
      </w:pPr>
    </w:lvl>
    <w:lvl w:ilvl="5" w:tplc="6B168404" w:tentative="1">
      <w:start w:val="1"/>
      <w:numFmt w:val="lowerRoman"/>
      <w:lvlText w:val="%6."/>
      <w:lvlJc w:val="right"/>
      <w:pPr>
        <w:ind w:left="3960" w:hanging="180"/>
      </w:pPr>
    </w:lvl>
    <w:lvl w:ilvl="6" w:tplc="EBD6FDBA" w:tentative="1">
      <w:start w:val="1"/>
      <w:numFmt w:val="decimal"/>
      <w:lvlText w:val="%7."/>
      <w:lvlJc w:val="left"/>
      <w:pPr>
        <w:ind w:left="4680" w:hanging="360"/>
      </w:pPr>
    </w:lvl>
    <w:lvl w:ilvl="7" w:tplc="58ECE51A" w:tentative="1">
      <w:start w:val="1"/>
      <w:numFmt w:val="lowerLetter"/>
      <w:lvlText w:val="%8."/>
      <w:lvlJc w:val="left"/>
      <w:pPr>
        <w:ind w:left="5400" w:hanging="360"/>
      </w:pPr>
    </w:lvl>
    <w:lvl w:ilvl="8" w:tplc="B87E39AE" w:tentative="1">
      <w:start w:val="1"/>
      <w:numFmt w:val="lowerRoman"/>
      <w:lvlText w:val="%9."/>
      <w:lvlJc w:val="right"/>
      <w:pPr>
        <w:ind w:left="6120" w:hanging="180"/>
      </w:pPr>
    </w:lvl>
  </w:abstractNum>
  <w:abstractNum w:abstractNumId="19" w15:restartNumberingAfterBreak="0">
    <w:nsid w:val="5838135E"/>
    <w:multiLevelType w:val="hybridMultilevel"/>
    <w:tmpl w:val="68EEE13A"/>
    <w:lvl w:ilvl="0" w:tplc="F2820748">
      <w:start w:val="1"/>
      <w:numFmt w:val="bullet"/>
      <w:lvlText w:val=""/>
      <w:lvlJc w:val="left"/>
      <w:pPr>
        <w:tabs>
          <w:tab w:val="num" w:pos="720"/>
        </w:tabs>
        <w:ind w:left="720" w:hanging="360"/>
      </w:pPr>
      <w:rPr>
        <w:rFonts w:ascii="Symbol" w:hAnsi="Symbol" w:hint="default"/>
      </w:rPr>
    </w:lvl>
    <w:lvl w:ilvl="1" w:tplc="9DFA2A12" w:tentative="1">
      <w:start w:val="1"/>
      <w:numFmt w:val="bullet"/>
      <w:lvlText w:val="o"/>
      <w:lvlJc w:val="left"/>
      <w:pPr>
        <w:tabs>
          <w:tab w:val="num" w:pos="1440"/>
        </w:tabs>
        <w:ind w:left="1440" w:hanging="360"/>
      </w:pPr>
      <w:rPr>
        <w:rFonts w:ascii="Courier New" w:hAnsi="Courier New" w:cs="Arial" w:hint="default"/>
      </w:rPr>
    </w:lvl>
    <w:lvl w:ilvl="2" w:tplc="522A9642" w:tentative="1">
      <w:start w:val="1"/>
      <w:numFmt w:val="bullet"/>
      <w:lvlText w:val=""/>
      <w:lvlJc w:val="left"/>
      <w:pPr>
        <w:tabs>
          <w:tab w:val="num" w:pos="2160"/>
        </w:tabs>
        <w:ind w:left="2160" w:hanging="360"/>
      </w:pPr>
      <w:rPr>
        <w:rFonts w:ascii="Wingdings" w:hAnsi="Wingdings" w:hint="default"/>
      </w:rPr>
    </w:lvl>
    <w:lvl w:ilvl="3" w:tplc="DAA21852" w:tentative="1">
      <w:start w:val="1"/>
      <w:numFmt w:val="bullet"/>
      <w:lvlText w:val=""/>
      <w:lvlJc w:val="left"/>
      <w:pPr>
        <w:tabs>
          <w:tab w:val="num" w:pos="2880"/>
        </w:tabs>
        <w:ind w:left="2880" w:hanging="360"/>
      </w:pPr>
      <w:rPr>
        <w:rFonts w:ascii="Symbol" w:hAnsi="Symbol" w:hint="default"/>
      </w:rPr>
    </w:lvl>
    <w:lvl w:ilvl="4" w:tplc="83B888E4" w:tentative="1">
      <w:start w:val="1"/>
      <w:numFmt w:val="bullet"/>
      <w:lvlText w:val="o"/>
      <w:lvlJc w:val="left"/>
      <w:pPr>
        <w:tabs>
          <w:tab w:val="num" w:pos="3600"/>
        </w:tabs>
        <w:ind w:left="3600" w:hanging="360"/>
      </w:pPr>
      <w:rPr>
        <w:rFonts w:ascii="Courier New" w:hAnsi="Courier New" w:cs="Arial" w:hint="default"/>
      </w:rPr>
    </w:lvl>
    <w:lvl w:ilvl="5" w:tplc="238CFBBE" w:tentative="1">
      <w:start w:val="1"/>
      <w:numFmt w:val="bullet"/>
      <w:lvlText w:val=""/>
      <w:lvlJc w:val="left"/>
      <w:pPr>
        <w:tabs>
          <w:tab w:val="num" w:pos="4320"/>
        </w:tabs>
        <w:ind w:left="4320" w:hanging="360"/>
      </w:pPr>
      <w:rPr>
        <w:rFonts w:ascii="Wingdings" w:hAnsi="Wingdings" w:hint="default"/>
      </w:rPr>
    </w:lvl>
    <w:lvl w:ilvl="6" w:tplc="325EB930" w:tentative="1">
      <w:start w:val="1"/>
      <w:numFmt w:val="bullet"/>
      <w:lvlText w:val=""/>
      <w:lvlJc w:val="left"/>
      <w:pPr>
        <w:tabs>
          <w:tab w:val="num" w:pos="5040"/>
        </w:tabs>
        <w:ind w:left="5040" w:hanging="360"/>
      </w:pPr>
      <w:rPr>
        <w:rFonts w:ascii="Symbol" w:hAnsi="Symbol" w:hint="default"/>
      </w:rPr>
    </w:lvl>
    <w:lvl w:ilvl="7" w:tplc="F894D908" w:tentative="1">
      <w:start w:val="1"/>
      <w:numFmt w:val="bullet"/>
      <w:lvlText w:val="o"/>
      <w:lvlJc w:val="left"/>
      <w:pPr>
        <w:tabs>
          <w:tab w:val="num" w:pos="5760"/>
        </w:tabs>
        <w:ind w:left="5760" w:hanging="360"/>
      </w:pPr>
      <w:rPr>
        <w:rFonts w:ascii="Courier New" w:hAnsi="Courier New" w:cs="Arial" w:hint="default"/>
      </w:rPr>
    </w:lvl>
    <w:lvl w:ilvl="8" w:tplc="996405D2"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BD96BF8"/>
    <w:multiLevelType w:val="hybridMultilevel"/>
    <w:tmpl w:val="76D2C65A"/>
    <w:lvl w:ilvl="0" w:tplc="4322EB2C">
      <w:start w:val="1"/>
      <w:numFmt w:val="bullet"/>
      <w:pStyle w:val="Bulletedlist"/>
      <w:lvlText w:val=""/>
      <w:lvlJc w:val="left"/>
      <w:pPr>
        <w:ind w:left="720" w:hanging="360"/>
      </w:pPr>
      <w:rPr>
        <w:rFonts w:ascii="Symbol" w:hAnsi="Symbol" w:hint="default"/>
      </w:rPr>
    </w:lvl>
    <w:lvl w:ilvl="1" w:tplc="930A4F88" w:tentative="1">
      <w:start w:val="1"/>
      <w:numFmt w:val="bullet"/>
      <w:lvlText w:val="o"/>
      <w:lvlJc w:val="left"/>
      <w:pPr>
        <w:ind w:left="1440" w:hanging="360"/>
      </w:pPr>
      <w:rPr>
        <w:rFonts w:ascii="Courier New" w:hAnsi="Courier New" w:cs="Arial" w:hint="default"/>
      </w:rPr>
    </w:lvl>
    <w:lvl w:ilvl="2" w:tplc="6F72F3B0" w:tentative="1">
      <w:start w:val="1"/>
      <w:numFmt w:val="bullet"/>
      <w:lvlText w:val=""/>
      <w:lvlJc w:val="left"/>
      <w:pPr>
        <w:ind w:left="2160" w:hanging="360"/>
      </w:pPr>
      <w:rPr>
        <w:rFonts w:ascii="Wingdings" w:hAnsi="Wingdings" w:hint="default"/>
      </w:rPr>
    </w:lvl>
    <w:lvl w:ilvl="3" w:tplc="552CDDD6" w:tentative="1">
      <w:start w:val="1"/>
      <w:numFmt w:val="bullet"/>
      <w:lvlText w:val=""/>
      <w:lvlJc w:val="left"/>
      <w:pPr>
        <w:ind w:left="2880" w:hanging="360"/>
      </w:pPr>
      <w:rPr>
        <w:rFonts w:ascii="Symbol" w:hAnsi="Symbol" w:hint="default"/>
      </w:rPr>
    </w:lvl>
    <w:lvl w:ilvl="4" w:tplc="E1E82556" w:tentative="1">
      <w:start w:val="1"/>
      <w:numFmt w:val="bullet"/>
      <w:lvlText w:val="o"/>
      <w:lvlJc w:val="left"/>
      <w:pPr>
        <w:ind w:left="3600" w:hanging="360"/>
      </w:pPr>
      <w:rPr>
        <w:rFonts w:ascii="Courier New" w:hAnsi="Courier New" w:cs="Arial" w:hint="default"/>
      </w:rPr>
    </w:lvl>
    <w:lvl w:ilvl="5" w:tplc="CA98ACC6" w:tentative="1">
      <w:start w:val="1"/>
      <w:numFmt w:val="bullet"/>
      <w:lvlText w:val=""/>
      <w:lvlJc w:val="left"/>
      <w:pPr>
        <w:ind w:left="4320" w:hanging="360"/>
      </w:pPr>
      <w:rPr>
        <w:rFonts w:ascii="Wingdings" w:hAnsi="Wingdings" w:hint="default"/>
      </w:rPr>
    </w:lvl>
    <w:lvl w:ilvl="6" w:tplc="C09A7D56" w:tentative="1">
      <w:start w:val="1"/>
      <w:numFmt w:val="bullet"/>
      <w:lvlText w:val=""/>
      <w:lvlJc w:val="left"/>
      <w:pPr>
        <w:ind w:left="5040" w:hanging="360"/>
      </w:pPr>
      <w:rPr>
        <w:rFonts w:ascii="Symbol" w:hAnsi="Symbol" w:hint="default"/>
      </w:rPr>
    </w:lvl>
    <w:lvl w:ilvl="7" w:tplc="C6589C94" w:tentative="1">
      <w:start w:val="1"/>
      <w:numFmt w:val="bullet"/>
      <w:lvlText w:val="o"/>
      <w:lvlJc w:val="left"/>
      <w:pPr>
        <w:ind w:left="5760" w:hanging="360"/>
      </w:pPr>
      <w:rPr>
        <w:rFonts w:ascii="Courier New" w:hAnsi="Courier New" w:cs="Arial" w:hint="default"/>
      </w:rPr>
    </w:lvl>
    <w:lvl w:ilvl="8" w:tplc="7CAEBB26" w:tentative="1">
      <w:start w:val="1"/>
      <w:numFmt w:val="bullet"/>
      <w:lvlText w:val=""/>
      <w:lvlJc w:val="left"/>
      <w:pPr>
        <w:ind w:left="6480" w:hanging="360"/>
      </w:pPr>
      <w:rPr>
        <w:rFonts w:ascii="Wingdings" w:hAnsi="Wingdings" w:hint="default"/>
      </w:rPr>
    </w:lvl>
  </w:abstractNum>
  <w:abstractNum w:abstractNumId="21" w15:restartNumberingAfterBreak="0">
    <w:nsid w:val="5DD751B3"/>
    <w:multiLevelType w:val="hybridMultilevel"/>
    <w:tmpl w:val="57082860"/>
    <w:lvl w:ilvl="0" w:tplc="88E0655E">
      <w:start w:val="1"/>
      <w:numFmt w:val="decimal"/>
      <w:lvlText w:val="%1."/>
      <w:lvlJc w:val="left"/>
      <w:pPr>
        <w:ind w:left="720" w:hanging="360"/>
      </w:pPr>
      <w:rPr>
        <w:rFonts w:hint="default"/>
      </w:rPr>
    </w:lvl>
    <w:lvl w:ilvl="1" w:tplc="5E008DA2" w:tentative="1">
      <w:start w:val="1"/>
      <w:numFmt w:val="lowerLetter"/>
      <w:lvlText w:val="%2."/>
      <w:lvlJc w:val="left"/>
      <w:pPr>
        <w:ind w:left="1440" w:hanging="360"/>
      </w:pPr>
    </w:lvl>
    <w:lvl w:ilvl="2" w:tplc="04663930" w:tentative="1">
      <w:start w:val="1"/>
      <w:numFmt w:val="lowerRoman"/>
      <w:lvlText w:val="%3."/>
      <w:lvlJc w:val="right"/>
      <w:pPr>
        <w:ind w:left="2160" w:hanging="180"/>
      </w:pPr>
    </w:lvl>
    <w:lvl w:ilvl="3" w:tplc="34F886A6" w:tentative="1">
      <w:start w:val="1"/>
      <w:numFmt w:val="decimal"/>
      <w:lvlText w:val="%4."/>
      <w:lvlJc w:val="left"/>
      <w:pPr>
        <w:ind w:left="2880" w:hanging="360"/>
      </w:pPr>
    </w:lvl>
    <w:lvl w:ilvl="4" w:tplc="FF809E84" w:tentative="1">
      <w:start w:val="1"/>
      <w:numFmt w:val="lowerLetter"/>
      <w:lvlText w:val="%5."/>
      <w:lvlJc w:val="left"/>
      <w:pPr>
        <w:ind w:left="3600" w:hanging="360"/>
      </w:pPr>
    </w:lvl>
    <w:lvl w:ilvl="5" w:tplc="D08E507E" w:tentative="1">
      <w:start w:val="1"/>
      <w:numFmt w:val="lowerRoman"/>
      <w:lvlText w:val="%6."/>
      <w:lvlJc w:val="right"/>
      <w:pPr>
        <w:ind w:left="4320" w:hanging="180"/>
      </w:pPr>
    </w:lvl>
    <w:lvl w:ilvl="6" w:tplc="606A56F8" w:tentative="1">
      <w:start w:val="1"/>
      <w:numFmt w:val="decimal"/>
      <w:lvlText w:val="%7."/>
      <w:lvlJc w:val="left"/>
      <w:pPr>
        <w:ind w:left="5040" w:hanging="360"/>
      </w:pPr>
    </w:lvl>
    <w:lvl w:ilvl="7" w:tplc="C1A42958" w:tentative="1">
      <w:start w:val="1"/>
      <w:numFmt w:val="lowerLetter"/>
      <w:lvlText w:val="%8."/>
      <w:lvlJc w:val="left"/>
      <w:pPr>
        <w:ind w:left="5760" w:hanging="360"/>
      </w:pPr>
    </w:lvl>
    <w:lvl w:ilvl="8" w:tplc="99805DC0" w:tentative="1">
      <w:start w:val="1"/>
      <w:numFmt w:val="lowerRoman"/>
      <w:lvlText w:val="%9."/>
      <w:lvlJc w:val="right"/>
      <w:pPr>
        <w:ind w:left="6480" w:hanging="180"/>
      </w:pPr>
    </w:lvl>
  </w:abstractNum>
  <w:abstractNum w:abstractNumId="22" w15:restartNumberingAfterBreak="0">
    <w:nsid w:val="63015A2E"/>
    <w:multiLevelType w:val="hybridMultilevel"/>
    <w:tmpl w:val="23221B56"/>
    <w:lvl w:ilvl="0" w:tplc="25881C42">
      <w:start w:val="1"/>
      <w:numFmt w:val="decimal"/>
      <w:lvlText w:val="(%1)"/>
      <w:lvlJc w:val="left"/>
      <w:pPr>
        <w:ind w:left="720" w:hanging="360"/>
      </w:pPr>
      <w:rPr>
        <w:rFonts w:hint="default"/>
      </w:rPr>
    </w:lvl>
    <w:lvl w:ilvl="1" w:tplc="5F3E6206" w:tentative="1">
      <w:start w:val="1"/>
      <w:numFmt w:val="lowerLetter"/>
      <w:lvlText w:val="%2."/>
      <w:lvlJc w:val="left"/>
      <w:pPr>
        <w:ind w:left="1440" w:hanging="360"/>
      </w:pPr>
    </w:lvl>
    <w:lvl w:ilvl="2" w:tplc="1110F86A" w:tentative="1">
      <w:start w:val="1"/>
      <w:numFmt w:val="lowerRoman"/>
      <w:lvlText w:val="%3."/>
      <w:lvlJc w:val="right"/>
      <w:pPr>
        <w:ind w:left="2160" w:hanging="180"/>
      </w:pPr>
    </w:lvl>
    <w:lvl w:ilvl="3" w:tplc="98742E3E" w:tentative="1">
      <w:start w:val="1"/>
      <w:numFmt w:val="decimal"/>
      <w:lvlText w:val="%4."/>
      <w:lvlJc w:val="left"/>
      <w:pPr>
        <w:ind w:left="2880" w:hanging="360"/>
      </w:pPr>
    </w:lvl>
    <w:lvl w:ilvl="4" w:tplc="45843D40" w:tentative="1">
      <w:start w:val="1"/>
      <w:numFmt w:val="lowerLetter"/>
      <w:lvlText w:val="%5."/>
      <w:lvlJc w:val="left"/>
      <w:pPr>
        <w:ind w:left="3600" w:hanging="360"/>
      </w:pPr>
    </w:lvl>
    <w:lvl w:ilvl="5" w:tplc="3F5AB546" w:tentative="1">
      <w:start w:val="1"/>
      <w:numFmt w:val="lowerRoman"/>
      <w:lvlText w:val="%6."/>
      <w:lvlJc w:val="right"/>
      <w:pPr>
        <w:ind w:left="4320" w:hanging="180"/>
      </w:pPr>
    </w:lvl>
    <w:lvl w:ilvl="6" w:tplc="C756E7E6" w:tentative="1">
      <w:start w:val="1"/>
      <w:numFmt w:val="decimal"/>
      <w:lvlText w:val="%7."/>
      <w:lvlJc w:val="left"/>
      <w:pPr>
        <w:ind w:left="5040" w:hanging="360"/>
      </w:pPr>
    </w:lvl>
    <w:lvl w:ilvl="7" w:tplc="083427C6" w:tentative="1">
      <w:start w:val="1"/>
      <w:numFmt w:val="lowerLetter"/>
      <w:lvlText w:val="%8."/>
      <w:lvlJc w:val="left"/>
      <w:pPr>
        <w:ind w:left="5760" w:hanging="360"/>
      </w:pPr>
    </w:lvl>
    <w:lvl w:ilvl="8" w:tplc="4B821F0C" w:tentative="1">
      <w:start w:val="1"/>
      <w:numFmt w:val="lowerRoman"/>
      <w:lvlText w:val="%9."/>
      <w:lvlJc w:val="right"/>
      <w:pPr>
        <w:ind w:left="6480" w:hanging="180"/>
      </w:pPr>
    </w:lvl>
  </w:abstractNum>
  <w:abstractNum w:abstractNumId="23" w15:restartNumberingAfterBreak="0">
    <w:nsid w:val="63FA38AF"/>
    <w:multiLevelType w:val="hybridMultilevel"/>
    <w:tmpl w:val="C96A95C2"/>
    <w:lvl w:ilvl="0" w:tplc="E51E4F96">
      <w:start w:val="1"/>
      <w:numFmt w:val="decimal"/>
      <w:lvlText w:val="%1."/>
      <w:lvlJc w:val="left"/>
      <w:pPr>
        <w:ind w:left="720" w:hanging="360"/>
      </w:pPr>
      <w:rPr>
        <w:rFonts w:hint="default"/>
      </w:rPr>
    </w:lvl>
    <w:lvl w:ilvl="1" w:tplc="A4942D82" w:tentative="1">
      <w:start w:val="1"/>
      <w:numFmt w:val="lowerLetter"/>
      <w:lvlText w:val="%2."/>
      <w:lvlJc w:val="left"/>
      <w:pPr>
        <w:ind w:left="1440" w:hanging="360"/>
      </w:pPr>
    </w:lvl>
    <w:lvl w:ilvl="2" w:tplc="5CF48E70" w:tentative="1">
      <w:start w:val="1"/>
      <w:numFmt w:val="lowerRoman"/>
      <w:lvlText w:val="%3."/>
      <w:lvlJc w:val="right"/>
      <w:pPr>
        <w:ind w:left="2160" w:hanging="180"/>
      </w:pPr>
    </w:lvl>
    <w:lvl w:ilvl="3" w:tplc="C876F21A" w:tentative="1">
      <w:start w:val="1"/>
      <w:numFmt w:val="decimal"/>
      <w:lvlText w:val="%4."/>
      <w:lvlJc w:val="left"/>
      <w:pPr>
        <w:ind w:left="2880" w:hanging="360"/>
      </w:pPr>
    </w:lvl>
    <w:lvl w:ilvl="4" w:tplc="80A6065A" w:tentative="1">
      <w:start w:val="1"/>
      <w:numFmt w:val="lowerLetter"/>
      <w:lvlText w:val="%5."/>
      <w:lvlJc w:val="left"/>
      <w:pPr>
        <w:ind w:left="3600" w:hanging="360"/>
      </w:pPr>
    </w:lvl>
    <w:lvl w:ilvl="5" w:tplc="FA9E2832" w:tentative="1">
      <w:start w:val="1"/>
      <w:numFmt w:val="lowerRoman"/>
      <w:lvlText w:val="%6."/>
      <w:lvlJc w:val="right"/>
      <w:pPr>
        <w:ind w:left="4320" w:hanging="180"/>
      </w:pPr>
    </w:lvl>
    <w:lvl w:ilvl="6" w:tplc="621ADD00" w:tentative="1">
      <w:start w:val="1"/>
      <w:numFmt w:val="decimal"/>
      <w:lvlText w:val="%7."/>
      <w:lvlJc w:val="left"/>
      <w:pPr>
        <w:ind w:left="5040" w:hanging="360"/>
      </w:pPr>
    </w:lvl>
    <w:lvl w:ilvl="7" w:tplc="CA468A2A" w:tentative="1">
      <w:start w:val="1"/>
      <w:numFmt w:val="lowerLetter"/>
      <w:lvlText w:val="%8."/>
      <w:lvlJc w:val="left"/>
      <w:pPr>
        <w:ind w:left="5760" w:hanging="360"/>
      </w:pPr>
    </w:lvl>
    <w:lvl w:ilvl="8" w:tplc="138E7466" w:tentative="1">
      <w:start w:val="1"/>
      <w:numFmt w:val="lowerRoman"/>
      <w:lvlText w:val="%9."/>
      <w:lvlJc w:val="right"/>
      <w:pPr>
        <w:ind w:left="6480" w:hanging="180"/>
      </w:pPr>
    </w:lvl>
  </w:abstractNum>
  <w:abstractNum w:abstractNumId="24" w15:restartNumberingAfterBreak="0">
    <w:nsid w:val="6D9373AB"/>
    <w:multiLevelType w:val="multilevel"/>
    <w:tmpl w:val="B89CB32C"/>
    <w:lvl w:ilvl="0">
      <w:start w:val="1"/>
      <w:numFmt w:val="decimal"/>
      <w:lvlText w:val="(%1)"/>
      <w:lvlJc w:val="right"/>
      <w:pPr>
        <w:ind w:left="720" w:hanging="153"/>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793671517">
    <w:abstractNumId w:val="15"/>
  </w:num>
  <w:num w:numId="2" w16cid:durableId="1451634048">
    <w:abstractNumId w:val="19"/>
  </w:num>
  <w:num w:numId="3" w16cid:durableId="492184185">
    <w:abstractNumId w:val="1"/>
  </w:num>
  <w:num w:numId="4" w16cid:durableId="702557276">
    <w:abstractNumId w:val="2"/>
  </w:num>
  <w:num w:numId="5" w16cid:durableId="270670891">
    <w:abstractNumId w:val="3"/>
  </w:num>
  <w:num w:numId="6" w16cid:durableId="1959023578">
    <w:abstractNumId w:val="4"/>
  </w:num>
  <w:num w:numId="7" w16cid:durableId="635796512">
    <w:abstractNumId w:val="9"/>
  </w:num>
  <w:num w:numId="8" w16cid:durableId="2047442745">
    <w:abstractNumId w:val="5"/>
  </w:num>
  <w:num w:numId="9" w16cid:durableId="316105516">
    <w:abstractNumId w:val="7"/>
  </w:num>
  <w:num w:numId="10" w16cid:durableId="86313394">
    <w:abstractNumId w:val="6"/>
  </w:num>
  <w:num w:numId="11" w16cid:durableId="284505818">
    <w:abstractNumId w:val="10"/>
  </w:num>
  <w:num w:numId="12" w16cid:durableId="1129401072">
    <w:abstractNumId w:val="8"/>
  </w:num>
  <w:num w:numId="13" w16cid:durableId="574240886">
    <w:abstractNumId w:val="17"/>
  </w:num>
  <w:num w:numId="14" w16cid:durableId="1842426769">
    <w:abstractNumId w:val="20"/>
  </w:num>
  <w:num w:numId="15" w16cid:durableId="1874806871">
    <w:abstractNumId w:val="14"/>
  </w:num>
  <w:num w:numId="16" w16cid:durableId="476186106">
    <w:abstractNumId w:val="16"/>
  </w:num>
  <w:num w:numId="17" w16cid:durableId="1209032779">
    <w:abstractNumId w:val="11"/>
  </w:num>
  <w:num w:numId="18" w16cid:durableId="16007057">
    <w:abstractNumId w:val="0"/>
  </w:num>
  <w:num w:numId="19" w16cid:durableId="2092695614">
    <w:abstractNumId w:val="12"/>
  </w:num>
  <w:num w:numId="20" w16cid:durableId="218976098">
    <w:abstractNumId w:val="18"/>
  </w:num>
  <w:num w:numId="21" w16cid:durableId="738407540">
    <w:abstractNumId w:val="21"/>
  </w:num>
  <w:num w:numId="22" w16cid:durableId="1118337727">
    <w:abstractNumId w:val="23"/>
  </w:num>
  <w:num w:numId="23" w16cid:durableId="1082799269">
    <w:abstractNumId w:val="13"/>
  </w:num>
  <w:num w:numId="24" w16cid:durableId="545993628">
    <w:abstractNumId w:val="24"/>
  </w:num>
  <w:num w:numId="25" w16cid:durableId="36610471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linkStyl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C15"/>
    <w:rsid w:val="00002465"/>
    <w:rsid w:val="00002833"/>
    <w:rsid w:val="00015106"/>
    <w:rsid w:val="0002144F"/>
    <w:rsid w:val="00027E95"/>
    <w:rsid w:val="000302B5"/>
    <w:rsid w:val="00030444"/>
    <w:rsid w:val="00030E9D"/>
    <w:rsid w:val="00037E4E"/>
    <w:rsid w:val="00041709"/>
    <w:rsid w:val="000544E3"/>
    <w:rsid w:val="00063688"/>
    <w:rsid w:val="00071541"/>
    <w:rsid w:val="00071747"/>
    <w:rsid w:val="0007192A"/>
    <w:rsid w:val="00072154"/>
    <w:rsid w:val="00072815"/>
    <w:rsid w:val="0007294C"/>
    <w:rsid w:val="00077CAE"/>
    <w:rsid w:val="000801B3"/>
    <w:rsid w:val="00086C7E"/>
    <w:rsid w:val="00090E87"/>
    <w:rsid w:val="000A66F8"/>
    <w:rsid w:val="000B29EC"/>
    <w:rsid w:val="000B524D"/>
    <w:rsid w:val="000D19BC"/>
    <w:rsid w:val="000D30CC"/>
    <w:rsid w:val="000D4BD2"/>
    <w:rsid w:val="000E3B67"/>
    <w:rsid w:val="000E66DD"/>
    <w:rsid w:val="000F0683"/>
    <w:rsid w:val="000F447A"/>
    <w:rsid w:val="000F5FEA"/>
    <w:rsid w:val="00101937"/>
    <w:rsid w:val="00103A76"/>
    <w:rsid w:val="00106896"/>
    <w:rsid w:val="001109DB"/>
    <w:rsid w:val="00116DBA"/>
    <w:rsid w:val="00134D9D"/>
    <w:rsid w:val="00135D46"/>
    <w:rsid w:val="00140431"/>
    <w:rsid w:val="0014184D"/>
    <w:rsid w:val="00141BBB"/>
    <w:rsid w:val="00142295"/>
    <w:rsid w:val="00143C89"/>
    <w:rsid w:val="00150569"/>
    <w:rsid w:val="00153DC8"/>
    <w:rsid w:val="001622AF"/>
    <w:rsid w:val="00163115"/>
    <w:rsid w:val="001716A4"/>
    <w:rsid w:val="00175474"/>
    <w:rsid w:val="00177372"/>
    <w:rsid w:val="00181893"/>
    <w:rsid w:val="00182C0F"/>
    <w:rsid w:val="001841E8"/>
    <w:rsid w:val="00186E64"/>
    <w:rsid w:val="00190740"/>
    <w:rsid w:val="00194F20"/>
    <w:rsid w:val="001A11B7"/>
    <w:rsid w:val="001A5288"/>
    <w:rsid w:val="001A555C"/>
    <w:rsid w:val="001B1553"/>
    <w:rsid w:val="001B42D6"/>
    <w:rsid w:val="001C683F"/>
    <w:rsid w:val="001D0E3F"/>
    <w:rsid w:val="001D1147"/>
    <w:rsid w:val="001D2466"/>
    <w:rsid w:val="001D5826"/>
    <w:rsid w:val="001D7B21"/>
    <w:rsid w:val="001E0EB6"/>
    <w:rsid w:val="001E5D84"/>
    <w:rsid w:val="001E6603"/>
    <w:rsid w:val="002001BF"/>
    <w:rsid w:val="0020119B"/>
    <w:rsid w:val="0020289F"/>
    <w:rsid w:val="00206ADA"/>
    <w:rsid w:val="00211DB6"/>
    <w:rsid w:val="00224D5C"/>
    <w:rsid w:val="00226B73"/>
    <w:rsid w:val="002372D9"/>
    <w:rsid w:val="002379E1"/>
    <w:rsid w:val="00240C56"/>
    <w:rsid w:val="002416ED"/>
    <w:rsid w:val="00251C2C"/>
    <w:rsid w:val="002524F7"/>
    <w:rsid w:val="00252653"/>
    <w:rsid w:val="002631CE"/>
    <w:rsid w:val="0026666D"/>
    <w:rsid w:val="00266E22"/>
    <w:rsid w:val="0026775D"/>
    <w:rsid w:val="00275199"/>
    <w:rsid w:val="00276640"/>
    <w:rsid w:val="00276AA2"/>
    <w:rsid w:val="00277A24"/>
    <w:rsid w:val="00286755"/>
    <w:rsid w:val="00294924"/>
    <w:rsid w:val="002A0E7A"/>
    <w:rsid w:val="002A6C47"/>
    <w:rsid w:val="002A77A0"/>
    <w:rsid w:val="002B3528"/>
    <w:rsid w:val="002B6493"/>
    <w:rsid w:val="002C30C2"/>
    <w:rsid w:val="002C5F5B"/>
    <w:rsid w:val="002D161E"/>
    <w:rsid w:val="002D53C9"/>
    <w:rsid w:val="002E0F05"/>
    <w:rsid w:val="002E5A46"/>
    <w:rsid w:val="002F0AD1"/>
    <w:rsid w:val="002F1D03"/>
    <w:rsid w:val="002F5DE6"/>
    <w:rsid w:val="00302FEA"/>
    <w:rsid w:val="00314A03"/>
    <w:rsid w:val="00316A5E"/>
    <w:rsid w:val="0032095A"/>
    <w:rsid w:val="00322354"/>
    <w:rsid w:val="00324B84"/>
    <w:rsid w:val="003350EC"/>
    <w:rsid w:val="00336025"/>
    <w:rsid w:val="003368B5"/>
    <w:rsid w:val="00337AE6"/>
    <w:rsid w:val="00346A1D"/>
    <w:rsid w:val="003472C1"/>
    <w:rsid w:val="00347778"/>
    <w:rsid w:val="00351BD9"/>
    <w:rsid w:val="003526A0"/>
    <w:rsid w:val="00352F8C"/>
    <w:rsid w:val="00353FE8"/>
    <w:rsid w:val="003661C1"/>
    <w:rsid w:val="00374753"/>
    <w:rsid w:val="0038295D"/>
    <w:rsid w:val="00384A6A"/>
    <w:rsid w:val="00387493"/>
    <w:rsid w:val="003957E3"/>
    <w:rsid w:val="003A063C"/>
    <w:rsid w:val="003A1F2E"/>
    <w:rsid w:val="003A7EA8"/>
    <w:rsid w:val="003B1CEA"/>
    <w:rsid w:val="003C2937"/>
    <w:rsid w:val="003D0793"/>
    <w:rsid w:val="003E29AC"/>
    <w:rsid w:val="003E6065"/>
    <w:rsid w:val="003F6E99"/>
    <w:rsid w:val="0040169B"/>
    <w:rsid w:val="00401D52"/>
    <w:rsid w:val="00402DCB"/>
    <w:rsid w:val="00405B65"/>
    <w:rsid w:val="00413D7A"/>
    <w:rsid w:val="00416BA9"/>
    <w:rsid w:val="0042048A"/>
    <w:rsid w:val="00435EC5"/>
    <w:rsid w:val="00436116"/>
    <w:rsid w:val="00442D30"/>
    <w:rsid w:val="00447B92"/>
    <w:rsid w:val="0045585F"/>
    <w:rsid w:val="0046130E"/>
    <w:rsid w:val="00463D5D"/>
    <w:rsid w:val="0046634C"/>
    <w:rsid w:val="00472A04"/>
    <w:rsid w:val="00472FE0"/>
    <w:rsid w:val="004732CF"/>
    <w:rsid w:val="00474885"/>
    <w:rsid w:val="004775C8"/>
    <w:rsid w:val="00481E9F"/>
    <w:rsid w:val="004854F0"/>
    <w:rsid w:val="0049149A"/>
    <w:rsid w:val="0049742D"/>
    <w:rsid w:val="00497BF9"/>
    <w:rsid w:val="004A49C6"/>
    <w:rsid w:val="004A569C"/>
    <w:rsid w:val="004A636B"/>
    <w:rsid w:val="004B1C06"/>
    <w:rsid w:val="004B7A40"/>
    <w:rsid w:val="004B7A76"/>
    <w:rsid w:val="004C0B53"/>
    <w:rsid w:val="004D28E6"/>
    <w:rsid w:val="004D6AF3"/>
    <w:rsid w:val="004F5241"/>
    <w:rsid w:val="005003AD"/>
    <w:rsid w:val="0050073F"/>
    <w:rsid w:val="005040BC"/>
    <w:rsid w:val="005041E1"/>
    <w:rsid w:val="00506C3B"/>
    <w:rsid w:val="00513207"/>
    <w:rsid w:val="00520B13"/>
    <w:rsid w:val="00524C45"/>
    <w:rsid w:val="0052545B"/>
    <w:rsid w:val="00531864"/>
    <w:rsid w:val="00531A99"/>
    <w:rsid w:val="00544669"/>
    <w:rsid w:val="00544FD9"/>
    <w:rsid w:val="005461F0"/>
    <w:rsid w:val="00546A36"/>
    <w:rsid w:val="0055173C"/>
    <w:rsid w:val="00552198"/>
    <w:rsid w:val="005600C8"/>
    <w:rsid w:val="00565864"/>
    <w:rsid w:val="005732E8"/>
    <w:rsid w:val="005854FF"/>
    <w:rsid w:val="00590261"/>
    <w:rsid w:val="005945BA"/>
    <w:rsid w:val="005A1D25"/>
    <w:rsid w:val="005A338D"/>
    <w:rsid w:val="005A45D9"/>
    <w:rsid w:val="005B48B2"/>
    <w:rsid w:val="005B7C44"/>
    <w:rsid w:val="005C2552"/>
    <w:rsid w:val="005C5B97"/>
    <w:rsid w:val="005C6D5F"/>
    <w:rsid w:val="005C6E73"/>
    <w:rsid w:val="005D1031"/>
    <w:rsid w:val="005D2A6D"/>
    <w:rsid w:val="005E4093"/>
    <w:rsid w:val="005E409C"/>
    <w:rsid w:val="005F3982"/>
    <w:rsid w:val="005F3C1B"/>
    <w:rsid w:val="0060253F"/>
    <w:rsid w:val="006130F3"/>
    <w:rsid w:val="00615F75"/>
    <w:rsid w:val="00623C9E"/>
    <w:rsid w:val="00626E7B"/>
    <w:rsid w:val="00632D6D"/>
    <w:rsid w:val="00635028"/>
    <w:rsid w:val="0063512C"/>
    <w:rsid w:val="006356D3"/>
    <w:rsid w:val="006414EC"/>
    <w:rsid w:val="00654041"/>
    <w:rsid w:val="00655D6C"/>
    <w:rsid w:val="006604BB"/>
    <w:rsid w:val="00663FE4"/>
    <w:rsid w:val="00667765"/>
    <w:rsid w:val="00682CBB"/>
    <w:rsid w:val="006831E9"/>
    <w:rsid w:val="006923ED"/>
    <w:rsid w:val="0069359A"/>
    <w:rsid w:val="006A23DB"/>
    <w:rsid w:val="006A76ED"/>
    <w:rsid w:val="006A7807"/>
    <w:rsid w:val="006B01BB"/>
    <w:rsid w:val="006B0EB0"/>
    <w:rsid w:val="006B1647"/>
    <w:rsid w:val="006B2A54"/>
    <w:rsid w:val="006D2230"/>
    <w:rsid w:val="006D62F4"/>
    <w:rsid w:val="006E2CA0"/>
    <w:rsid w:val="006E7165"/>
    <w:rsid w:val="006E764E"/>
    <w:rsid w:val="006E7DC4"/>
    <w:rsid w:val="006F0F8A"/>
    <w:rsid w:val="00700A39"/>
    <w:rsid w:val="00702EFA"/>
    <w:rsid w:val="007039E4"/>
    <w:rsid w:val="00704A73"/>
    <w:rsid w:val="007108E2"/>
    <w:rsid w:val="00715CAD"/>
    <w:rsid w:val="0072310C"/>
    <w:rsid w:val="007344A5"/>
    <w:rsid w:val="007352DA"/>
    <w:rsid w:val="0073700A"/>
    <w:rsid w:val="007405D3"/>
    <w:rsid w:val="00742B28"/>
    <w:rsid w:val="00750054"/>
    <w:rsid w:val="00750465"/>
    <w:rsid w:val="007520A0"/>
    <w:rsid w:val="007531C4"/>
    <w:rsid w:val="00755488"/>
    <w:rsid w:val="0076586D"/>
    <w:rsid w:val="007662E9"/>
    <w:rsid w:val="0076699A"/>
    <w:rsid w:val="00772B62"/>
    <w:rsid w:val="00774029"/>
    <w:rsid w:val="0079471D"/>
    <w:rsid w:val="007A062E"/>
    <w:rsid w:val="007A2394"/>
    <w:rsid w:val="007A7A9B"/>
    <w:rsid w:val="007B3B37"/>
    <w:rsid w:val="007C3AD4"/>
    <w:rsid w:val="007D0E78"/>
    <w:rsid w:val="007D1576"/>
    <w:rsid w:val="007D33D8"/>
    <w:rsid w:val="007E3DD4"/>
    <w:rsid w:val="007E40B1"/>
    <w:rsid w:val="007E45EE"/>
    <w:rsid w:val="007F085D"/>
    <w:rsid w:val="007F2B76"/>
    <w:rsid w:val="007F54E7"/>
    <w:rsid w:val="00813D2D"/>
    <w:rsid w:val="00815509"/>
    <w:rsid w:val="00820C54"/>
    <w:rsid w:val="00821BF0"/>
    <w:rsid w:val="008266F3"/>
    <w:rsid w:val="008305FA"/>
    <w:rsid w:val="0083262E"/>
    <w:rsid w:val="00860C05"/>
    <w:rsid w:val="00873294"/>
    <w:rsid w:val="00882B98"/>
    <w:rsid w:val="008875AE"/>
    <w:rsid w:val="008916F8"/>
    <w:rsid w:val="00894447"/>
    <w:rsid w:val="0089564F"/>
    <w:rsid w:val="008A23A2"/>
    <w:rsid w:val="008A6E67"/>
    <w:rsid w:val="008B4F40"/>
    <w:rsid w:val="008B5041"/>
    <w:rsid w:val="008B7BEF"/>
    <w:rsid w:val="008C2358"/>
    <w:rsid w:val="008C3AE0"/>
    <w:rsid w:val="008C3C6D"/>
    <w:rsid w:val="008C5426"/>
    <w:rsid w:val="008D381C"/>
    <w:rsid w:val="008E2C52"/>
    <w:rsid w:val="008E5155"/>
    <w:rsid w:val="008E5818"/>
    <w:rsid w:val="008E5FE4"/>
    <w:rsid w:val="008F20B0"/>
    <w:rsid w:val="008F282B"/>
    <w:rsid w:val="008F3F2D"/>
    <w:rsid w:val="008F6E1B"/>
    <w:rsid w:val="00900459"/>
    <w:rsid w:val="009021CC"/>
    <w:rsid w:val="00902F74"/>
    <w:rsid w:val="009048D2"/>
    <w:rsid w:val="0091096E"/>
    <w:rsid w:val="009169D2"/>
    <w:rsid w:val="00917DC7"/>
    <w:rsid w:val="009238DB"/>
    <w:rsid w:val="00924ACA"/>
    <w:rsid w:val="00925049"/>
    <w:rsid w:val="00926096"/>
    <w:rsid w:val="00927DC8"/>
    <w:rsid w:val="00932287"/>
    <w:rsid w:val="00942708"/>
    <w:rsid w:val="00944627"/>
    <w:rsid w:val="00944AD5"/>
    <w:rsid w:val="00953C13"/>
    <w:rsid w:val="00960F53"/>
    <w:rsid w:val="009678A4"/>
    <w:rsid w:val="00967F90"/>
    <w:rsid w:val="00972253"/>
    <w:rsid w:val="00976C31"/>
    <w:rsid w:val="009837AF"/>
    <w:rsid w:val="009A436C"/>
    <w:rsid w:val="009B37D0"/>
    <w:rsid w:val="009C0BB3"/>
    <w:rsid w:val="009C17F5"/>
    <w:rsid w:val="009C54E5"/>
    <w:rsid w:val="009C7175"/>
    <w:rsid w:val="009F6450"/>
    <w:rsid w:val="009F7766"/>
    <w:rsid w:val="00A05CE3"/>
    <w:rsid w:val="00A118CE"/>
    <w:rsid w:val="00A12C44"/>
    <w:rsid w:val="00A14A06"/>
    <w:rsid w:val="00A15FC0"/>
    <w:rsid w:val="00A20885"/>
    <w:rsid w:val="00A2253D"/>
    <w:rsid w:val="00A245A9"/>
    <w:rsid w:val="00A270A5"/>
    <w:rsid w:val="00A2725F"/>
    <w:rsid w:val="00A31635"/>
    <w:rsid w:val="00A46ADC"/>
    <w:rsid w:val="00A65DAF"/>
    <w:rsid w:val="00A71E4B"/>
    <w:rsid w:val="00A7324C"/>
    <w:rsid w:val="00A74EAF"/>
    <w:rsid w:val="00A76F4A"/>
    <w:rsid w:val="00A80B34"/>
    <w:rsid w:val="00A917BA"/>
    <w:rsid w:val="00A9292F"/>
    <w:rsid w:val="00A94C81"/>
    <w:rsid w:val="00A96B2B"/>
    <w:rsid w:val="00AA3F60"/>
    <w:rsid w:val="00AA43EB"/>
    <w:rsid w:val="00AB1BF0"/>
    <w:rsid w:val="00AB64A4"/>
    <w:rsid w:val="00AC75BE"/>
    <w:rsid w:val="00AD12B1"/>
    <w:rsid w:val="00AD12DF"/>
    <w:rsid w:val="00AD4C75"/>
    <w:rsid w:val="00AE4076"/>
    <w:rsid w:val="00AF10EA"/>
    <w:rsid w:val="00AF6265"/>
    <w:rsid w:val="00AF63E0"/>
    <w:rsid w:val="00AF6750"/>
    <w:rsid w:val="00B17607"/>
    <w:rsid w:val="00B23FE2"/>
    <w:rsid w:val="00B301D6"/>
    <w:rsid w:val="00B37C88"/>
    <w:rsid w:val="00B41E84"/>
    <w:rsid w:val="00B46185"/>
    <w:rsid w:val="00B54DBA"/>
    <w:rsid w:val="00B57C15"/>
    <w:rsid w:val="00B67474"/>
    <w:rsid w:val="00B71157"/>
    <w:rsid w:val="00B76519"/>
    <w:rsid w:val="00B81204"/>
    <w:rsid w:val="00B90C66"/>
    <w:rsid w:val="00B96A6F"/>
    <w:rsid w:val="00BB0068"/>
    <w:rsid w:val="00BB1E14"/>
    <w:rsid w:val="00BC4BBD"/>
    <w:rsid w:val="00BC5458"/>
    <w:rsid w:val="00BD408D"/>
    <w:rsid w:val="00BD644A"/>
    <w:rsid w:val="00BD77A4"/>
    <w:rsid w:val="00BD795D"/>
    <w:rsid w:val="00BE0305"/>
    <w:rsid w:val="00BE1DE9"/>
    <w:rsid w:val="00BE59D9"/>
    <w:rsid w:val="00BF2E5B"/>
    <w:rsid w:val="00BF5BE7"/>
    <w:rsid w:val="00C00BDF"/>
    <w:rsid w:val="00C049B5"/>
    <w:rsid w:val="00C05502"/>
    <w:rsid w:val="00C1205C"/>
    <w:rsid w:val="00C30BA4"/>
    <w:rsid w:val="00C31F6F"/>
    <w:rsid w:val="00C33EED"/>
    <w:rsid w:val="00C3754F"/>
    <w:rsid w:val="00C40781"/>
    <w:rsid w:val="00C4078D"/>
    <w:rsid w:val="00C420F1"/>
    <w:rsid w:val="00C4349A"/>
    <w:rsid w:val="00C51D63"/>
    <w:rsid w:val="00C54288"/>
    <w:rsid w:val="00C56579"/>
    <w:rsid w:val="00C741EB"/>
    <w:rsid w:val="00C759C3"/>
    <w:rsid w:val="00C75EF3"/>
    <w:rsid w:val="00C9292C"/>
    <w:rsid w:val="00C96996"/>
    <w:rsid w:val="00CA42E4"/>
    <w:rsid w:val="00CA473F"/>
    <w:rsid w:val="00CA4C5D"/>
    <w:rsid w:val="00CB20D2"/>
    <w:rsid w:val="00CB2660"/>
    <w:rsid w:val="00CC7968"/>
    <w:rsid w:val="00CC7BBB"/>
    <w:rsid w:val="00CD4208"/>
    <w:rsid w:val="00CD46AA"/>
    <w:rsid w:val="00CE0013"/>
    <w:rsid w:val="00CE26CB"/>
    <w:rsid w:val="00CE3D0E"/>
    <w:rsid w:val="00CF7B53"/>
    <w:rsid w:val="00D03094"/>
    <w:rsid w:val="00D05917"/>
    <w:rsid w:val="00D0619D"/>
    <w:rsid w:val="00D0669D"/>
    <w:rsid w:val="00D06E18"/>
    <w:rsid w:val="00D103B5"/>
    <w:rsid w:val="00D144BD"/>
    <w:rsid w:val="00D15DB4"/>
    <w:rsid w:val="00D204B0"/>
    <w:rsid w:val="00D249B6"/>
    <w:rsid w:val="00D41D6B"/>
    <w:rsid w:val="00D43CEC"/>
    <w:rsid w:val="00D44D77"/>
    <w:rsid w:val="00D50E9E"/>
    <w:rsid w:val="00D5273B"/>
    <w:rsid w:val="00D52C3F"/>
    <w:rsid w:val="00D65A6A"/>
    <w:rsid w:val="00D75160"/>
    <w:rsid w:val="00D87DD3"/>
    <w:rsid w:val="00D92365"/>
    <w:rsid w:val="00D97746"/>
    <w:rsid w:val="00DA0C8B"/>
    <w:rsid w:val="00DA704E"/>
    <w:rsid w:val="00DB38EB"/>
    <w:rsid w:val="00DC242F"/>
    <w:rsid w:val="00DC2443"/>
    <w:rsid w:val="00DC522F"/>
    <w:rsid w:val="00DC7282"/>
    <w:rsid w:val="00DC7552"/>
    <w:rsid w:val="00DD0A09"/>
    <w:rsid w:val="00DD37A1"/>
    <w:rsid w:val="00DD77D4"/>
    <w:rsid w:val="00DD7813"/>
    <w:rsid w:val="00DE049F"/>
    <w:rsid w:val="00DE415B"/>
    <w:rsid w:val="00DF159A"/>
    <w:rsid w:val="00DF49AA"/>
    <w:rsid w:val="00E018FA"/>
    <w:rsid w:val="00E03AA1"/>
    <w:rsid w:val="00E06EC5"/>
    <w:rsid w:val="00E114C6"/>
    <w:rsid w:val="00E1521F"/>
    <w:rsid w:val="00E170AB"/>
    <w:rsid w:val="00E240A7"/>
    <w:rsid w:val="00E255E3"/>
    <w:rsid w:val="00E31C0E"/>
    <w:rsid w:val="00E33601"/>
    <w:rsid w:val="00E345D3"/>
    <w:rsid w:val="00E3614A"/>
    <w:rsid w:val="00E41448"/>
    <w:rsid w:val="00E43D0F"/>
    <w:rsid w:val="00E546B9"/>
    <w:rsid w:val="00E55626"/>
    <w:rsid w:val="00E55CF9"/>
    <w:rsid w:val="00E56815"/>
    <w:rsid w:val="00E570B4"/>
    <w:rsid w:val="00E60E38"/>
    <w:rsid w:val="00E7369E"/>
    <w:rsid w:val="00E9471C"/>
    <w:rsid w:val="00E97165"/>
    <w:rsid w:val="00E979C9"/>
    <w:rsid w:val="00EA1BE5"/>
    <w:rsid w:val="00EB220F"/>
    <w:rsid w:val="00EB3219"/>
    <w:rsid w:val="00EC1453"/>
    <w:rsid w:val="00EC38E7"/>
    <w:rsid w:val="00EC6572"/>
    <w:rsid w:val="00ED64CF"/>
    <w:rsid w:val="00EE3F46"/>
    <w:rsid w:val="00EE4C5A"/>
    <w:rsid w:val="00EE4F49"/>
    <w:rsid w:val="00EF26D8"/>
    <w:rsid w:val="00EF2E88"/>
    <w:rsid w:val="00F0098A"/>
    <w:rsid w:val="00F07A46"/>
    <w:rsid w:val="00F11BEC"/>
    <w:rsid w:val="00F11C05"/>
    <w:rsid w:val="00F1255F"/>
    <w:rsid w:val="00F203B8"/>
    <w:rsid w:val="00F21C3D"/>
    <w:rsid w:val="00F24AC9"/>
    <w:rsid w:val="00F26956"/>
    <w:rsid w:val="00F31F5A"/>
    <w:rsid w:val="00F3463C"/>
    <w:rsid w:val="00F35A5D"/>
    <w:rsid w:val="00F41BD9"/>
    <w:rsid w:val="00F4418A"/>
    <w:rsid w:val="00F45F06"/>
    <w:rsid w:val="00F47613"/>
    <w:rsid w:val="00F50AC3"/>
    <w:rsid w:val="00F55F56"/>
    <w:rsid w:val="00F62291"/>
    <w:rsid w:val="00F669CD"/>
    <w:rsid w:val="00F66EF7"/>
    <w:rsid w:val="00F71F1B"/>
    <w:rsid w:val="00F76B25"/>
    <w:rsid w:val="00F76E11"/>
    <w:rsid w:val="00F829A5"/>
    <w:rsid w:val="00F85E09"/>
    <w:rsid w:val="00F87A90"/>
    <w:rsid w:val="00F94FB6"/>
    <w:rsid w:val="00F950A7"/>
    <w:rsid w:val="00F9558A"/>
    <w:rsid w:val="00FA07B6"/>
    <w:rsid w:val="00FA10E4"/>
    <w:rsid w:val="00FA4EED"/>
    <w:rsid w:val="00FA6B1E"/>
    <w:rsid w:val="00FB7BAE"/>
    <w:rsid w:val="00FC1875"/>
    <w:rsid w:val="00FC7C54"/>
    <w:rsid w:val="00FD3D89"/>
    <w:rsid w:val="00FD4FBD"/>
    <w:rsid w:val="00FD597B"/>
    <w:rsid w:val="00FE10FA"/>
    <w:rsid w:val="00FE1639"/>
    <w:rsid w:val="00FE1F47"/>
    <w:rsid w:val="00FE59B6"/>
    <w:rsid w:val="00FF0B7B"/>
    <w:rsid w:val="00FF0E10"/>
    <w:rsid w:val="00FF13A9"/>
    <w:rsid w:val="00FF2F6B"/>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FB3789"/>
  <w15:docId w15:val="{42481FD1-696A-46E0-B5AC-E7574A7B9F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qFormat="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1C0E"/>
    <w:pPr>
      <w:spacing w:after="0" w:line="480" w:lineRule="auto"/>
    </w:pPr>
    <w:rPr>
      <w:rFonts w:ascii="Times New Roman" w:eastAsia="Times New Roman" w:hAnsi="Times New Roman" w:cs="Times New Roman"/>
      <w:sz w:val="24"/>
      <w:szCs w:val="24"/>
      <w:lang w:val="en-GB" w:eastAsia="en-GB"/>
    </w:rPr>
  </w:style>
  <w:style w:type="paragraph" w:styleId="Heading1">
    <w:name w:val="heading 1"/>
    <w:basedOn w:val="Normal"/>
    <w:next w:val="Paragraph"/>
    <w:link w:val="Heading1Char"/>
    <w:qFormat/>
    <w:rsid w:val="00E31C0E"/>
    <w:pPr>
      <w:keepNext/>
      <w:spacing w:before="360" w:after="60" w:line="360" w:lineRule="auto"/>
      <w:ind w:right="567"/>
      <w:contextualSpacing/>
      <w:outlineLvl w:val="0"/>
    </w:pPr>
    <w:rPr>
      <w:rFonts w:cs="Arial"/>
      <w:b/>
      <w:bCs/>
      <w:kern w:val="32"/>
      <w:szCs w:val="32"/>
    </w:rPr>
  </w:style>
  <w:style w:type="paragraph" w:styleId="Heading2">
    <w:name w:val="heading 2"/>
    <w:basedOn w:val="Normal"/>
    <w:next w:val="Paragraph"/>
    <w:link w:val="Heading2Char"/>
    <w:qFormat/>
    <w:rsid w:val="00E31C0E"/>
    <w:pPr>
      <w:keepNext/>
      <w:spacing w:before="360" w:after="60" w:line="360" w:lineRule="auto"/>
      <w:ind w:right="567"/>
      <w:contextualSpacing/>
      <w:outlineLvl w:val="1"/>
    </w:pPr>
    <w:rPr>
      <w:rFonts w:cs="Arial"/>
      <w:b/>
      <w:bCs/>
      <w:i/>
      <w:iCs/>
      <w:szCs w:val="28"/>
    </w:rPr>
  </w:style>
  <w:style w:type="paragraph" w:styleId="Heading3">
    <w:name w:val="heading 3"/>
    <w:basedOn w:val="Normal"/>
    <w:next w:val="Paragraph"/>
    <w:link w:val="Heading3Char"/>
    <w:qFormat/>
    <w:rsid w:val="00E31C0E"/>
    <w:pPr>
      <w:keepNext/>
      <w:spacing w:before="360" w:after="60" w:line="360" w:lineRule="auto"/>
      <w:ind w:right="567"/>
      <w:contextualSpacing/>
      <w:outlineLvl w:val="2"/>
    </w:pPr>
    <w:rPr>
      <w:rFonts w:cs="Arial"/>
      <w:bCs/>
      <w:i/>
      <w:szCs w:val="26"/>
    </w:rPr>
  </w:style>
  <w:style w:type="paragraph" w:styleId="Heading4">
    <w:name w:val="heading 4"/>
    <w:basedOn w:val="Paragraph"/>
    <w:next w:val="Newparagraph"/>
    <w:link w:val="Heading4Char"/>
    <w:rsid w:val="00E31C0E"/>
    <w:pPr>
      <w:spacing w:before="360"/>
      <w:outlineLvl w:val="3"/>
    </w:pPr>
    <w:rPr>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31C0E"/>
    <w:rPr>
      <w:rFonts w:ascii="Times New Roman" w:eastAsia="Times New Roman" w:hAnsi="Times New Roman" w:cs="Arial"/>
      <w:b/>
      <w:bCs/>
      <w:kern w:val="32"/>
      <w:sz w:val="24"/>
      <w:szCs w:val="32"/>
      <w:lang w:val="en-GB" w:eastAsia="en-GB"/>
    </w:rPr>
  </w:style>
  <w:style w:type="paragraph" w:customStyle="1" w:styleId="Paragraph">
    <w:name w:val="Paragraph"/>
    <w:basedOn w:val="Normal"/>
    <w:next w:val="Newparagraph"/>
    <w:qFormat/>
    <w:rsid w:val="00E31C0E"/>
    <w:pPr>
      <w:widowControl w:val="0"/>
      <w:spacing w:before="240"/>
    </w:pPr>
  </w:style>
  <w:style w:type="character" w:customStyle="1" w:styleId="CommentTextChar">
    <w:name w:val="Comment Text Char"/>
    <w:aliases w:val=" 字元 Char,Char11 Char,字元 Char"/>
    <w:basedOn w:val="DefaultParagraphFont"/>
    <w:link w:val="CommentText"/>
    <w:uiPriority w:val="99"/>
    <w:qFormat/>
    <w:locked/>
    <w:rsid w:val="00B57C15"/>
    <w:rPr>
      <w:rFonts w:ascii="Times New Roman" w:eastAsia="Times New Roman" w:hAnsi="Times New Roman" w:cs="Times New Roman"/>
      <w:sz w:val="20"/>
      <w:szCs w:val="20"/>
      <w:lang w:eastAsia="en-GB"/>
    </w:rPr>
  </w:style>
  <w:style w:type="paragraph" w:styleId="CommentText">
    <w:name w:val="annotation text"/>
    <w:aliases w:val=" 字元,Char11,字元"/>
    <w:basedOn w:val="Normal"/>
    <w:link w:val="CommentTextChar"/>
    <w:uiPriority w:val="99"/>
    <w:unhideWhenUsed/>
    <w:qFormat/>
    <w:rsid w:val="00B57C15"/>
    <w:pPr>
      <w:spacing w:line="240" w:lineRule="auto"/>
    </w:pPr>
    <w:rPr>
      <w:sz w:val="20"/>
      <w:szCs w:val="20"/>
    </w:rPr>
  </w:style>
  <w:style w:type="character" w:customStyle="1" w:styleId="CommentTextChar1">
    <w:name w:val="Comment Text Char1"/>
    <w:basedOn w:val="DefaultParagraphFont"/>
    <w:uiPriority w:val="99"/>
    <w:semiHidden/>
    <w:rsid w:val="00B57C15"/>
    <w:rPr>
      <w:rFonts w:ascii="Times New Roman" w:eastAsia="Times New Roman" w:hAnsi="Times New Roman" w:cs="Times New Roman"/>
      <w:sz w:val="20"/>
      <w:szCs w:val="20"/>
      <w:lang w:eastAsia="en-GB"/>
    </w:rPr>
  </w:style>
  <w:style w:type="paragraph" w:styleId="Caption">
    <w:name w:val="caption"/>
    <w:basedOn w:val="Normal"/>
    <w:next w:val="Normal"/>
    <w:uiPriority w:val="35"/>
    <w:semiHidden/>
    <w:unhideWhenUsed/>
    <w:qFormat/>
    <w:rsid w:val="00B57C15"/>
    <w:pPr>
      <w:spacing w:after="200" w:line="240" w:lineRule="auto"/>
    </w:pPr>
    <w:rPr>
      <w:rFonts w:eastAsiaTheme="minorEastAsia"/>
      <w:b/>
      <w:bCs/>
      <w:color w:val="4472C4" w:themeColor="accent1"/>
      <w:sz w:val="18"/>
      <w:szCs w:val="18"/>
      <w:lang w:eastAsia="ja-JP"/>
    </w:rPr>
  </w:style>
  <w:style w:type="paragraph" w:styleId="NoSpacing">
    <w:name w:val="No Spacing"/>
    <w:uiPriority w:val="1"/>
    <w:qFormat/>
    <w:rsid w:val="00B57C15"/>
    <w:pPr>
      <w:spacing w:after="0" w:line="240" w:lineRule="auto"/>
    </w:pPr>
    <w:rPr>
      <w:sz w:val="24"/>
      <w:szCs w:val="24"/>
    </w:rPr>
  </w:style>
  <w:style w:type="paragraph" w:customStyle="1" w:styleId="Articletitle">
    <w:name w:val="Article title"/>
    <w:basedOn w:val="Normal"/>
    <w:next w:val="Normal"/>
    <w:qFormat/>
    <w:rsid w:val="00E31C0E"/>
    <w:pPr>
      <w:spacing w:after="120" w:line="360" w:lineRule="auto"/>
    </w:pPr>
    <w:rPr>
      <w:b/>
      <w:sz w:val="28"/>
    </w:rPr>
  </w:style>
  <w:style w:type="paragraph" w:customStyle="1" w:styleId="Displayedequation">
    <w:name w:val="Displayed equation"/>
    <w:basedOn w:val="Normal"/>
    <w:next w:val="Paragraph"/>
    <w:qFormat/>
    <w:rsid w:val="00E31C0E"/>
    <w:pPr>
      <w:tabs>
        <w:tab w:val="center" w:pos="4253"/>
        <w:tab w:val="right" w:pos="8222"/>
      </w:tabs>
      <w:spacing w:before="240" w:after="240"/>
      <w:jc w:val="center"/>
    </w:pPr>
  </w:style>
  <w:style w:type="paragraph" w:customStyle="1" w:styleId="Figurecaption">
    <w:name w:val="Figure caption"/>
    <w:basedOn w:val="Normal"/>
    <w:next w:val="Normal"/>
    <w:qFormat/>
    <w:rsid w:val="00E31C0E"/>
    <w:pPr>
      <w:spacing w:before="240" w:line="360" w:lineRule="auto"/>
    </w:pPr>
  </w:style>
  <w:style w:type="paragraph" w:customStyle="1" w:styleId="Newparagraph">
    <w:name w:val="New paragraph"/>
    <w:basedOn w:val="Normal"/>
    <w:qFormat/>
    <w:rsid w:val="00E31C0E"/>
    <w:pPr>
      <w:ind w:firstLine="720"/>
    </w:pPr>
  </w:style>
  <w:style w:type="character" w:styleId="CommentReference">
    <w:name w:val="annotation reference"/>
    <w:basedOn w:val="DefaultParagraphFont"/>
    <w:uiPriority w:val="99"/>
    <w:semiHidden/>
    <w:unhideWhenUsed/>
    <w:rsid w:val="00B57C15"/>
    <w:rPr>
      <w:sz w:val="16"/>
      <w:szCs w:val="16"/>
    </w:rPr>
  </w:style>
  <w:style w:type="paragraph" w:customStyle="1" w:styleId="References">
    <w:name w:val="References"/>
    <w:basedOn w:val="Normal"/>
    <w:qFormat/>
    <w:rsid w:val="00E31C0E"/>
    <w:pPr>
      <w:spacing w:before="120" w:line="360" w:lineRule="auto"/>
      <w:ind w:left="720" w:hanging="720"/>
      <w:contextualSpacing/>
    </w:pPr>
  </w:style>
  <w:style w:type="paragraph" w:styleId="CommentSubject">
    <w:name w:val="annotation subject"/>
    <w:basedOn w:val="CommentText"/>
    <w:next w:val="CommentText"/>
    <w:link w:val="CommentSubjectChar"/>
    <w:uiPriority w:val="99"/>
    <w:semiHidden/>
    <w:unhideWhenUsed/>
    <w:rsid w:val="002524F7"/>
    <w:rPr>
      <w:b/>
      <w:bCs/>
    </w:rPr>
  </w:style>
  <w:style w:type="character" w:customStyle="1" w:styleId="CommentSubjectChar">
    <w:name w:val="Comment Subject Char"/>
    <w:basedOn w:val="CommentTextChar"/>
    <w:link w:val="CommentSubject"/>
    <w:uiPriority w:val="99"/>
    <w:semiHidden/>
    <w:rsid w:val="002524F7"/>
    <w:rPr>
      <w:rFonts w:ascii="Times New Roman" w:eastAsia="Times New Roman" w:hAnsi="Times New Roman" w:cs="Times New Roman"/>
      <w:b/>
      <w:bCs/>
      <w:sz w:val="20"/>
      <w:szCs w:val="20"/>
      <w:lang w:eastAsia="en-GB"/>
    </w:rPr>
  </w:style>
  <w:style w:type="paragraph" w:styleId="BalloonText">
    <w:name w:val="Balloon Text"/>
    <w:basedOn w:val="Normal"/>
    <w:link w:val="BalloonTextChar"/>
    <w:uiPriority w:val="99"/>
    <w:semiHidden/>
    <w:unhideWhenUsed/>
    <w:rsid w:val="002524F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524F7"/>
    <w:rPr>
      <w:rFonts w:ascii="Segoe UI" w:eastAsia="Times New Roman" w:hAnsi="Segoe UI" w:cs="Segoe UI"/>
      <w:sz w:val="18"/>
      <w:szCs w:val="18"/>
      <w:lang w:eastAsia="en-GB"/>
    </w:rPr>
  </w:style>
  <w:style w:type="character" w:styleId="Hyperlink">
    <w:name w:val="Hyperlink"/>
    <w:basedOn w:val="DefaultParagraphFont"/>
    <w:uiPriority w:val="99"/>
    <w:unhideWhenUsed/>
    <w:rsid w:val="002524F7"/>
    <w:rPr>
      <w:color w:val="0000FF"/>
      <w:u w:val="single"/>
    </w:rPr>
  </w:style>
  <w:style w:type="character" w:customStyle="1" w:styleId="Heading2Char">
    <w:name w:val="Heading 2 Char"/>
    <w:basedOn w:val="DefaultParagraphFont"/>
    <w:link w:val="Heading2"/>
    <w:rsid w:val="00E31C0E"/>
    <w:rPr>
      <w:rFonts w:ascii="Times New Roman" w:eastAsia="Times New Roman" w:hAnsi="Times New Roman" w:cs="Arial"/>
      <w:b/>
      <w:bCs/>
      <w:i/>
      <w:iCs/>
      <w:sz w:val="24"/>
      <w:szCs w:val="28"/>
      <w:lang w:val="en-GB" w:eastAsia="en-GB"/>
    </w:rPr>
  </w:style>
  <w:style w:type="character" w:customStyle="1" w:styleId="Heading3Char">
    <w:name w:val="Heading 3 Char"/>
    <w:basedOn w:val="DefaultParagraphFont"/>
    <w:link w:val="Heading3"/>
    <w:rsid w:val="00E31C0E"/>
    <w:rPr>
      <w:rFonts w:ascii="Times New Roman" w:eastAsia="Times New Roman" w:hAnsi="Times New Roman" w:cs="Arial"/>
      <w:bCs/>
      <w:i/>
      <w:sz w:val="24"/>
      <w:szCs w:val="26"/>
      <w:lang w:val="en-GB" w:eastAsia="en-GB"/>
    </w:rPr>
  </w:style>
  <w:style w:type="character" w:customStyle="1" w:styleId="Heading4Char">
    <w:name w:val="Heading 4 Char"/>
    <w:basedOn w:val="DefaultParagraphFont"/>
    <w:link w:val="Heading4"/>
    <w:rsid w:val="00E31C0E"/>
    <w:rPr>
      <w:rFonts w:ascii="Times New Roman" w:eastAsia="Times New Roman" w:hAnsi="Times New Roman" w:cs="Times New Roman"/>
      <w:bCs/>
      <w:sz w:val="24"/>
      <w:szCs w:val="28"/>
      <w:lang w:val="en-GB" w:eastAsia="en-GB"/>
    </w:rPr>
  </w:style>
  <w:style w:type="paragraph" w:customStyle="1" w:styleId="Authornames">
    <w:name w:val="Author names"/>
    <w:basedOn w:val="Normal"/>
    <w:next w:val="Normal"/>
    <w:qFormat/>
    <w:rsid w:val="00E31C0E"/>
    <w:pPr>
      <w:spacing w:before="240" w:line="360" w:lineRule="auto"/>
    </w:pPr>
    <w:rPr>
      <w:sz w:val="28"/>
    </w:rPr>
  </w:style>
  <w:style w:type="paragraph" w:customStyle="1" w:styleId="Affiliation">
    <w:name w:val="Affiliation"/>
    <w:basedOn w:val="Normal"/>
    <w:qFormat/>
    <w:rsid w:val="00E31C0E"/>
    <w:pPr>
      <w:spacing w:before="240" w:line="360" w:lineRule="auto"/>
    </w:pPr>
    <w:rPr>
      <w:i/>
    </w:rPr>
  </w:style>
  <w:style w:type="paragraph" w:customStyle="1" w:styleId="Receiveddates">
    <w:name w:val="Received dates"/>
    <w:basedOn w:val="Affiliation"/>
    <w:next w:val="Normal"/>
    <w:qFormat/>
    <w:rsid w:val="00E31C0E"/>
  </w:style>
  <w:style w:type="paragraph" w:customStyle="1" w:styleId="Abstract">
    <w:name w:val="Abstract"/>
    <w:basedOn w:val="Normal"/>
    <w:next w:val="Keywords"/>
    <w:qFormat/>
    <w:rsid w:val="00E31C0E"/>
    <w:pPr>
      <w:spacing w:before="360" w:after="300" w:line="360" w:lineRule="auto"/>
      <w:ind w:left="720" w:right="567"/>
    </w:pPr>
    <w:rPr>
      <w:sz w:val="22"/>
    </w:rPr>
  </w:style>
  <w:style w:type="paragraph" w:customStyle="1" w:styleId="Keywords">
    <w:name w:val="Keywords"/>
    <w:basedOn w:val="Normal"/>
    <w:next w:val="Paragraph"/>
    <w:qFormat/>
    <w:rsid w:val="00E31C0E"/>
    <w:pPr>
      <w:spacing w:before="240" w:after="240" w:line="360" w:lineRule="auto"/>
      <w:ind w:left="720" w:right="567"/>
    </w:pPr>
    <w:rPr>
      <w:sz w:val="22"/>
    </w:rPr>
  </w:style>
  <w:style w:type="paragraph" w:customStyle="1" w:styleId="Correspondencedetails">
    <w:name w:val="Correspondence details"/>
    <w:basedOn w:val="Normal"/>
    <w:qFormat/>
    <w:rsid w:val="00E31C0E"/>
    <w:pPr>
      <w:spacing w:before="240" w:line="360" w:lineRule="auto"/>
    </w:pPr>
  </w:style>
  <w:style w:type="paragraph" w:customStyle="1" w:styleId="Displayedquotation">
    <w:name w:val="Displayed quotation"/>
    <w:basedOn w:val="Normal"/>
    <w:qFormat/>
    <w:rsid w:val="00E31C0E"/>
    <w:pPr>
      <w:tabs>
        <w:tab w:val="left" w:pos="1077"/>
        <w:tab w:val="left" w:pos="1440"/>
        <w:tab w:val="left" w:pos="1797"/>
        <w:tab w:val="left" w:pos="2155"/>
        <w:tab w:val="left" w:pos="2512"/>
      </w:tabs>
      <w:spacing w:before="240" w:after="360" w:line="360" w:lineRule="auto"/>
      <w:ind w:left="709" w:right="425"/>
      <w:contextualSpacing/>
    </w:pPr>
    <w:rPr>
      <w:sz w:val="22"/>
    </w:rPr>
  </w:style>
  <w:style w:type="paragraph" w:customStyle="1" w:styleId="Numberedlist">
    <w:name w:val="Numbered list"/>
    <w:basedOn w:val="Paragraph"/>
    <w:next w:val="Paragraph"/>
    <w:qFormat/>
    <w:rsid w:val="00E31C0E"/>
    <w:pPr>
      <w:widowControl/>
      <w:numPr>
        <w:numId w:val="13"/>
      </w:numPr>
      <w:spacing w:after="240"/>
      <w:contextualSpacing/>
    </w:pPr>
  </w:style>
  <w:style w:type="paragraph" w:customStyle="1" w:styleId="Acknowledgements">
    <w:name w:val="Acknowledgements"/>
    <w:basedOn w:val="Normal"/>
    <w:next w:val="Normal"/>
    <w:qFormat/>
    <w:rsid w:val="00E31C0E"/>
    <w:pPr>
      <w:spacing w:before="120" w:line="360" w:lineRule="auto"/>
    </w:pPr>
    <w:rPr>
      <w:sz w:val="22"/>
    </w:rPr>
  </w:style>
  <w:style w:type="paragraph" w:customStyle="1" w:styleId="Tabletitle">
    <w:name w:val="Table title"/>
    <w:basedOn w:val="Normal"/>
    <w:next w:val="Normal"/>
    <w:qFormat/>
    <w:rsid w:val="00E31C0E"/>
    <w:pPr>
      <w:spacing w:before="240" w:line="360" w:lineRule="auto"/>
    </w:pPr>
  </w:style>
  <w:style w:type="paragraph" w:customStyle="1" w:styleId="Footnotes">
    <w:name w:val="Footnotes"/>
    <w:basedOn w:val="Normal"/>
    <w:qFormat/>
    <w:rsid w:val="00E31C0E"/>
    <w:pPr>
      <w:spacing w:before="120" w:line="360" w:lineRule="auto"/>
      <w:ind w:left="482" w:hanging="482"/>
      <w:contextualSpacing/>
    </w:pPr>
    <w:rPr>
      <w:sz w:val="22"/>
    </w:rPr>
  </w:style>
  <w:style w:type="paragraph" w:customStyle="1" w:styleId="Notesoncontributors">
    <w:name w:val="Notes on contributors"/>
    <w:basedOn w:val="Normal"/>
    <w:qFormat/>
    <w:rsid w:val="00E31C0E"/>
    <w:pPr>
      <w:spacing w:before="240" w:line="360" w:lineRule="auto"/>
    </w:pPr>
    <w:rPr>
      <w:sz w:val="22"/>
    </w:rPr>
  </w:style>
  <w:style w:type="paragraph" w:customStyle="1" w:styleId="Normalparagraphstyle">
    <w:name w:val="Normal paragraph style"/>
    <w:basedOn w:val="Normal"/>
    <w:next w:val="Normal"/>
    <w:rsid w:val="00E31C0E"/>
  </w:style>
  <w:style w:type="paragraph" w:styleId="NormalIndent">
    <w:name w:val="Normal Indent"/>
    <w:basedOn w:val="Normal"/>
    <w:rsid w:val="00E31C0E"/>
    <w:pPr>
      <w:ind w:left="720"/>
    </w:pPr>
  </w:style>
  <w:style w:type="paragraph" w:customStyle="1" w:styleId="Subjectcodes">
    <w:name w:val="Subject codes"/>
    <w:basedOn w:val="Keywords"/>
    <w:next w:val="Paragraph"/>
    <w:qFormat/>
    <w:rsid w:val="00E31C0E"/>
  </w:style>
  <w:style w:type="paragraph" w:customStyle="1" w:styleId="Bulletedlist">
    <w:name w:val="Bulleted list"/>
    <w:basedOn w:val="Paragraph"/>
    <w:next w:val="Paragraph"/>
    <w:qFormat/>
    <w:rsid w:val="00E31C0E"/>
    <w:pPr>
      <w:widowControl/>
      <w:numPr>
        <w:numId w:val="14"/>
      </w:numPr>
      <w:spacing w:after="240"/>
      <w:contextualSpacing/>
    </w:pPr>
  </w:style>
  <w:style w:type="paragraph" w:styleId="FootnoteText">
    <w:name w:val="footnote text"/>
    <w:basedOn w:val="Normal"/>
    <w:link w:val="FootnoteTextChar"/>
    <w:autoRedefine/>
    <w:rsid w:val="00E31C0E"/>
    <w:pPr>
      <w:ind w:left="284" w:hanging="284"/>
    </w:pPr>
    <w:rPr>
      <w:sz w:val="22"/>
      <w:szCs w:val="20"/>
    </w:rPr>
  </w:style>
  <w:style w:type="character" w:customStyle="1" w:styleId="FootnoteTextChar">
    <w:name w:val="Footnote Text Char"/>
    <w:basedOn w:val="DefaultParagraphFont"/>
    <w:link w:val="FootnoteText"/>
    <w:rsid w:val="00E31C0E"/>
    <w:rPr>
      <w:rFonts w:ascii="Times New Roman" w:eastAsia="Times New Roman" w:hAnsi="Times New Roman" w:cs="Times New Roman"/>
      <w:szCs w:val="20"/>
      <w:lang w:val="en-GB" w:eastAsia="en-GB"/>
    </w:rPr>
  </w:style>
  <w:style w:type="character" w:styleId="FootnoteReference">
    <w:name w:val="footnote reference"/>
    <w:basedOn w:val="DefaultParagraphFont"/>
    <w:rsid w:val="00E31C0E"/>
    <w:rPr>
      <w:vertAlign w:val="superscript"/>
    </w:rPr>
  </w:style>
  <w:style w:type="paragraph" w:styleId="EndnoteText">
    <w:name w:val="endnote text"/>
    <w:basedOn w:val="Normal"/>
    <w:link w:val="EndnoteTextChar"/>
    <w:autoRedefine/>
    <w:rsid w:val="00E31C0E"/>
    <w:pPr>
      <w:ind w:left="284" w:hanging="284"/>
    </w:pPr>
    <w:rPr>
      <w:sz w:val="22"/>
      <w:szCs w:val="20"/>
    </w:rPr>
  </w:style>
  <w:style w:type="character" w:customStyle="1" w:styleId="EndnoteTextChar">
    <w:name w:val="Endnote Text Char"/>
    <w:basedOn w:val="DefaultParagraphFont"/>
    <w:link w:val="EndnoteText"/>
    <w:rsid w:val="00E31C0E"/>
    <w:rPr>
      <w:rFonts w:ascii="Times New Roman" w:eastAsia="Times New Roman" w:hAnsi="Times New Roman" w:cs="Times New Roman"/>
      <w:szCs w:val="20"/>
      <w:lang w:val="en-GB" w:eastAsia="en-GB"/>
    </w:rPr>
  </w:style>
  <w:style w:type="character" w:styleId="EndnoteReference">
    <w:name w:val="endnote reference"/>
    <w:basedOn w:val="DefaultParagraphFont"/>
    <w:rsid w:val="00E31C0E"/>
    <w:rPr>
      <w:vertAlign w:val="superscript"/>
    </w:rPr>
  </w:style>
  <w:style w:type="paragraph" w:styleId="Header">
    <w:name w:val="header"/>
    <w:basedOn w:val="Normal"/>
    <w:link w:val="HeaderChar"/>
    <w:rsid w:val="00E31C0E"/>
    <w:pPr>
      <w:tabs>
        <w:tab w:val="center" w:pos="4320"/>
        <w:tab w:val="right" w:pos="8640"/>
      </w:tabs>
      <w:spacing w:after="120" w:line="240" w:lineRule="auto"/>
      <w:contextualSpacing/>
    </w:pPr>
  </w:style>
  <w:style w:type="character" w:customStyle="1" w:styleId="HeaderChar">
    <w:name w:val="Header Char"/>
    <w:basedOn w:val="DefaultParagraphFont"/>
    <w:link w:val="Header"/>
    <w:rsid w:val="00E31C0E"/>
    <w:rPr>
      <w:rFonts w:ascii="Times New Roman" w:eastAsia="Times New Roman" w:hAnsi="Times New Roman" w:cs="Times New Roman"/>
      <w:sz w:val="24"/>
      <w:szCs w:val="24"/>
      <w:lang w:val="en-GB" w:eastAsia="en-GB"/>
    </w:rPr>
  </w:style>
  <w:style w:type="paragraph" w:styleId="Footer">
    <w:name w:val="footer"/>
    <w:basedOn w:val="Normal"/>
    <w:link w:val="FooterChar"/>
    <w:rsid w:val="00E31C0E"/>
    <w:pPr>
      <w:tabs>
        <w:tab w:val="center" w:pos="4320"/>
        <w:tab w:val="right" w:pos="8640"/>
      </w:tabs>
      <w:spacing w:before="240" w:line="240" w:lineRule="auto"/>
      <w:contextualSpacing/>
    </w:pPr>
  </w:style>
  <w:style w:type="character" w:customStyle="1" w:styleId="FooterChar">
    <w:name w:val="Footer Char"/>
    <w:basedOn w:val="DefaultParagraphFont"/>
    <w:link w:val="Footer"/>
    <w:rsid w:val="00E31C0E"/>
    <w:rPr>
      <w:rFonts w:ascii="Times New Roman" w:eastAsia="Times New Roman" w:hAnsi="Times New Roman" w:cs="Times New Roman"/>
      <w:sz w:val="24"/>
      <w:szCs w:val="24"/>
      <w:lang w:val="en-GB" w:eastAsia="en-GB"/>
    </w:rPr>
  </w:style>
  <w:style w:type="paragraph" w:customStyle="1" w:styleId="Heading4Paragraph">
    <w:name w:val="Heading 4 + Paragraph"/>
    <w:basedOn w:val="Paragraph"/>
    <w:next w:val="Newparagraph"/>
    <w:qFormat/>
    <w:rsid w:val="00E31C0E"/>
    <w:pPr>
      <w:widowControl/>
      <w:spacing w:before="360"/>
    </w:pPr>
  </w:style>
  <w:style w:type="paragraph" w:styleId="Revision">
    <w:name w:val="Revision"/>
    <w:hidden/>
    <w:uiPriority w:val="99"/>
    <w:semiHidden/>
    <w:rsid w:val="00A245A9"/>
    <w:pPr>
      <w:spacing w:after="0" w:line="240" w:lineRule="auto"/>
    </w:pPr>
    <w:rPr>
      <w:rFonts w:ascii="Times New Roman" w:eastAsia="Times New Roman" w:hAnsi="Times New Roman" w:cs="Times New Roman"/>
      <w:sz w:val="24"/>
      <w:szCs w:val="24"/>
      <w:lang w:val="en-GB" w:eastAsia="en-GB"/>
    </w:rPr>
  </w:style>
  <w:style w:type="character" w:customStyle="1" w:styleId="cf01">
    <w:name w:val="cf01"/>
    <w:basedOn w:val="DefaultParagraphFont"/>
    <w:rsid w:val="0083262E"/>
    <w:rPr>
      <w:rFonts w:ascii="Segoe UI" w:hAnsi="Segoe UI" w:cs="Segoe UI" w:hint="default"/>
      <w:sz w:val="18"/>
      <w:szCs w:val="18"/>
    </w:rPr>
  </w:style>
  <w:style w:type="character" w:customStyle="1" w:styleId="cf11">
    <w:name w:val="cf11"/>
    <w:basedOn w:val="DefaultParagraphFont"/>
    <w:rsid w:val="0083262E"/>
    <w:rPr>
      <w:rFonts w:ascii="Segoe UI" w:hAnsi="Segoe UI" w:cs="Segoe UI" w:hint="default"/>
      <w:i/>
      <w:iCs/>
      <w:sz w:val="18"/>
      <w:szCs w:val="18"/>
    </w:rPr>
  </w:style>
  <w:style w:type="paragraph" w:styleId="NormalWeb">
    <w:name w:val="Normal (Web)"/>
    <w:basedOn w:val="Normal"/>
    <w:uiPriority w:val="99"/>
    <w:semiHidden/>
    <w:unhideWhenUsed/>
    <w:rsid w:val="00BC4BBD"/>
    <w:pPr>
      <w:spacing w:before="100" w:beforeAutospacing="1" w:after="100" w:afterAutospacing="1" w:line="240" w:lineRule="auto"/>
    </w:pPr>
    <w:rPr>
      <w:lang w:val="en-US" w:eastAsia="en-US"/>
    </w:rPr>
  </w:style>
  <w:style w:type="paragraph" w:customStyle="1" w:styleId="pf0">
    <w:name w:val="pf0"/>
    <w:basedOn w:val="Normal"/>
    <w:rsid w:val="005C6E73"/>
    <w:pPr>
      <w:spacing w:before="100" w:beforeAutospacing="1" w:after="100" w:afterAutospacing="1" w:line="240" w:lineRule="auto"/>
    </w:pPr>
    <w:rPr>
      <w:lang w:val="en-US" w:eastAsia="en-US"/>
    </w:rPr>
  </w:style>
  <w:style w:type="character" w:customStyle="1" w:styleId="e24kjd">
    <w:name w:val="e24kjd"/>
    <w:basedOn w:val="DefaultParagraphFont"/>
    <w:rsid w:val="00520B13"/>
  </w:style>
  <w:style w:type="character" w:customStyle="1" w:styleId="cf21">
    <w:name w:val="cf21"/>
    <w:basedOn w:val="DefaultParagraphFont"/>
    <w:rsid w:val="00FE1639"/>
    <w:rPr>
      <w:rFonts w:ascii="Segoe UI" w:hAnsi="Segoe UI" w:cs="Segoe UI" w:hint="default"/>
      <w:sz w:val="18"/>
      <w:szCs w:val="18"/>
    </w:rPr>
  </w:style>
  <w:style w:type="table" w:styleId="TableGrid">
    <w:name w:val="Table Grid"/>
    <w:basedOn w:val="TableNormal"/>
    <w:uiPriority w:val="39"/>
    <w:rsid w:val="003A7E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d-label">
    <w:name w:val="id-label"/>
    <w:basedOn w:val="DefaultParagraphFont"/>
    <w:rsid w:val="00103A76"/>
  </w:style>
  <w:style w:type="character" w:styleId="HTMLCite">
    <w:name w:val="HTML Cite"/>
    <w:basedOn w:val="DefaultParagraphFont"/>
    <w:uiPriority w:val="99"/>
    <w:semiHidden/>
    <w:unhideWhenUsed/>
    <w:rsid w:val="00103A76"/>
    <w:rPr>
      <w:i/>
      <w:iCs/>
    </w:rPr>
  </w:style>
  <w:style w:type="paragraph" w:customStyle="1" w:styleId="EndNoteBibliography">
    <w:name w:val="EndNote Bibliography"/>
    <w:basedOn w:val="Normal"/>
    <w:link w:val="EndNoteBibliographyChar"/>
    <w:rsid w:val="001D2466"/>
    <w:pPr>
      <w:spacing w:after="3" w:line="240" w:lineRule="auto"/>
      <w:ind w:left="10" w:hanging="10"/>
    </w:pPr>
    <w:rPr>
      <w:rFonts w:ascii="Cambria" w:eastAsia="Cambria" w:hAnsi="Cambria" w:cs="Cambria"/>
      <w:noProof/>
      <w:color w:val="000000"/>
      <w:kern w:val="2"/>
      <w:szCs w:val="22"/>
      <w:lang w:val="en-US" w:eastAsia="en-US"/>
      <w14:ligatures w14:val="standardContextual"/>
    </w:rPr>
  </w:style>
  <w:style w:type="character" w:customStyle="1" w:styleId="EndNoteBibliographyChar">
    <w:name w:val="EndNote Bibliography Char"/>
    <w:basedOn w:val="DefaultParagraphFont"/>
    <w:link w:val="EndNoteBibliography"/>
    <w:rsid w:val="001D2466"/>
    <w:rPr>
      <w:rFonts w:ascii="Cambria" w:eastAsia="Cambria" w:hAnsi="Cambria" w:cs="Cambria"/>
      <w:noProof/>
      <w:color w:val="000000"/>
      <w:kern w:val="2"/>
      <w:sz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5752528">
      <w:bodyDiv w:val="1"/>
      <w:marLeft w:val="0"/>
      <w:marRight w:val="0"/>
      <w:marTop w:val="0"/>
      <w:marBottom w:val="0"/>
      <w:divBdr>
        <w:top w:val="none" w:sz="0" w:space="0" w:color="auto"/>
        <w:left w:val="none" w:sz="0" w:space="0" w:color="auto"/>
        <w:bottom w:val="none" w:sz="0" w:space="0" w:color="auto"/>
        <w:right w:val="none" w:sz="0" w:space="0" w:color="auto"/>
      </w:divBdr>
    </w:div>
    <w:div w:id="1793328464">
      <w:bodyDiv w:val="1"/>
      <w:marLeft w:val="0"/>
      <w:marRight w:val="0"/>
      <w:marTop w:val="0"/>
      <w:marBottom w:val="0"/>
      <w:divBdr>
        <w:top w:val="none" w:sz="0" w:space="0" w:color="auto"/>
        <w:left w:val="none" w:sz="0" w:space="0" w:color="auto"/>
        <w:bottom w:val="none" w:sz="0" w:space="0" w:color="auto"/>
        <w:right w:val="none" w:sz="0" w:space="0" w:color="auto"/>
      </w:divBdr>
    </w:div>
    <w:div w:id="21103515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42" Type="http://schemas.openxmlformats.org/officeDocument/2006/relationships/image" Target="media/image34.png"/><Relationship Id="rId47" Type="http://schemas.openxmlformats.org/officeDocument/2006/relationships/image" Target="media/image39.png"/><Relationship Id="rId63" Type="http://schemas.openxmlformats.org/officeDocument/2006/relationships/image" Target="media/image55.png"/><Relationship Id="rId68" Type="http://schemas.openxmlformats.org/officeDocument/2006/relationships/image" Target="media/image60.png"/><Relationship Id="rId84" Type="http://schemas.openxmlformats.org/officeDocument/2006/relationships/fontTable" Target="fontTable.xml"/><Relationship Id="rId16" Type="http://schemas.openxmlformats.org/officeDocument/2006/relationships/image" Target="media/image9.png"/><Relationship Id="rId11" Type="http://schemas.openxmlformats.org/officeDocument/2006/relationships/image" Target="media/image4.png"/><Relationship Id="rId32" Type="http://schemas.openxmlformats.org/officeDocument/2006/relationships/image" Target="media/image24.png"/><Relationship Id="rId37" Type="http://schemas.openxmlformats.org/officeDocument/2006/relationships/image" Target="media/image29.png"/><Relationship Id="rId53" Type="http://schemas.openxmlformats.org/officeDocument/2006/relationships/image" Target="media/image45.png"/><Relationship Id="rId58" Type="http://schemas.openxmlformats.org/officeDocument/2006/relationships/image" Target="media/image50.png"/><Relationship Id="rId74" Type="http://schemas.openxmlformats.org/officeDocument/2006/relationships/image" Target="media/image66.png"/><Relationship Id="rId79" Type="http://schemas.openxmlformats.org/officeDocument/2006/relationships/image" Target="media/image71.png"/><Relationship Id="rId5" Type="http://schemas.openxmlformats.org/officeDocument/2006/relationships/webSettings" Target="webSettings.xml"/><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footer" Target="footer1.xml"/><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56" Type="http://schemas.openxmlformats.org/officeDocument/2006/relationships/image" Target="media/image48.png"/><Relationship Id="rId64" Type="http://schemas.openxmlformats.org/officeDocument/2006/relationships/image" Target="media/image56.png"/><Relationship Id="rId69" Type="http://schemas.openxmlformats.org/officeDocument/2006/relationships/image" Target="media/image61.png"/><Relationship Id="rId77" Type="http://schemas.openxmlformats.org/officeDocument/2006/relationships/image" Target="media/image69.png"/><Relationship Id="rId8" Type="http://schemas.openxmlformats.org/officeDocument/2006/relationships/image" Target="media/image1.png"/><Relationship Id="rId51" Type="http://schemas.openxmlformats.org/officeDocument/2006/relationships/image" Target="media/image43.png"/><Relationship Id="rId72" Type="http://schemas.openxmlformats.org/officeDocument/2006/relationships/image" Target="media/image64.png"/><Relationship Id="rId80" Type="http://schemas.openxmlformats.org/officeDocument/2006/relationships/image" Target="media/image72.png"/><Relationship Id="rId85"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59" Type="http://schemas.openxmlformats.org/officeDocument/2006/relationships/image" Target="media/image51.png"/><Relationship Id="rId67" Type="http://schemas.openxmlformats.org/officeDocument/2006/relationships/image" Target="media/image59.png"/><Relationship Id="rId20" Type="http://schemas.openxmlformats.org/officeDocument/2006/relationships/image" Target="media/image13.png"/><Relationship Id="rId41" Type="http://schemas.openxmlformats.org/officeDocument/2006/relationships/image" Target="media/image33.png"/><Relationship Id="rId54" Type="http://schemas.openxmlformats.org/officeDocument/2006/relationships/image" Target="media/image46.png"/><Relationship Id="rId62" Type="http://schemas.openxmlformats.org/officeDocument/2006/relationships/image" Target="media/image54.png"/><Relationship Id="rId70" Type="http://schemas.openxmlformats.org/officeDocument/2006/relationships/image" Target="media/image62.png"/><Relationship Id="rId75" Type="http://schemas.openxmlformats.org/officeDocument/2006/relationships/image" Target="media/image67.png"/><Relationship Id="rId83"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image" Target="media/image49.png"/><Relationship Id="rId10" Type="http://schemas.openxmlformats.org/officeDocument/2006/relationships/image" Target="media/image3.pn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png"/><Relationship Id="rId60" Type="http://schemas.openxmlformats.org/officeDocument/2006/relationships/image" Target="media/image52.png"/><Relationship Id="rId65" Type="http://schemas.openxmlformats.org/officeDocument/2006/relationships/image" Target="media/image57.png"/><Relationship Id="rId73" Type="http://schemas.openxmlformats.org/officeDocument/2006/relationships/image" Target="media/image65.png"/><Relationship Id="rId78" Type="http://schemas.openxmlformats.org/officeDocument/2006/relationships/image" Target="media/image70.png"/><Relationship Id="rId81" Type="http://schemas.openxmlformats.org/officeDocument/2006/relationships/image" Target="media/image73.png"/><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1.png"/><Relationship Id="rId34" Type="http://schemas.openxmlformats.org/officeDocument/2006/relationships/image" Target="media/image26.png"/><Relationship Id="rId50" Type="http://schemas.openxmlformats.org/officeDocument/2006/relationships/image" Target="media/image42.png"/><Relationship Id="rId55" Type="http://schemas.openxmlformats.org/officeDocument/2006/relationships/image" Target="media/image47.png"/><Relationship Id="rId76" Type="http://schemas.openxmlformats.org/officeDocument/2006/relationships/image" Target="media/image68.png"/><Relationship Id="rId7" Type="http://schemas.openxmlformats.org/officeDocument/2006/relationships/endnotes" Target="endnotes.xml"/><Relationship Id="rId71" Type="http://schemas.openxmlformats.org/officeDocument/2006/relationships/image" Target="media/image63.png"/><Relationship Id="rId2" Type="http://schemas.openxmlformats.org/officeDocument/2006/relationships/numbering" Target="numbering.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image" Target="media/image32.png"/><Relationship Id="rId45" Type="http://schemas.openxmlformats.org/officeDocument/2006/relationships/image" Target="media/image37.png"/><Relationship Id="rId66" Type="http://schemas.openxmlformats.org/officeDocument/2006/relationships/image" Target="media/image58.png"/><Relationship Id="rId61" Type="http://schemas.openxmlformats.org/officeDocument/2006/relationships/image" Target="media/image53.png"/><Relationship Id="rId82" Type="http://schemas.openxmlformats.org/officeDocument/2006/relationships/hyperlink" Target="http://dx.doi.org/10.1016/0016-7037(90)90128-8"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rvi\Desktop\CACTUS\TF_Template_Word_Windows_2016.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88D2D8-9B58-41E4-AC7B-29080288C2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TF_Template_Word_Windows_2016</Template>
  <TotalTime>2</TotalTime>
  <Pages>60</Pages>
  <Words>13435</Words>
  <Characters>76585</Characters>
  <Application>Microsoft Office Word</Application>
  <DocSecurity>0</DocSecurity>
  <Lines>638</Lines>
  <Paragraphs>179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Righetti, Timothy (RIGHETTI)</dc:creator>
  <cp:keywords/>
  <dc:description/>
  <cp:lastModifiedBy>Timothy L. Righetti</cp:lastModifiedBy>
  <cp:revision>2</cp:revision>
  <cp:lastPrinted>2023-05-02T16:07:00Z</cp:lastPrinted>
  <dcterms:created xsi:type="dcterms:W3CDTF">2024-03-10T23:58:00Z</dcterms:created>
  <dcterms:modified xsi:type="dcterms:W3CDTF">2024-03-10T23:58:00Z</dcterms:modified>
</cp:coreProperties>
</file>