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C2083E" w14:textId="53121DF4" w:rsidR="00404731" w:rsidRPr="006E7629" w:rsidRDefault="00404731" w:rsidP="004B6020">
      <w:pPr>
        <w:spacing w:before="240" w:after="240" w:line="480" w:lineRule="auto"/>
        <w:jc w:val="center"/>
        <w:rPr>
          <w:rFonts w:ascii="Arial" w:hAnsi="Arial" w:cs="Arial"/>
          <w:b/>
          <w:bCs/>
          <w:lang w:val="en-US"/>
        </w:rPr>
      </w:pPr>
      <w:r w:rsidRPr="006E7629">
        <w:rPr>
          <w:rFonts w:ascii="Arial" w:hAnsi="Arial" w:cs="Arial"/>
          <w:b/>
          <w:bCs/>
          <w:lang w:val="en-US"/>
        </w:rPr>
        <w:t xml:space="preserve">Supplementary file 2 for </w:t>
      </w:r>
      <w:bookmarkStart w:id="0" w:name="_Hlk142924873"/>
      <w:r w:rsidRPr="006E7629">
        <w:rPr>
          <w:rFonts w:ascii="Arial" w:hAnsi="Arial" w:cs="Arial"/>
          <w:b/>
          <w:bCs/>
          <w:lang w:val="en-US"/>
        </w:rPr>
        <w:t>“</w:t>
      </w:r>
      <w:r w:rsidR="00733719" w:rsidRPr="00733719">
        <w:rPr>
          <w:rFonts w:ascii="Arial" w:hAnsi="Arial" w:cs="Arial"/>
          <w:b/>
          <w:bCs/>
          <w:lang w:val="en-US"/>
        </w:rPr>
        <w:t>Networking the desert plant microbiome, bacterial and fungal symbionts structure and assortativity in co-occurrence networks</w:t>
      </w:r>
      <w:bookmarkStart w:id="1" w:name="_GoBack"/>
      <w:bookmarkEnd w:id="1"/>
      <w:r w:rsidRPr="006E7629">
        <w:rPr>
          <w:rFonts w:ascii="Arial" w:hAnsi="Arial" w:cs="Arial"/>
          <w:b/>
          <w:bCs/>
          <w:lang w:val="en-US"/>
        </w:rPr>
        <w:t>”</w:t>
      </w:r>
    </w:p>
    <w:bookmarkEnd w:id="0"/>
    <w:p w14:paraId="22F91A4B" w14:textId="60C3259D" w:rsidR="00404731" w:rsidRPr="006E7629" w:rsidRDefault="00404731" w:rsidP="00404731">
      <w:pPr>
        <w:jc w:val="both"/>
        <w:rPr>
          <w:rFonts w:ascii="Arial" w:hAnsi="Arial" w:cs="Arial"/>
          <w:lang w:val="en-AU"/>
        </w:rPr>
      </w:pPr>
    </w:p>
    <w:p w14:paraId="519FB086" w14:textId="7643D2C1" w:rsidR="00404731" w:rsidRPr="006E7629" w:rsidRDefault="00404731" w:rsidP="00B82875">
      <w:pPr>
        <w:jc w:val="both"/>
        <w:rPr>
          <w:rFonts w:ascii="Arial" w:hAnsi="Arial" w:cs="Arial"/>
          <w:lang w:val="en-US"/>
        </w:rPr>
      </w:pPr>
      <w:r w:rsidRPr="006E7629">
        <w:rPr>
          <w:rFonts w:ascii="Arial" w:hAnsi="Arial" w:cs="Arial"/>
          <w:lang w:val="en-US"/>
        </w:rPr>
        <w:t>This supplementary file contains:</w:t>
      </w:r>
    </w:p>
    <w:p w14:paraId="0EB9B16B" w14:textId="4A238E8A" w:rsidR="00404731" w:rsidRPr="006E7629" w:rsidRDefault="00404731" w:rsidP="00B82875">
      <w:pPr>
        <w:rPr>
          <w:rFonts w:ascii="Arial" w:hAnsi="Arial" w:cs="Arial"/>
          <w:lang w:val="en-US"/>
        </w:rPr>
      </w:pPr>
      <w:r w:rsidRPr="006E7629">
        <w:rPr>
          <w:rFonts w:ascii="Arial" w:hAnsi="Arial" w:cs="Arial"/>
          <w:lang w:val="en-US"/>
        </w:rPr>
        <w:t>Supplemental methods 1</w:t>
      </w:r>
      <w:r w:rsidR="00B82875" w:rsidRPr="006E7629">
        <w:rPr>
          <w:rFonts w:ascii="Arial" w:hAnsi="Arial" w:cs="Arial"/>
          <w:lang w:val="en-US"/>
        </w:rPr>
        <w:t xml:space="preserve">: </w:t>
      </w:r>
      <w:r w:rsidR="00B82875" w:rsidRPr="006E7629">
        <w:rPr>
          <w:rFonts w:ascii="Arial" w:hAnsi="Arial" w:cs="Arial"/>
          <w:i/>
          <w:lang w:val="en-US"/>
        </w:rPr>
        <w:t>Samples processing, library preparation and bioinformatic pipeline</w:t>
      </w:r>
      <w:r w:rsidR="00B82875" w:rsidRPr="006E7629">
        <w:rPr>
          <w:rFonts w:ascii="Arial" w:hAnsi="Arial" w:cs="Arial"/>
          <w:lang w:val="en-US"/>
        </w:rPr>
        <w:t xml:space="preserve"> ……………………………………………………………………………………………….p2</w:t>
      </w:r>
    </w:p>
    <w:p w14:paraId="34604D85" w14:textId="77777777" w:rsidR="004B6020" w:rsidRPr="006E7629" w:rsidRDefault="004B6020" w:rsidP="00B82875">
      <w:pPr>
        <w:rPr>
          <w:rFonts w:ascii="Arial" w:hAnsi="Arial" w:cs="Arial"/>
          <w:lang w:val="en-US"/>
        </w:rPr>
      </w:pPr>
    </w:p>
    <w:p w14:paraId="17D4AB57" w14:textId="0CF89708" w:rsidR="00404731" w:rsidRPr="006E7629" w:rsidRDefault="00404731" w:rsidP="00B82875">
      <w:pPr>
        <w:rPr>
          <w:rFonts w:ascii="Arial" w:hAnsi="Arial" w:cs="Arial"/>
          <w:lang w:val="en-US"/>
        </w:rPr>
      </w:pPr>
      <w:r w:rsidRPr="006E7629">
        <w:rPr>
          <w:rFonts w:ascii="Arial" w:hAnsi="Arial" w:cs="Arial"/>
          <w:lang w:val="en-US"/>
        </w:rPr>
        <w:t>Supplemental methods 2</w:t>
      </w:r>
      <w:r w:rsidR="00B82875" w:rsidRPr="006E7629">
        <w:rPr>
          <w:rFonts w:ascii="Arial" w:hAnsi="Arial" w:cs="Arial"/>
          <w:lang w:val="en-US"/>
        </w:rPr>
        <w:t xml:space="preserve">: </w:t>
      </w:r>
      <w:r w:rsidR="00B82875" w:rsidRPr="006E7629">
        <w:rPr>
          <w:rFonts w:ascii="Arial" w:hAnsi="Arial" w:cs="Arial"/>
          <w:i/>
          <w:lang w:val="en-US"/>
        </w:rPr>
        <w:t>Assessing the effect of sampling season on community composition and sequencing reads structure</w:t>
      </w:r>
      <w:r w:rsidR="00B82875" w:rsidRPr="006E7629">
        <w:rPr>
          <w:rFonts w:ascii="Arial" w:hAnsi="Arial" w:cs="Arial"/>
          <w:lang w:val="en-US"/>
        </w:rPr>
        <w:t xml:space="preserve"> …………………...……………………………….p</w:t>
      </w:r>
      <w:r w:rsidR="004B6020" w:rsidRPr="006E7629">
        <w:rPr>
          <w:rFonts w:ascii="Arial" w:hAnsi="Arial" w:cs="Arial"/>
          <w:lang w:val="en-US"/>
        </w:rPr>
        <w:t>4</w:t>
      </w:r>
    </w:p>
    <w:p w14:paraId="7E467707" w14:textId="77777777" w:rsidR="004B6020" w:rsidRPr="006E7629" w:rsidRDefault="004B6020" w:rsidP="00B82875">
      <w:pPr>
        <w:rPr>
          <w:rFonts w:ascii="Arial" w:hAnsi="Arial" w:cs="Arial"/>
          <w:lang w:val="en-US"/>
        </w:rPr>
      </w:pPr>
    </w:p>
    <w:p w14:paraId="54BDF149" w14:textId="2763E388" w:rsidR="00404731" w:rsidRPr="006E7629" w:rsidRDefault="00404731" w:rsidP="00B82875">
      <w:pPr>
        <w:rPr>
          <w:rFonts w:ascii="Arial" w:hAnsi="Arial" w:cs="Arial"/>
          <w:lang w:val="en-US"/>
        </w:rPr>
      </w:pPr>
      <w:r w:rsidRPr="006E7629">
        <w:rPr>
          <w:rFonts w:ascii="Arial" w:hAnsi="Arial" w:cs="Arial"/>
          <w:lang w:val="en-US"/>
        </w:rPr>
        <w:t>Supplemental methods 3</w:t>
      </w:r>
      <w:r w:rsidR="00B82875" w:rsidRPr="006E7629">
        <w:rPr>
          <w:rFonts w:ascii="Arial" w:hAnsi="Arial" w:cs="Arial"/>
          <w:lang w:val="en-US"/>
        </w:rPr>
        <w:t xml:space="preserve">: </w:t>
      </w:r>
      <w:r w:rsidR="00B82875" w:rsidRPr="006E7629">
        <w:rPr>
          <w:rFonts w:ascii="Arial" w:hAnsi="Arial" w:cs="Arial"/>
          <w:i/>
          <w:lang w:val="en-US"/>
        </w:rPr>
        <w:t>Soil composition drivers of microbial composition</w:t>
      </w:r>
      <w:r w:rsidR="00B82875" w:rsidRPr="006E7629">
        <w:rPr>
          <w:rFonts w:ascii="Arial" w:hAnsi="Arial" w:cs="Arial"/>
          <w:lang w:val="en-US"/>
        </w:rPr>
        <w:t xml:space="preserve"> …….………….p</w:t>
      </w:r>
      <w:r w:rsidR="004B6020" w:rsidRPr="006E7629">
        <w:rPr>
          <w:rFonts w:ascii="Arial" w:hAnsi="Arial" w:cs="Arial"/>
          <w:lang w:val="en-US"/>
        </w:rPr>
        <w:t>5</w:t>
      </w:r>
    </w:p>
    <w:p w14:paraId="7A2031C9" w14:textId="77777777" w:rsidR="004B6020" w:rsidRPr="006E7629" w:rsidRDefault="004B6020" w:rsidP="00B82875">
      <w:pPr>
        <w:rPr>
          <w:rFonts w:ascii="Arial" w:hAnsi="Arial" w:cs="Arial"/>
          <w:lang w:val="en-US"/>
        </w:rPr>
      </w:pPr>
    </w:p>
    <w:p w14:paraId="15DE5EB4" w14:textId="6A515633" w:rsidR="00404731" w:rsidRPr="006E7629" w:rsidRDefault="00404731" w:rsidP="00B82875">
      <w:pPr>
        <w:rPr>
          <w:rFonts w:ascii="Arial" w:hAnsi="Arial" w:cs="Arial"/>
          <w:lang w:val="en-US"/>
        </w:rPr>
      </w:pPr>
      <w:r w:rsidRPr="006E7629">
        <w:rPr>
          <w:rFonts w:ascii="Arial" w:hAnsi="Arial" w:cs="Arial"/>
          <w:lang w:val="en-US"/>
        </w:rPr>
        <w:t>Supplemental methods 4</w:t>
      </w:r>
      <w:r w:rsidR="00B82875" w:rsidRPr="006E7629">
        <w:rPr>
          <w:rFonts w:ascii="Arial" w:hAnsi="Arial" w:cs="Arial"/>
          <w:lang w:val="en-US"/>
        </w:rPr>
        <w:t xml:space="preserve">: </w:t>
      </w:r>
      <w:r w:rsidR="00B82875" w:rsidRPr="006E7629">
        <w:rPr>
          <w:rFonts w:ascii="Arial" w:hAnsi="Arial" w:cs="Arial"/>
          <w:i/>
          <w:lang w:val="en-US"/>
        </w:rPr>
        <w:t>Networks construction</w:t>
      </w:r>
      <w:r w:rsidR="00B82875" w:rsidRPr="006E7629">
        <w:rPr>
          <w:rFonts w:ascii="Arial" w:hAnsi="Arial" w:cs="Arial"/>
          <w:lang w:val="en-US"/>
        </w:rPr>
        <w:t xml:space="preserve"> ……………………………………………….p</w:t>
      </w:r>
      <w:r w:rsidR="004B6020" w:rsidRPr="006E7629">
        <w:rPr>
          <w:rFonts w:ascii="Arial" w:hAnsi="Arial" w:cs="Arial"/>
          <w:lang w:val="en-US"/>
        </w:rPr>
        <w:t>6</w:t>
      </w:r>
    </w:p>
    <w:p w14:paraId="14603464" w14:textId="77777777" w:rsidR="004B6020" w:rsidRPr="006E7629" w:rsidRDefault="004B6020" w:rsidP="00B82875">
      <w:pPr>
        <w:rPr>
          <w:rFonts w:ascii="Arial" w:hAnsi="Arial" w:cs="Arial"/>
          <w:lang w:val="en-US"/>
        </w:rPr>
      </w:pPr>
    </w:p>
    <w:p w14:paraId="6CAFE2F0" w14:textId="2FEE0D8B" w:rsidR="00B82875" w:rsidRPr="006E7629" w:rsidRDefault="00B82875" w:rsidP="00B82875">
      <w:pPr>
        <w:rPr>
          <w:rFonts w:ascii="Arial" w:hAnsi="Arial" w:cs="Arial"/>
          <w:lang w:val="en-US"/>
        </w:rPr>
      </w:pPr>
      <w:r w:rsidRPr="006E7629">
        <w:rPr>
          <w:rFonts w:ascii="Arial" w:hAnsi="Arial" w:cs="Arial"/>
          <w:lang w:val="en-US"/>
        </w:rPr>
        <w:t xml:space="preserve">Supplemental methods 5: </w:t>
      </w:r>
      <w:r w:rsidRPr="006E7629">
        <w:rPr>
          <w:rFonts w:ascii="Arial" w:hAnsi="Arial" w:cs="Arial"/>
          <w:i/>
          <w:lang w:val="en-US"/>
        </w:rPr>
        <w:t>Topological roles of symbiotic nodes based on their among module and within module connectivity……………………..</w:t>
      </w:r>
      <w:r w:rsidRPr="006E7629">
        <w:rPr>
          <w:rFonts w:ascii="Arial" w:hAnsi="Arial" w:cs="Arial"/>
          <w:lang w:val="en-US"/>
        </w:rPr>
        <w:t>…………………………………….p</w:t>
      </w:r>
      <w:r w:rsidR="004B6020" w:rsidRPr="006E7629">
        <w:rPr>
          <w:rFonts w:ascii="Arial" w:hAnsi="Arial" w:cs="Arial"/>
          <w:lang w:val="en-US"/>
        </w:rPr>
        <w:t>7</w:t>
      </w:r>
    </w:p>
    <w:p w14:paraId="1DEB7338" w14:textId="77777777" w:rsidR="00B82875" w:rsidRPr="006E7629" w:rsidRDefault="00B82875" w:rsidP="00404731">
      <w:pPr>
        <w:jc w:val="both"/>
        <w:rPr>
          <w:rFonts w:ascii="Arial" w:hAnsi="Arial" w:cs="Arial"/>
          <w:lang w:val="en-US"/>
        </w:rPr>
      </w:pPr>
    </w:p>
    <w:p w14:paraId="10EE0F7B" w14:textId="77777777" w:rsidR="00404731" w:rsidRPr="006E7629" w:rsidRDefault="00404731" w:rsidP="00404731">
      <w:pPr>
        <w:jc w:val="both"/>
        <w:rPr>
          <w:rFonts w:ascii="Arial" w:hAnsi="Arial" w:cs="Arial"/>
          <w:lang w:val="en-US"/>
        </w:rPr>
      </w:pPr>
    </w:p>
    <w:p w14:paraId="36F9CC62" w14:textId="52CE5BAC" w:rsidR="00404731" w:rsidRPr="006E7629" w:rsidRDefault="00404731" w:rsidP="00404731">
      <w:pPr>
        <w:jc w:val="both"/>
        <w:rPr>
          <w:rFonts w:ascii="Arial" w:hAnsi="Arial" w:cs="Arial"/>
          <w:lang w:val="en-US"/>
        </w:rPr>
      </w:pPr>
      <w:r w:rsidRPr="006E7629">
        <w:rPr>
          <w:rFonts w:ascii="Arial" w:hAnsi="Arial" w:cs="Arial"/>
          <w:lang w:val="en-US"/>
        </w:rPr>
        <w:t xml:space="preserve"> </w:t>
      </w:r>
      <w:r w:rsidRPr="006E7629">
        <w:rPr>
          <w:rFonts w:ascii="Arial" w:hAnsi="Arial" w:cs="Arial"/>
          <w:lang w:val="en-US"/>
        </w:rPr>
        <w:br w:type="page"/>
      </w:r>
    </w:p>
    <w:p w14:paraId="4A4FF0A3" w14:textId="3126C254" w:rsidR="00DF26F4" w:rsidRPr="006E7629" w:rsidRDefault="00297820" w:rsidP="004B6020">
      <w:pPr>
        <w:spacing w:line="480" w:lineRule="auto"/>
        <w:jc w:val="both"/>
        <w:rPr>
          <w:rFonts w:ascii="Arial" w:hAnsi="Arial" w:cs="Arial"/>
          <w:lang w:val="en-US"/>
        </w:rPr>
      </w:pPr>
      <w:r w:rsidRPr="006E7629">
        <w:rPr>
          <w:rFonts w:ascii="Arial" w:hAnsi="Arial" w:cs="Arial"/>
          <w:lang w:val="en-US"/>
        </w:rPr>
        <w:lastRenderedPageBreak/>
        <w:t xml:space="preserve">Supplemental methods </w:t>
      </w:r>
      <w:r w:rsidR="00C96C4C" w:rsidRPr="006E7629">
        <w:rPr>
          <w:rFonts w:ascii="Arial" w:hAnsi="Arial" w:cs="Arial"/>
          <w:lang w:val="en-US"/>
        </w:rPr>
        <w:t>1</w:t>
      </w:r>
      <w:r w:rsidRPr="006E7629">
        <w:rPr>
          <w:rFonts w:ascii="Arial" w:hAnsi="Arial" w:cs="Arial"/>
          <w:lang w:val="en-US"/>
        </w:rPr>
        <w:t xml:space="preserve">: </w:t>
      </w:r>
      <w:r w:rsidR="006732D0" w:rsidRPr="006E7629">
        <w:rPr>
          <w:rFonts w:ascii="Arial" w:hAnsi="Arial" w:cs="Arial"/>
          <w:i/>
          <w:lang w:val="en-US"/>
        </w:rPr>
        <w:t>Samples processing, library preparation and bioinformatic pipeline</w:t>
      </w:r>
    </w:p>
    <w:p w14:paraId="2E07C2E2" w14:textId="2F19474E" w:rsidR="0047020B" w:rsidRPr="006E7629" w:rsidRDefault="00366474" w:rsidP="004B6020">
      <w:pPr>
        <w:spacing w:line="480" w:lineRule="auto"/>
        <w:jc w:val="both"/>
        <w:rPr>
          <w:rFonts w:ascii="Arial" w:hAnsi="Arial" w:cs="Arial"/>
          <w:lang w:val="en-US"/>
        </w:rPr>
      </w:pPr>
      <w:r w:rsidRPr="006E7629">
        <w:rPr>
          <w:rFonts w:ascii="Arial" w:hAnsi="Arial" w:cs="Arial"/>
          <w:lang w:val="en-US"/>
        </w:rPr>
        <w:t>Soils yielded very low amount of DNA during previous extractions, thus, to ensure high DNA concentrations, soil DNA extractions were performed after shaking 5 mL of soil in 20 mL of sterile milliQ water. The supernatant was centrifugated for 5 min at 12,000 g and the pellet was isolated for extraction. Roots were washed with sterile water, flash frozen with liquid nitrogen and ground with a ceramic ball for 3 cycles of 30 s at 5.0</w:t>
      </w:r>
      <w:r w:rsidR="0047020B" w:rsidRPr="006E7629">
        <w:rPr>
          <w:rFonts w:ascii="Arial" w:hAnsi="Arial" w:cs="Arial"/>
          <w:lang w:val="en-US"/>
        </w:rPr>
        <w:t xml:space="preserve"> </w:t>
      </w:r>
      <w:r w:rsidRPr="006E7629">
        <w:rPr>
          <w:rFonts w:ascii="Arial" w:hAnsi="Arial" w:cs="Arial"/>
          <w:lang w:val="en-US"/>
        </w:rPr>
        <w:t xml:space="preserve">speed in a FastPrep-24™ 5G instrument from MP Biomedicals™ (Irvine, California, USA). Extractions were then performed with the FastDNA Spin kit for soil (MP Biomedicals™). DNA concentrations were measured by fluorescence with a Quant-iT™ PicoGreen™ dsDNA Assay Kit (ThermoFisher Scientific™, Waltham, Massachusetts, USA) using a Tecan Spark ® (Tecan Group Ltd., Mannedorf, </w:t>
      </w:r>
      <w:r w:rsidRPr="006E7629">
        <w:rPr>
          <w:rFonts w:ascii="Arial" w:hAnsi="Arial" w:cs="Arial" w:hint="eastAsia"/>
          <w:lang w:val="en-US"/>
        </w:rPr>
        <w:t>Switzerland). The concentration measurement was used to normalize the DNA concentrations to 0.3 ng.</w:t>
      </w:r>
      <w:r w:rsidRPr="006E7629">
        <w:rPr>
          <w:rFonts w:ascii="Arial" w:hAnsi="Arial" w:cs="Arial" w:hint="eastAsia"/>
        </w:rPr>
        <w:t>μ</w:t>
      </w:r>
      <w:r w:rsidRPr="006E7629">
        <w:rPr>
          <w:rFonts w:ascii="Arial" w:hAnsi="Arial" w:cs="Arial" w:hint="eastAsia"/>
          <w:lang w:val="en-US"/>
        </w:rPr>
        <w:t>L-1 before PCR amplification</w:t>
      </w:r>
      <w:r w:rsidR="00FC56CC" w:rsidRPr="006E7629">
        <w:rPr>
          <w:rFonts w:ascii="Arial" w:hAnsi="Arial" w:cs="Arial"/>
          <w:lang w:val="en-US"/>
        </w:rPr>
        <w:t>.</w:t>
      </w:r>
      <w:r w:rsidRPr="006E7629">
        <w:rPr>
          <w:rFonts w:ascii="Arial" w:hAnsi="Arial" w:cs="Arial" w:hint="eastAsia"/>
          <w:lang w:val="en-US"/>
        </w:rPr>
        <w:t xml:space="preserve"> </w:t>
      </w:r>
    </w:p>
    <w:p w14:paraId="43614BEE" w14:textId="759CFD5A" w:rsidR="0047020B" w:rsidRPr="006E7629" w:rsidRDefault="00366474" w:rsidP="004B6020">
      <w:pPr>
        <w:spacing w:line="480" w:lineRule="auto"/>
        <w:jc w:val="both"/>
        <w:rPr>
          <w:rFonts w:ascii="Arial" w:hAnsi="Arial" w:cs="Arial"/>
          <w:lang w:val="en-US"/>
        </w:rPr>
      </w:pPr>
      <w:r w:rsidRPr="006E7629">
        <w:rPr>
          <w:rFonts w:ascii="Arial" w:hAnsi="Arial" w:cs="Arial" w:hint="eastAsia"/>
          <w:lang w:val="en-US"/>
        </w:rPr>
        <w:t xml:space="preserve">Reactions were performed in 20 </w:t>
      </w:r>
      <w:r w:rsidRPr="006E7629">
        <w:rPr>
          <w:rFonts w:ascii="Arial" w:hAnsi="Arial" w:cs="Arial" w:hint="eastAsia"/>
        </w:rPr>
        <w:t>μ</w:t>
      </w:r>
      <w:r w:rsidRPr="006E7629">
        <w:rPr>
          <w:rFonts w:ascii="Arial" w:hAnsi="Arial" w:cs="Arial" w:hint="eastAsia"/>
          <w:lang w:val="en-US"/>
        </w:rPr>
        <w:t>L and consi</w:t>
      </w:r>
      <w:r w:rsidRPr="006E7629">
        <w:rPr>
          <w:rFonts w:ascii="Arial" w:hAnsi="Arial" w:cs="Arial"/>
          <w:lang w:val="en-US"/>
        </w:rPr>
        <w:t xml:space="preserve">sted of 10 </w:t>
      </w:r>
      <w:r w:rsidRPr="006E7629">
        <w:rPr>
          <w:rFonts w:ascii="Arial" w:hAnsi="Arial" w:cs="Arial"/>
        </w:rPr>
        <w:t>μ</w:t>
      </w:r>
      <w:r w:rsidRPr="006E7629">
        <w:rPr>
          <w:rFonts w:ascii="Arial" w:hAnsi="Arial" w:cs="Arial"/>
          <w:lang w:val="en-US"/>
        </w:rPr>
        <w:t xml:space="preserve">L of Buffer Master mix containing Thermo Scientific Phusion™ HighFidelity DNA Polymerase (ThermoFisher Scientific™), 0.5 </w:t>
      </w:r>
      <w:r w:rsidRPr="006E7629">
        <w:rPr>
          <w:rFonts w:ascii="Arial" w:hAnsi="Arial" w:cs="Arial"/>
        </w:rPr>
        <w:t>μ</w:t>
      </w:r>
      <w:r w:rsidRPr="006E7629">
        <w:rPr>
          <w:rFonts w:ascii="Arial" w:hAnsi="Arial" w:cs="Arial"/>
          <w:lang w:val="en-US"/>
        </w:rPr>
        <w:t xml:space="preserve">L of DMSO, 4.5 </w:t>
      </w:r>
      <w:r w:rsidRPr="006E7629">
        <w:rPr>
          <w:rFonts w:ascii="Arial" w:hAnsi="Arial" w:cs="Arial"/>
        </w:rPr>
        <w:t>μ</w:t>
      </w:r>
      <w:r w:rsidRPr="006E7629">
        <w:rPr>
          <w:rFonts w:ascii="Arial" w:hAnsi="Arial" w:cs="Arial"/>
          <w:lang w:val="en-US"/>
        </w:rPr>
        <w:t xml:space="preserve">L of DNAse free water, 3 </w:t>
      </w:r>
      <w:r w:rsidRPr="006E7629">
        <w:rPr>
          <w:rFonts w:ascii="Arial" w:hAnsi="Arial" w:cs="Arial"/>
        </w:rPr>
        <w:t>μ</w:t>
      </w:r>
      <w:r w:rsidRPr="006E7629">
        <w:rPr>
          <w:rFonts w:ascii="Arial" w:hAnsi="Arial" w:cs="Arial"/>
          <w:lang w:val="en-US"/>
        </w:rPr>
        <w:t>L of DNA (0.3 ng.</w:t>
      </w:r>
      <w:r w:rsidRPr="006E7629">
        <w:rPr>
          <w:rFonts w:ascii="Arial" w:hAnsi="Arial" w:cs="Arial"/>
        </w:rPr>
        <w:t>μ</w:t>
      </w:r>
      <w:r w:rsidRPr="006E7629">
        <w:rPr>
          <w:rFonts w:ascii="Arial" w:hAnsi="Arial" w:cs="Arial"/>
          <w:lang w:val="en-US"/>
        </w:rPr>
        <w:t>L</w:t>
      </w:r>
      <w:r w:rsidR="0047020B" w:rsidRPr="006E7629">
        <w:rPr>
          <w:rFonts w:ascii="Arial" w:hAnsi="Arial" w:cs="Arial"/>
          <w:vertAlign w:val="superscript"/>
          <w:lang w:val="en-US"/>
        </w:rPr>
        <w:t>-1</w:t>
      </w:r>
      <w:r w:rsidRPr="006E7629">
        <w:rPr>
          <w:rFonts w:ascii="Arial" w:hAnsi="Arial" w:cs="Arial"/>
          <w:lang w:val="en-US"/>
        </w:rPr>
        <w:t xml:space="preserve">), 1 </w:t>
      </w:r>
      <w:r w:rsidRPr="006E7629">
        <w:rPr>
          <w:rFonts w:ascii="Arial" w:hAnsi="Arial" w:cs="Arial"/>
        </w:rPr>
        <w:t>μ</w:t>
      </w:r>
      <w:r w:rsidRPr="006E7629">
        <w:rPr>
          <w:rFonts w:ascii="Arial" w:hAnsi="Arial" w:cs="Arial"/>
          <w:lang w:val="en-US"/>
        </w:rPr>
        <w:t xml:space="preserve">L of forward primer and 1 </w:t>
      </w:r>
      <w:r w:rsidRPr="006E7629">
        <w:rPr>
          <w:rFonts w:ascii="Arial" w:hAnsi="Arial" w:cs="Arial"/>
        </w:rPr>
        <w:t>μ</w:t>
      </w:r>
      <w:r w:rsidRPr="006E7629">
        <w:rPr>
          <w:rFonts w:ascii="Arial" w:hAnsi="Arial" w:cs="Arial"/>
          <w:lang w:val="en-US"/>
        </w:rPr>
        <w:t>L of reverse primer tagged with a short nucleotide sequence. The PCR conditions used were identical for the fungal and bacterial amplifications and were performed in a Veriti 96-well Thermal Cycler (ThermoFisher Scientific™) under the following conditions: 10 min initial denaturation, 35 cycles each including denaturation at 94</w:t>
      </w:r>
      <w:r w:rsidR="0047020B" w:rsidRPr="006E7629">
        <w:rPr>
          <w:rFonts w:ascii="Arial" w:hAnsi="Arial" w:cs="Arial"/>
          <w:lang w:val="en-US"/>
        </w:rPr>
        <w:t>°</w:t>
      </w:r>
      <w:r w:rsidRPr="006E7629">
        <w:rPr>
          <w:rFonts w:ascii="Arial" w:hAnsi="Arial" w:cs="Arial"/>
          <w:lang w:val="en-US"/>
        </w:rPr>
        <w:t>C for 10 s, annealing at 55</w:t>
      </w:r>
      <w:r w:rsidR="0047020B" w:rsidRPr="006E7629">
        <w:rPr>
          <w:rFonts w:ascii="Arial" w:hAnsi="Arial" w:cs="Arial"/>
          <w:lang w:val="en-US"/>
        </w:rPr>
        <w:t>°</w:t>
      </w:r>
      <w:r w:rsidRPr="006E7629">
        <w:rPr>
          <w:rFonts w:ascii="Arial" w:hAnsi="Arial" w:cs="Arial"/>
          <w:lang w:val="en-US"/>
        </w:rPr>
        <w:t>C for 20 s, and extension at 72</w:t>
      </w:r>
      <w:r w:rsidR="0047020B" w:rsidRPr="006E7629">
        <w:rPr>
          <w:rFonts w:ascii="Arial" w:hAnsi="Arial" w:cs="Arial"/>
          <w:lang w:val="en-US"/>
        </w:rPr>
        <w:t>°</w:t>
      </w:r>
      <w:r w:rsidRPr="006E7629">
        <w:rPr>
          <w:rFonts w:ascii="Arial" w:hAnsi="Arial" w:cs="Arial"/>
          <w:lang w:val="en-US"/>
        </w:rPr>
        <w:t>C for 20 s, with a final polymerization extension at 72</w:t>
      </w:r>
      <w:r w:rsidR="0047020B" w:rsidRPr="006E7629">
        <w:rPr>
          <w:rFonts w:ascii="Arial" w:hAnsi="Arial" w:cs="Arial"/>
          <w:lang w:val="en-US"/>
        </w:rPr>
        <w:t>°</w:t>
      </w:r>
      <w:r w:rsidRPr="006E7629">
        <w:rPr>
          <w:rFonts w:ascii="Arial" w:hAnsi="Arial" w:cs="Arial"/>
          <w:lang w:val="en-US"/>
        </w:rPr>
        <w:t>C for 7 min. All reactions were performed in triplicate and then pooled before deposition on 2 % agarose gel, with the corresponding negative control, for amplification quality control</w:t>
      </w:r>
      <w:r w:rsidR="0047020B" w:rsidRPr="006E7629">
        <w:rPr>
          <w:rFonts w:ascii="Arial" w:hAnsi="Arial" w:cs="Arial"/>
          <w:lang w:val="en-US"/>
        </w:rPr>
        <w:t>.</w:t>
      </w:r>
    </w:p>
    <w:p w14:paraId="6CECADB2" w14:textId="77777777" w:rsidR="006B4788" w:rsidRPr="006E7629" w:rsidRDefault="00366474" w:rsidP="004B6020">
      <w:pPr>
        <w:spacing w:line="480" w:lineRule="auto"/>
        <w:jc w:val="both"/>
        <w:rPr>
          <w:rFonts w:ascii="Arial" w:hAnsi="Arial" w:cs="Arial"/>
          <w:lang w:val="en-US"/>
        </w:rPr>
      </w:pPr>
      <w:r w:rsidRPr="006E7629">
        <w:rPr>
          <w:rFonts w:ascii="Arial" w:hAnsi="Arial" w:cs="Arial"/>
          <w:lang w:val="en-US"/>
        </w:rPr>
        <w:t xml:space="preserve">ITS2 region amplification products were purified using Agencourt AMPure XP beads (Beckman Coulter Inc., Fullerton, California, USA) and performed on a magnetic rack with a 1:1 (v:v) ratio of AMPure XP per PCR product. The magnetic beads were then rinsed twice with 70 % ethanol before final elution in 70 </w:t>
      </w:r>
      <w:r w:rsidRPr="006E7629">
        <w:rPr>
          <w:rFonts w:ascii="Arial" w:hAnsi="Arial" w:cs="Arial"/>
        </w:rPr>
        <w:t>μ</w:t>
      </w:r>
      <w:r w:rsidRPr="006E7629">
        <w:rPr>
          <w:rFonts w:ascii="Arial" w:hAnsi="Arial" w:cs="Arial"/>
          <w:lang w:val="en-US"/>
        </w:rPr>
        <w:t xml:space="preserve">L of Qiagen EB buffer. For 16S purification, an additional PCR </w:t>
      </w:r>
      <w:r w:rsidRPr="006E7629">
        <w:rPr>
          <w:rFonts w:ascii="Arial" w:hAnsi="Arial" w:cs="Arial"/>
          <w:lang w:val="en-US"/>
        </w:rPr>
        <w:lastRenderedPageBreak/>
        <w:t>product migration step on 2 % agarose gel (80 V, 90 min) was performed to separate and recover the band specific to bacterial 16S (lower band, around 400 bp), and eliminate plant chloroplastic 16S DNA (higher band, &gt;</w:t>
      </w:r>
      <w:r w:rsidR="0047020B" w:rsidRPr="006E7629">
        <w:rPr>
          <w:rFonts w:ascii="Arial" w:hAnsi="Arial" w:cs="Arial"/>
          <w:lang w:val="en-US"/>
        </w:rPr>
        <w:t xml:space="preserve"> </w:t>
      </w:r>
      <w:r w:rsidRPr="006E7629">
        <w:rPr>
          <w:rFonts w:ascii="Arial" w:hAnsi="Arial" w:cs="Arial"/>
          <w:lang w:val="en-US"/>
        </w:rPr>
        <w:t xml:space="preserve">600 bp, co-amplified during PCR). The recovered bands were purified using the QIAquick gel purification kit (Qiagen, Hilden, Germany). The purified PCR product concentration was then measured with PicoGreen and one equimolar pool (50 ng/sample) for each marker gene (16S and ITS2) was prepared. Each pool was finally purified twice using Agencourt AMPure XP beads, quantified and finally eluted in 40 </w:t>
      </w:r>
      <w:r w:rsidRPr="006E7629">
        <w:rPr>
          <w:rFonts w:ascii="Arial" w:hAnsi="Arial" w:cs="Arial"/>
        </w:rPr>
        <w:t>μ</w:t>
      </w:r>
      <w:r w:rsidRPr="006E7629">
        <w:rPr>
          <w:rFonts w:ascii="Arial" w:hAnsi="Arial" w:cs="Arial"/>
          <w:lang w:val="en-US"/>
        </w:rPr>
        <w:t>L of EB buffer (Qiagen</w:t>
      </w:r>
      <w:r w:rsidR="00277B68" w:rsidRPr="006E7629">
        <w:rPr>
          <w:rFonts w:ascii="Arial" w:hAnsi="Arial" w:cs="Arial"/>
          <w:lang w:val="en-US"/>
        </w:rPr>
        <w:t>).</w:t>
      </w:r>
      <w:r w:rsidRPr="006E7629">
        <w:rPr>
          <w:rFonts w:ascii="Arial" w:hAnsi="Arial" w:cs="Arial"/>
          <w:lang w:val="en-US"/>
        </w:rPr>
        <w:t xml:space="preserve"> </w:t>
      </w:r>
    </w:p>
    <w:p w14:paraId="77CF69F0" w14:textId="46255FED" w:rsidR="004B6020" w:rsidRPr="006E7629" w:rsidRDefault="00366474" w:rsidP="004B6020">
      <w:pPr>
        <w:spacing w:line="480" w:lineRule="auto"/>
        <w:jc w:val="both"/>
        <w:rPr>
          <w:rFonts w:ascii="Arial" w:hAnsi="Arial" w:cs="Arial"/>
          <w:lang w:val="en-US"/>
        </w:rPr>
      </w:pPr>
      <w:r w:rsidRPr="006E7629">
        <w:rPr>
          <w:rFonts w:ascii="Arial" w:hAnsi="Arial" w:cs="Arial"/>
          <w:lang w:val="en-US"/>
        </w:rPr>
        <w:t xml:space="preserve">MetaFast library preparation and amplicon sequencing were performed on an Illumina 2 × 250 bp </w:t>
      </w:r>
      <w:r w:rsidR="00962C3C" w:rsidRPr="006E7629">
        <w:rPr>
          <w:rFonts w:ascii="Arial" w:hAnsi="Arial" w:cs="Arial"/>
          <w:lang w:val="en-US"/>
        </w:rPr>
        <w:t>Nova</w:t>
      </w:r>
      <w:r w:rsidRPr="006E7629">
        <w:rPr>
          <w:rFonts w:ascii="Arial" w:hAnsi="Arial" w:cs="Arial"/>
          <w:lang w:val="en-US"/>
        </w:rPr>
        <w:t>Seq platform by Fasteris SA, Switzerland (www.fasteris.com). We used a pipeline based on VSEARCH</w:t>
      </w:r>
      <w:r w:rsidR="006B4788" w:rsidRPr="006E7629">
        <w:rPr>
          <w:rFonts w:ascii="Arial" w:hAnsi="Arial" w:cs="Arial"/>
          <w:lang w:val="en-US"/>
        </w:rPr>
        <w:t xml:space="preserve"> 2.18.0</w:t>
      </w:r>
      <w:r w:rsidRPr="006E7629">
        <w:rPr>
          <w:rFonts w:ascii="Arial" w:hAnsi="Arial" w:cs="Arial"/>
          <w:lang w:val="en-US"/>
        </w:rPr>
        <w:t xml:space="preserve"> (Rognes et al., 2016) and available in GitHub (https://github. com/BPerezLamarque/Scripts/) for data processing. Briefly, paired-end reads were merged using the fastq_mergepairs function with default parameters. We applied a quality check and removed merged reads with more than two alignment errors. Then filtered merged reads were assigned to the respective samples based on tagged primers (demultiplexing) with 0 accepted error regarding the primers and tag sequences using Cutadapt </w:t>
      </w:r>
      <w:r w:rsidR="006B4788" w:rsidRPr="006E7629">
        <w:rPr>
          <w:rFonts w:ascii="Arial" w:hAnsi="Arial" w:cs="Arial"/>
          <w:lang w:val="en-US"/>
        </w:rPr>
        <w:t>3.5</w:t>
      </w:r>
      <w:r w:rsidRPr="006E7629">
        <w:rPr>
          <w:rFonts w:ascii="Arial" w:hAnsi="Arial" w:cs="Arial"/>
          <w:lang w:val="en-US"/>
        </w:rPr>
        <w:t>. We removed chimeras de novo by using the VSEARCH uchime3_denovo option and assigned the taxonomy to each amplicon sequence variant (ASV) using the usearch_global option with default parameters. We used SILVA 138.1 and UNITE (v.8.0) databases for bacteria and fungi, respectively. The ASV tables were then filtered from contaminants based on comparisons with amplified negative controls using the DECONTAM (prevalence method) R package. Only ASVs with long sequences (&gt;</w:t>
      </w:r>
      <w:r w:rsidR="0047020B" w:rsidRPr="006E7629">
        <w:rPr>
          <w:rFonts w:ascii="Arial" w:hAnsi="Arial" w:cs="Arial"/>
          <w:lang w:val="en-US"/>
        </w:rPr>
        <w:t xml:space="preserve"> </w:t>
      </w:r>
      <w:r w:rsidRPr="006E7629">
        <w:rPr>
          <w:rFonts w:ascii="Arial" w:hAnsi="Arial" w:cs="Arial"/>
          <w:lang w:val="en-US"/>
        </w:rPr>
        <w:t>200 bp), assigned to the bacteria</w:t>
      </w:r>
      <w:r w:rsidRPr="006E7629">
        <w:rPr>
          <w:rFonts w:ascii="Arial" w:hAnsi="Arial" w:cs="Arial" w:hint="eastAsia"/>
          <w:lang w:val="en-US"/>
        </w:rPr>
        <w:t>l and fungal kingdom, presenting an acceptable abundance (</w:t>
      </w:r>
      <w:r w:rsidRPr="006E7629">
        <w:rPr>
          <w:rFonts w:ascii="Arial" w:hAnsi="Arial" w:cs="Arial" w:hint="eastAsia"/>
          <w:lang w:val="en-US"/>
        </w:rPr>
        <w:t>≥</w:t>
      </w:r>
      <w:r w:rsidRPr="006E7629">
        <w:rPr>
          <w:rFonts w:ascii="Arial" w:hAnsi="Arial" w:cs="Arial" w:hint="eastAsia"/>
          <w:lang w:val="en-US"/>
        </w:rPr>
        <w:t xml:space="preserve"> 10</w:t>
      </w:r>
      <w:r w:rsidRPr="006E7629">
        <w:rPr>
          <w:rFonts w:ascii="Arial" w:hAnsi="Arial" w:cs="Arial"/>
          <w:lang w:val="en-US"/>
        </w:rPr>
        <w:t>0</w:t>
      </w:r>
      <w:r w:rsidRPr="006E7629">
        <w:rPr>
          <w:rFonts w:ascii="Arial" w:hAnsi="Arial" w:cs="Arial" w:hint="eastAsia"/>
          <w:lang w:val="en-US"/>
        </w:rPr>
        <w:t xml:space="preserve"> reads</w:t>
      </w:r>
      <w:r w:rsidR="006B4788" w:rsidRPr="006E7629">
        <w:rPr>
          <w:rFonts w:ascii="Arial" w:hAnsi="Arial" w:cs="Arial"/>
          <w:lang w:val="en-US"/>
        </w:rPr>
        <w:t xml:space="preserve"> in total dataset</w:t>
      </w:r>
      <w:r w:rsidRPr="006E7629">
        <w:rPr>
          <w:rFonts w:ascii="Arial" w:hAnsi="Arial" w:cs="Arial" w:hint="eastAsia"/>
          <w:lang w:val="en-US"/>
        </w:rPr>
        <w:t>) and amplified in at least one sample, were kept for subsequent analyses.</w:t>
      </w:r>
    </w:p>
    <w:p w14:paraId="43CB6B2B" w14:textId="77777777" w:rsidR="004B6020" w:rsidRPr="006E7629" w:rsidRDefault="004B6020">
      <w:pPr>
        <w:rPr>
          <w:rFonts w:ascii="Arial" w:hAnsi="Arial" w:cs="Arial"/>
          <w:lang w:val="en-US"/>
        </w:rPr>
      </w:pPr>
      <w:r w:rsidRPr="006E7629">
        <w:rPr>
          <w:rFonts w:ascii="Arial" w:hAnsi="Arial" w:cs="Arial"/>
          <w:lang w:val="en-US"/>
        </w:rPr>
        <w:br w:type="page"/>
      </w:r>
    </w:p>
    <w:p w14:paraId="6B201C63" w14:textId="77777777" w:rsidR="006732D0" w:rsidRPr="006E7629" w:rsidRDefault="00297820" w:rsidP="004B6020">
      <w:pPr>
        <w:spacing w:line="480" w:lineRule="auto"/>
        <w:jc w:val="both"/>
        <w:rPr>
          <w:rFonts w:ascii="Arial" w:hAnsi="Arial" w:cs="Arial"/>
          <w:i/>
          <w:lang w:val="en-US"/>
        </w:rPr>
      </w:pPr>
      <w:r w:rsidRPr="006E7629">
        <w:rPr>
          <w:rFonts w:ascii="Arial" w:hAnsi="Arial" w:cs="Arial"/>
          <w:lang w:val="en-US"/>
        </w:rPr>
        <w:lastRenderedPageBreak/>
        <w:t>Supplemental methods 2:</w:t>
      </w:r>
      <w:r w:rsidR="00C96C4C" w:rsidRPr="006E7629">
        <w:rPr>
          <w:rFonts w:ascii="Arial" w:hAnsi="Arial" w:cs="Arial"/>
          <w:lang w:val="en-US"/>
        </w:rPr>
        <w:t xml:space="preserve"> </w:t>
      </w:r>
      <w:r w:rsidR="006732D0" w:rsidRPr="006E7629">
        <w:rPr>
          <w:rFonts w:ascii="Arial" w:hAnsi="Arial" w:cs="Arial"/>
          <w:i/>
          <w:lang w:val="en-US"/>
        </w:rPr>
        <w:t>Assessing the effect of sampling season on community composition and sequencing reads structure</w:t>
      </w:r>
    </w:p>
    <w:p w14:paraId="49EDFA13" w14:textId="2DFE85B8" w:rsidR="007B1FB8" w:rsidRPr="006E7629" w:rsidRDefault="00297820" w:rsidP="004B6020">
      <w:pPr>
        <w:spacing w:line="480" w:lineRule="auto"/>
        <w:jc w:val="both"/>
        <w:rPr>
          <w:rFonts w:ascii="Arial" w:hAnsi="Arial" w:cs="Arial"/>
          <w:lang w:val="en-US"/>
        </w:rPr>
      </w:pPr>
      <w:r w:rsidRPr="006E7629">
        <w:rPr>
          <w:rFonts w:ascii="Arial" w:hAnsi="Arial" w:cs="Arial"/>
          <w:lang w:val="en-US"/>
        </w:rPr>
        <w:t xml:space="preserve">Before network construction, </w:t>
      </w:r>
      <w:r w:rsidR="00F46928" w:rsidRPr="006E7629">
        <w:rPr>
          <w:rFonts w:ascii="Arial" w:hAnsi="Arial" w:cs="Arial"/>
          <w:lang w:val="en-US"/>
        </w:rPr>
        <w:t xml:space="preserve">each corresponding </w:t>
      </w:r>
      <w:r w:rsidRPr="006E7629">
        <w:rPr>
          <w:rFonts w:ascii="Arial" w:hAnsi="Arial" w:cs="Arial"/>
          <w:lang w:val="en-US"/>
        </w:rPr>
        <w:t>dataset need to homogeneous and any environmental filtering should be avoided as to not biases the covariance relationships between taxa</w:t>
      </w:r>
      <w:r w:rsidR="00756300" w:rsidRPr="006E7629">
        <w:rPr>
          <w:rFonts w:ascii="Arial" w:hAnsi="Arial" w:cs="Arial"/>
          <w:lang w:val="en-US"/>
        </w:rPr>
        <w:t xml:space="preserve"> </w:t>
      </w:r>
      <w:r w:rsidR="00756300" w:rsidRPr="006E7629">
        <w:rPr>
          <w:rFonts w:ascii="Arial" w:hAnsi="Arial" w:cs="Arial"/>
          <w:lang w:val="en-US"/>
        </w:rPr>
        <w:fldChar w:fldCharType="begin"/>
      </w:r>
      <w:r w:rsidR="00756300" w:rsidRPr="006E7629">
        <w:rPr>
          <w:rFonts w:ascii="Arial" w:hAnsi="Arial" w:cs="Arial"/>
          <w:lang w:val="en-US"/>
        </w:rPr>
        <w:instrText xml:space="preserve"> ADDIN ZOTERO_ITEM CSL_CITATION {"citationID":"UnFDRp8o","properties":{"formattedCitation":"[1,2]","plainCitation":"[1,2]","noteIndex":0},"citationItems":[{"id":3033,"uris":["http://zotero.org/groups/2658427/items/8V7HJS6C"],"itemData":{"id":3033,"type":"article-journal","abstract":"Network analysis has been used for many years in ecological research to analyze organismal associations, for example in food webs, plant-plant or plant-animal interactions. Although network analysis is widely applied in microbial ecology, only recently has it entered the realms of soil microbial ecology, shown by a rapid rise in studies applying co-occurrence analysis to soil microbial communities. While this application offers great po­ tential for deeper insights into the ecological structure of soil microbial ecosystems, it also brings new challenges related to the specific characteristics of soil datasets and the type of ecological questions that can be addressed. In this Perspectives Paper we assess the challenges of applying network analysis to soil microbial ecology due to the small-scale heterogeneity of the soil environment and the nature of soil microbial datasets. We review the different approaches of network construction that are commonly applied to soil microbial datasets and discuss their features and limitations. Using a test dataset of microbial communities from two depths of a forest soil, we demonstrate how different experimental designs and network constructing algorithms affect the structure of the resulting networks, and how this in turn may influence ecological conclusions. We will also reveal how as­ sumptions of the construction method, methods of preparing the dataset, and definitions of thresholds affect the network structure. Finally, we discuss the particular questions in soil microbial ecology that can be approached by analyzing and interpreting specific network properties. Targeting these network properties in a meaningful way will allow applying this technique not in merely descriptive, but in hypothesis-driven research. Analysing microbial networks in soils opens a window to a better understanding of the complexity of microbial commu­ nities. However, this approach is unfortunately often used to draw conclusions which are far beyond the sci­ entific evidence it can provide, which has damaged its reputation for soil microbial analysis. In this Perspectives Paper, we would like to sharpen the view for the real potential of microbial co-occurrence analysis in soils, and at the same time raise awareness regarding its limitations and the many ways how it can be misused or misinterpreted.","container-title":"Soil Biology and Biochemistry","DOI":"10.1016/j.soilbio.2022.108604","ISSN":"00380717","journalAbbreviation":"Soil Biology and Biochemistry","language":"en","page":"108604","source":"DOI.org (Crossref)","title":"From diversity to complexity: Microbial networks in soils","title-short":"From diversity to complexity","volume":"169","author":[{"family":"Guseva","given":"Ksenia"},{"family":"Darcy","given":"Sean"},{"family":"Simon","given":"Eva"},{"family":"Alteio","given":"Lauren V."},{"family":"Montesinos-Navarro","given":"Alicia"},{"family":"Kaiser","given":"Christina"}],"issued":{"date-parts":[["2022",6]]}}},{"id":2436,"uris":["http://zotero.org/groups/2658427/items/ZXTB8HEN"],"itemData":{"id":2436,"type":"article-journal","abstract":"Soil ecology is witnessing exponential growth in the number of studies using co-occurrence network analysis. Researchers reconstruct networks based on the co-occurrence of taxa or genes across soil samples at a wide range of geographic scales - from single aggregates to the whole planet - and taxonomic scopes, some studies targeting specific taxa or guilds to others surveying the whole microbiome as well as micro- and mesofauna. Co-occurrence networks can be very useful to extract simple patterns from complex datasets. Applications include the detection of abiotic and biotic factors that determine community structure, the identification of keystone taxa and their relationship to specific soil functions, and the inference of mechanisms of community assembly. However, networks are more and more often misused and serve as mere graphic tools with no attempt at hypothesis testing. In this perspectives article, we first review the main usage of co-occurrence network analysis in soil ecology during the last decade. We then discuss the applications and caveats of network analysis in soil ecology, leaving apart strictly methodological aspects of network reconstruction, which is beyond the focus of this article. Finally, we include recommendation guidelines – such as the possibility of informing networks with geographic, envi­ ronmental and/or phylogenetic information – with the hope that this will facilitate network analysis to become a useful tool that helps elucidate meaningful patterns in soil ecology.","container-title":"Soil Biology and Biochemistry","DOI":"10.1016/j.soilbio.2021.108534","ISSN":"00380717","journalAbbreviation":"Soil Biology and Biochemistry","language":"en","page":"108534","source":"DOI.org (Crossref)","title":"Cautionary notes on the use of co-occurrence networks in soil ecology","volume":"166","author":[{"family":"Goberna","given":"Marta"},{"family":"Verdú","given":"Miguel"}],"issued":{"date-parts":[["2022",3]]}}}],"schema":"https://github.com/citation-style-language/schema/raw/master/csl-citation.json"} </w:instrText>
      </w:r>
      <w:r w:rsidR="00756300" w:rsidRPr="006E7629">
        <w:rPr>
          <w:rFonts w:ascii="Arial" w:hAnsi="Arial" w:cs="Arial"/>
          <w:lang w:val="en-US"/>
        </w:rPr>
        <w:fldChar w:fldCharType="separate"/>
      </w:r>
      <w:r w:rsidR="00756300" w:rsidRPr="006E7629">
        <w:rPr>
          <w:rFonts w:ascii="Arial" w:hAnsi="Arial" w:cs="Arial"/>
          <w:lang w:val="en-US"/>
        </w:rPr>
        <w:t>[1,2]</w:t>
      </w:r>
      <w:r w:rsidR="00756300" w:rsidRPr="006E7629">
        <w:rPr>
          <w:rFonts w:ascii="Arial" w:hAnsi="Arial" w:cs="Arial"/>
          <w:lang w:val="en-US"/>
        </w:rPr>
        <w:fldChar w:fldCharType="end"/>
      </w:r>
      <w:r w:rsidRPr="006E7629">
        <w:rPr>
          <w:rFonts w:ascii="Arial" w:hAnsi="Arial" w:cs="Arial"/>
          <w:lang w:val="en-US"/>
        </w:rPr>
        <w:t xml:space="preserve">. To do so, we </w:t>
      </w:r>
      <w:r w:rsidR="008E0603" w:rsidRPr="006E7629">
        <w:rPr>
          <w:rFonts w:ascii="Arial" w:hAnsi="Arial" w:cs="Arial"/>
          <w:lang w:val="en-US"/>
        </w:rPr>
        <w:t>examined if the sampling season</w:t>
      </w:r>
      <w:r w:rsidRPr="006E7629">
        <w:rPr>
          <w:rFonts w:ascii="Arial" w:hAnsi="Arial" w:cs="Arial"/>
          <w:lang w:val="en-US"/>
        </w:rPr>
        <w:t xml:space="preserve"> </w:t>
      </w:r>
      <w:r w:rsidR="008E0603" w:rsidRPr="006E7629">
        <w:rPr>
          <w:rFonts w:ascii="Arial" w:hAnsi="Arial" w:cs="Arial"/>
          <w:lang w:val="en-US"/>
        </w:rPr>
        <w:t>a</w:t>
      </w:r>
      <w:r w:rsidRPr="006E7629">
        <w:rPr>
          <w:rFonts w:ascii="Arial" w:hAnsi="Arial" w:cs="Arial"/>
          <w:lang w:val="en-US"/>
        </w:rPr>
        <w:t>ffect</w:t>
      </w:r>
      <w:r w:rsidR="008E0603" w:rsidRPr="006E7629">
        <w:rPr>
          <w:rFonts w:ascii="Arial" w:hAnsi="Arial" w:cs="Arial"/>
          <w:lang w:val="en-US"/>
        </w:rPr>
        <w:t>ed</w:t>
      </w:r>
      <w:r w:rsidRPr="006E7629">
        <w:rPr>
          <w:rFonts w:ascii="Arial" w:hAnsi="Arial" w:cs="Arial"/>
          <w:lang w:val="en-US"/>
        </w:rPr>
        <w:t xml:space="preserve"> the microbial communities in each root and rhizosphere compartment</w:t>
      </w:r>
      <w:r w:rsidR="008E0603" w:rsidRPr="006E7629">
        <w:rPr>
          <w:rFonts w:ascii="Arial" w:hAnsi="Arial" w:cs="Arial"/>
          <w:lang w:val="en-US"/>
        </w:rPr>
        <w:t>s</w:t>
      </w:r>
      <w:r w:rsidRPr="006E7629">
        <w:rPr>
          <w:rFonts w:ascii="Arial" w:hAnsi="Arial" w:cs="Arial"/>
          <w:lang w:val="en-US"/>
        </w:rPr>
        <w:t xml:space="preserve"> of every species for the three amplicons.</w:t>
      </w:r>
      <w:r w:rsidR="004C5D5F" w:rsidRPr="006E7629">
        <w:rPr>
          <w:rFonts w:ascii="Arial" w:hAnsi="Arial" w:cs="Arial"/>
          <w:lang w:val="en-US"/>
        </w:rPr>
        <w:t xml:space="preserve"> </w:t>
      </w:r>
      <w:r w:rsidR="00786A44" w:rsidRPr="006E7629">
        <w:rPr>
          <w:rFonts w:ascii="Arial" w:hAnsi="Arial" w:cs="Arial"/>
          <w:lang w:val="en-US"/>
        </w:rPr>
        <w:t xml:space="preserve">First, </w:t>
      </w:r>
      <w:r w:rsidR="00056EF4" w:rsidRPr="006E7629">
        <w:rPr>
          <w:rFonts w:ascii="Arial" w:hAnsi="Arial" w:cs="Arial"/>
          <w:lang w:val="en-US"/>
        </w:rPr>
        <w:t>we assessed if season had an</w:t>
      </w:r>
      <w:r w:rsidR="00AC26F7" w:rsidRPr="006E7629">
        <w:rPr>
          <w:rFonts w:ascii="Arial" w:hAnsi="Arial" w:cs="Arial"/>
          <w:lang w:val="en-US"/>
        </w:rPr>
        <w:t xml:space="preserve"> impact on community composition</w:t>
      </w:r>
      <w:r w:rsidR="003725D4" w:rsidRPr="006E7629">
        <w:rPr>
          <w:rFonts w:ascii="Arial" w:hAnsi="Arial" w:cs="Arial"/>
          <w:lang w:val="en-US"/>
        </w:rPr>
        <w:t xml:space="preserve"> by visualizing community composition using nMDS on the Bray-Curtis distances matrix of the Hellinger transformed count tables for each amplicon</w:t>
      </w:r>
      <w:r w:rsidR="00A579EE" w:rsidRPr="006E7629">
        <w:rPr>
          <w:rFonts w:ascii="Arial" w:hAnsi="Arial" w:cs="Arial"/>
          <w:lang w:val="en-US"/>
        </w:rPr>
        <w:t xml:space="preserve"> (ITS, 18S, 16S)</w:t>
      </w:r>
      <w:r w:rsidR="003725D4" w:rsidRPr="006E7629">
        <w:rPr>
          <w:rFonts w:ascii="Arial" w:hAnsi="Arial" w:cs="Arial"/>
          <w:lang w:val="en-US"/>
        </w:rPr>
        <w:t xml:space="preserve"> (Fig S</w:t>
      </w:r>
      <w:r w:rsidR="0034353C" w:rsidRPr="006E7629">
        <w:rPr>
          <w:rFonts w:ascii="Arial" w:hAnsi="Arial" w:cs="Arial"/>
          <w:lang w:val="en-US"/>
        </w:rPr>
        <w:t>11</w:t>
      </w:r>
      <w:r w:rsidR="003725D4" w:rsidRPr="006E7629">
        <w:rPr>
          <w:rFonts w:ascii="Arial" w:hAnsi="Arial" w:cs="Arial"/>
          <w:lang w:val="en-US"/>
        </w:rPr>
        <w:t>). Distinct patterns are visible as community composition is mainly driven by the plant species rather than season, as confirmed by the PERMANOVA results (Table S1). Plant species explained the majority of variation in community composition (R</w:t>
      </w:r>
      <w:r w:rsidR="003725D4" w:rsidRPr="006E7629">
        <w:rPr>
          <w:rFonts w:ascii="Arial" w:hAnsi="Arial" w:cs="Arial"/>
          <w:vertAlign w:val="superscript"/>
          <w:lang w:val="en-US"/>
        </w:rPr>
        <w:t>2</w:t>
      </w:r>
      <w:r w:rsidR="003725D4" w:rsidRPr="006E7629">
        <w:rPr>
          <w:rFonts w:ascii="Arial" w:hAnsi="Arial" w:cs="Arial"/>
          <w:lang w:val="en-US"/>
        </w:rPr>
        <w:t xml:space="preserve"> = 0</w:t>
      </w:r>
      <w:r w:rsidR="00C67341" w:rsidRPr="006E7629">
        <w:rPr>
          <w:rFonts w:ascii="Arial" w:hAnsi="Arial" w:cs="Arial"/>
          <w:lang w:val="en-US"/>
        </w:rPr>
        <w:t>.</w:t>
      </w:r>
      <w:r w:rsidR="003725D4" w:rsidRPr="006E7629">
        <w:rPr>
          <w:rFonts w:ascii="Arial" w:hAnsi="Arial" w:cs="Arial"/>
          <w:lang w:val="en-US"/>
        </w:rPr>
        <w:t>23; 0</w:t>
      </w:r>
      <w:r w:rsidR="00C67341" w:rsidRPr="006E7629">
        <w:rPr>
          <w:rFonts w:ascii="Arial" w:hAnsi="Arial" w:cs="Arial"/>
          <w:lang w:val="en-US"/>
        </w:rPr>
        <w:t>.</w:t>
      </w:r>
      <w:r w:rsidR="003725D4" w:rsidRPr="006E7629">
        <w:rPr>
          <w:rFonts w:ascii="Arial" w:hAnsi="Arial" w:cs="Arial"/>
          <w:lang w:val="en-US"/>
        </w:rPr>
        <w:t>20; and 0</w:t>
      </w:r>
      <w:r w:rsidR="00C67341" w:rsidRPr="006E7629">
        <w:rPr>
          <w:rFonts w:ascii="Arial" w:hAnsi="Arial" w:cs="Arial"/>
          <w:lang w:val="en-US"/>
        </w:rPr>
        <w:t>.</w:t>
      </w:r>
      <w:r w:rsidR="003725D4" w:rsidRPr="006E7629">
        <w:rPr>
          <w:rFonts w:ascii="Arial" w:hAnsi="Arial" w:cs="Arial"/>
          <w:lang w:val="en-US"/>
        </w:rPr>
        <w:t>26 in the rhizosphere and R</w:t>
      </w:r>
      <w:r w:rsidR="003725D4" w:rsidRPr="006E7629">
        <w:rPr>
          <w:rFonts w:ascii="Arial" w:hAnsi="Arial" w:cs="Arial"/>
          <w:vertAlign w:val="superscript"/>
          <w:lang w:val="en-US"/>
        </w:rPr>
        <w:t>2</w:t>
      </w:r>
      <w:r w:rsidR="003725D4" w:rsidRPr="006E7629">
        <w:rPr>
          <w:rFonts w:ascii="Arial" w:hAnsi="Arial" w:cs="Arial"/>
          <w:lang w:val="en-US"/>
        </w:rPr>
        <w:t xml:space="preserve"> = 0</w:t>
      </w:r>
      <w:r w:rsidR="00C67341" w:rsidRPr="006E7629">
        <w:rPr>
          <w:rFonts w:ascii="Arial" w:hAnsi="Arial" w:cs="Arial"/>
          <w:lang w:val="en-US"/>
        </w:rPr>
        <w:t>.</w:t>
      </w:r>
      <w:r w:rsidR="003725D4" w:rsidRPr="006E7629">
        <w:rPr>
          <w:rFonts w:ascii="Arial" w:hAnsi="Arial" w:cs="Arial"/>
          <w:lang w:val="en-US"/>
        </w:rPr>
        <w:t>22; 0</w:t>
      </w:r>
      <w:r w:rsidR="00C67341" w:rsidRPr="006E7629">
        <w:rPr>
          <w:rFonts w:ascii="Arial" w:hAnsi="Arial" w:cs="Arial"/>
          <w:lang w:val="en-US"/>
        </w:rPr>
        <w:t>.</w:t>
      </w:r>
      <w:r w:rsidR="003725D4" w:rsidRPr="006E7629">
        <w:rPr>
          <w:rFonts w:ascii="Arial" w:hAnsi="Arial" w:cs="Arial"/>
          <w:lang w:val="en-US"/>
        </w:rPr>
        <w:t>21; and 0</w:t>
      </w:r>
      <w:r w:rsidR="00C67341" w:rsidRPr="006E7629">
        <w:rPr>
          <w:rFonts w:ascii="Arial" w:hAnsi="Arial" w:cs="Arial"/>
          <w:lang w:val="en-US"/>
        </w:rPr>
        <w:t>.</w:t>
      </w:r>
      <w:r w:rsidR="003725D4" w:rsidRPr="006E7629">
        <w:rPr>
          <w:rFonts w:ascii="Arial" w:hAnsi="Arial" w:cs="Arial"/>
          <w:lang w:val="en-US"/>
        </w:rPr>
        <w:t xml:space="preserve">26 </w:t>
      </w:r>
      <w:r w:rsidR="00DF26F4" w:rsidRPr="006E7629">
        <w:rPr>
          <w:rFonts w:ascii="Arial" w:hAnsi="Arial" w:cs="Arial"/>
          <w:lang w:val="en-US"/>
        </w:rPr>
        <w:t xml:space="preserve">in the roots </w:t>
      </w:r>
      <w:r w:rsidR="003725D4" w:rsidRPr="006E7629">
        <w:rPr>
          <w:rFonts w:ascii="Arial" w:hAnsi="Arial" w:cs="Arial"/>
          <w:lang w:val="en-US"/>
        </w:rPr>
        <w:t>for ITS, 18S and 16S respectively) compared to season (</w:t>
      </w:r>
      <w:r w:rsidR="00DF26F4" w:rsidRPr="006E7629">
        <w:rPr>
          <w:rFonts w:ascii="Arial" w:hAnsi="Arial" w:cs="Arial"/>
          <w:lang w:val="en-US"/>
        </w:rPr>
        <w:t>R</w:t>
      </w:r>
      <w:r w:rsidR="00DF26F4" w:rsidRPr="006E7629">
        <w:rPr>
          <w:rFonts w:ascii="Arial" w:hAnsi="Arial" w:cs="Arial"/>
          <w:vertAlign w:val="superscript"/>
          <w:lang w:val="en-US"/>
        </w:rPr>
        <w:t>2</w:t>
      </w:r>
      <w:r w:rsidR="00DF26F4" w:rsidRPr="006E7629">
        <w:rPr>
          <w:rFonts w:ascii="Arial" w:hAnsi="Arial" w:cs="Arial"/>
          <w:lang w:val="en-US"/>
        </w:rPr>
        <w:t xml:space="preserve"> = 0</w:t>
      </w:r>
      <w:r w:rsidR="00A60B96" w:rsidRPr="006E7629">
        <w:rPr>
          <w:rFonts w:ascii="Arial" w:hAnsi="Arial" w:cs="Arial"/>
          <w:lang w:val="en-US"/>
        </w:rPr>
        <w:t>.</w:t>
      </w:r>
      <w:r w:rsidR="00DF26F4" w:rsidRPr="006E7629">
        <w:rPr>
          <w:rFonts w:ascii="Arial" w:hAnsi="Arial" w:cs="Arial"/>
          <w:lang w:val="en-US"/>
        </w:rPr>
        <w:t>01 for the season</w:t>
      </w:r>
      <w:r w:rsidR="003725D4" w:rsidRPr="006E7629">
        <w:rPr>
          <w:rFonts w:ascii="Arial" w:hAnsi="Arial" w:cs="Arial"/>
          <w:lang w:val="en-US"/>
        </w:rPr>
        <w:t>)</w:t>
      </w:r>
      <w:r w:rsidR="00DF26F4" w:rsidRPr="006E7629">
        <w:rPr>
          <w:rFonts w:ascii="Arial" w:hAnsi="Arial" w:cs="Arial"/>
          <w:lang w:val="en-US"/>
        </w:rPr>
        <w:t>. However, when looking at the specific PERMANOVA performed on the subsetted dataset for each species*compartment</w:t>
      </w:r>
      <w:r w:rsidR="00D63A2C" w:rsidRPr="006E7629">
        <w:rPr>
          <w:rFonts w:ascii="Arial" w:hAnsi="Arial" w:cs="Arial"/>
          <w:lang w:val="en-US"/>
        </w:rPr>
        <w:t>, a higher variance was attributed to the sampling season for each species (Table S2)</w:t>
      </w:r>
      <w:r w:rsidR="00850910" w:rsidRPr="006E7629">
        <w:rPr>
          <w:rFonts w:ascii="Arial" w:hAnsi="Arial" w:cs="Arial"/>
          <w:lang w:val="en-US"/>
        </w:rPr>
        <w:t>, but was still negligible in comparison to the species effect.</w:t>
      </w:r>
      <w:r w:rsidR="0090403E" w:rsidRPr="006E7629">
        <w:rPr>
          <w:rFonts w:ascii="Arial" w:hAnsi="Arial" w:cs="Arial"/>
          <w:lang w:val="en-US"/>
        </w:rPr>
        <w:t xml:space="preserve"> </w:t>
      </w:r>
      <w:r w:rsidR="007B1FB8" w:rsidRPr="006E7629">
        <w:rPr>
          <w:rFonts w:ascii="Arial" w:hAnsi="Arial" w:cs="Arial"/>
          <w:lang w:val="en-US"/>
        </w:rPr>
        <w:t>The second feature we examined was w</w:t>
      </w:r>
      <w:r w:rsidR="00D82D89" w:rsidRPr="006E7629">
        <w:rPr>
          <w:rFonts w:ascii="Arial" w:hAnsi="Arial" w:cs="Arial"/>
          <w:lang w:val="en-US"/>
        </w:rPr>
        <w:t>h</w:t>
      </w:r>
      <w:r w:rsidR="007B1FB8" w:rsidRPr="006E7629">
        <w:rPr>
          <w:rFonts w:ascii="Arial" w:hAnsi="Arial" w:cs="Arial"/>
          <w:lang w:val="en-US"/>
        </w:rPr>
        <w:t xml:space="preserve">ether specific taxa were detected between seasons and to what extent </w:t>
      </w:r>
      <w:r w:rsidR="00D82D89" w:rsidRPr="006E7629">
        <w:rPr>
          <w:rFonts w:ascii="Arial" w:hAnsi="Arial" w:cs="Arial"/>
          <w:lang w:val="en-US"/>
        </w:rPr>
        <w:t>they</w:t>
      </w:r>
      <w:r w:rsidR="007B1FB8" w:rsidRPr="006E7629">
        <w:rPr>
          <w:rFonts w:ascii="Arial" w:hAnsi="Arial" w:cs="Arial"/>
          <w:lang w:val="en-US"/>
        </w:rPr>
        <w:t xml:space="preserve"> impacted the overall reads counts. To do so, we checked the specific and shared taxa across each species*compartment </w:t>
      </w:r>
      <w:r w:rsidR="00A77D87" w:rsidRPr="006E7629">
        <w:rPr>
          <w:rFonts w:ascii="Arial" w:hAnsi="Arial" w:cs="Arial"/>
          <w:lang w:val="en-US"/>
        </w:rPr>
        <w:t>combinations</w:t>
      </w:r>
      <w:r w:rsidR="007B1FB8" w:rsidRPr="006E7629">
        <w:rPr>
          <w:rFonts w:ascii="Arial" w:hAnsi="Arial" w:cs="Arial"/>
          <w:lang w:val="en-US"/>
        </w:rPr>
        <w:t xml:space="preserve"> for the three amplicons </w:t>
      </w:r>
      <w:r w:rsidR="00D82D89" w:rsidRPr="006E7629">
        <w:rPr>
          <w:rFonts w:ascii="Arial" w:hAnsi="Arial" w:cs="Arial"/>
          <w:lang w:val="en-US"/>
        </w:rPr>
        <w:t xml:space="preserve">using venns diagramms </w:t>
      </w:r>
      <w:r w:rsidR="007B1FB8" w:rsidRPr="006E7629">
        <w:rPr>
          <w:rFonts w:ascii="Arial" w:hAnsi="Arial" w:cs="Arial"/>
          <w:lang w:val="en-US"/>
        </w:rPr>
        <w:t>(Fig S</w:t>
      </w:r>
      <w:r w:rsidR="0034353C" w:rsidRPr="006E7629">
        <w:rPr>
          <w:rFonts w:ascii="Arial" w:hAnsi="Arial" w:cs="Arial"/>
          <w:lang w:val="en-US"/>
        </w:rPr>
        <w:t>8</w:t>
      </w:r>
      <w:r w:rsidR="007B1FB8" w:rsidRPr="006E7629">
        <w:rPr>
          <w:rFonts w:ascii="Arial" w:hAnsi="Arial" w:cs="Arial"/>
          <w:lang w:val="en-US"/>
        </w:rPr>
        <w:t>, S</w:t>
      </w:r>
      <w:r w:rsidR="0034353C" w:rsidRPr="006E7629">
        <w:rPr>
          <w:rFonts w:ascii="Arial" w:hAnsi="Arial" w:cs="Arial"/>
          <w:lang w:val="en-US"/>
        </w:rPr>
        <w:t>9</w:t>
      </w:r>
      <w:r w:rsidR="007B1FB8" w:rsidRPr="006E7629">
        <w:rPr>
          <w:rFonts w:ascii="Arial" w:hAnsi="Arial" w:cs="Arial"/>
          <w:lang w:val="en-US"/>
        </w:rPr>
        <w:t>, S</w:t>
      </w:r>
      <w:r w:rsidR="0034353C" w:rsidRPr="006E7629">
        <w:rPr>
          <w:rFonts w:ascii="Arial" w:hAnsi="Arial" w:cs="Arial"/>
          <w:lang w:val="en-US"/>
        </w:rPr>
        <w:t>10</w:t>
      </w:r>
      <w:r w:rsidR="007B1FB8" w:rsidRPr="006E7629">
        <w:rPr>
          <w:rFonts w:ascii="Arial" w:hAnsi="Arial" w:cs="Arial"/>
          <w:lang w:val="en-US"/>
        </w:rPr>
        <w:t xml:space="preserve">). Overall, the </w:t>
      </w:r>
      <w:r w:rsidR="008117EE" w:rsidRPr="006E7629">
        <w:rPr>
          <w:rFonts w:ascii="Arial" w:hAnsi="Arial" w:cs="Arial"/>
          <w:lang w:val="en-US"/>
        </w:rPr>
        <w:t>majority of taxa were shared across the two seasons for 18S. For ITS and 16S, a high</w:t>
      </w:r>
      <w:r w:rsidR="00D82D89" w:rsidRPr="006E7629">
        <w:rPr>
          <w:rFonts w:ascii="Arial" w:hAnsi="Arial" w:cs="Arial"/>
          <w:lang w:val="en-US"/>
        </w:rPr>
        <w:t>er</w:t>
      </w:r>
      <w:r w:rsidR="008117EE" w:rsidRPr="006E7629">
        <w:rPr>
          <w:rFonts w:ascii="Arial" w:hAnsi="Arial" w:cs="Arial"/>
          <w:lang w:val="en-US"/>
        </w:rPr>
        <w:t xml:space="preserve"> proportion of taxa were specific to either spring or summer sampling season, however, they </w:t>
      </w:r>
      <w:r w:rsidR="00D82D89" w:rsidRPr="006E7629">
        <w:rPr>
          <w:rFonts w:ascii="Arial" w:hAnsi="Arial" w:cs="Arial"/>
          <w:lang w:val="en-US"/>
        </w:rPr>
        <w:t xml:space="preserve">only </w:t>
      </w:r>
      <w:r w:rsidR="008117EE" w:rsidRPr="006E7629">
        <w:rPr>
          <w:rFonts w:ascii="Arial" w:hAnsi="Arial" w:cs="Arial"/>
          <w:lang w:val="en-US"/>
        </w:rPr>
        <w:t xml:space="preserve">represented a minority of reads, as 94.4 to 99.7% of reads were common between the two seasons. </w:t>
      </w:r>
      <w:r w:rsidR="00D82D89" w:rsidRPr="006E7629">
        <w:rPr>
          <w:rFonts w:ascii="Arial" w:hAnsi="Arial" w:cs="Arial"/>
          <w:lang w:val="en-US"/>
        </w:rPr>
        <w:t>For t</w:t>
      </w:r>
      <w:r w:rsidR="008117EE" w:rsidRPr="006E7629">
        <w:rPr>
          <w:rFonts w:ascii="Arial" w:hAnsi="Arial" w:cs="Arial"/>
          <w:lang w:val="en-US"/>
        </w:rPr>
        <w:t>he roots of RR (</w:t>
      </w:r>
      <w:r w:rsidR="008117EE" w:rsidRPr="006E7629">
        <w:rPr>
          <w:rFonts w:ascii="Arial" w:hAnsi="Arial" w:cs="Arial"/>
          <w:i/>
          <w:lang w:val="en-US"/>
        </w:rPr>
        <w:t>R.</w:t>
      </w:r>
      <w:r w:rsidR="00A77D87" w:rsidRPr="006E7629">
        <w:rPr>
          <w:rFonts w:ascii="Arial" w:hAnsi="Arial" w:cs="Arial"/>
          <w:i/>
          <w:lang w:val="en-US"/>
        </w:rPr>
        <w:t xml:space="preserve"> </w:t>
      </w:r>
      <w:r w:rsidR="00683190" w:rsidRPr="006E7629">
        <w:rPr>
          <w:rFonts w:ascii="Arial" w:hAnsi="Arial" w:cs="Arial"/>
          <w:i/>
          <w:lang w:val="en-US"/>
        </w:rPr>
        <w:t>ra</w:t>
      </w:r>
      <w:r w:rsidR="008117EE" w:rsidRPr="006E7629">
        <w:rPr>
          <w:rFonts w:ascii="Arial" w:hAnsi="Arial" w:cs="Arial"/>
          <w:i/>
          <w:lang w:val="en-US"/>
        </w:rPr>
        <w:t>etam</w:t>
      </w:r>
      <w:r w:rsidR="008117EE" w:rsidRPr="006E7629">
        <w:rPr>
          <w:rFonts w:ascii="Arial" w:hAnsi="Arial" w:cs="Arial"/>
          <w:lang w:val="en-US"/>
        </w:rPr>
        <w:t xml:space="preserve">), only 82.5% of sequence reads were common for ITS. This information is crucial for network construction as it highlight that most of the specific OTU or ASV specific to each sampling season is mostly composed of rare taxa. </w:t>
      </w:r>
      <w:r w:rsidR="00D82D89" w:rsidRPr="006E7629">
        <w:rPr>
          <w:rFonts w:ascii="Arial" w:hAnsi="Arial" w:cs="Arial"/>
          <w:lang w:val="en-US"/>
        </w:rPr>
        <w:t>They</w:t>
      </w:r>
      <w:r w:rsidR="008117EE" w:rsidRPr="006E7629">
        <w:rPr>
          <w:rFonts w:ascii="Arial" w:hAnsi="Arial" w:cs="Arial"/>
          <w:lang w:val="en-US"/>
        </w:rPr>
        <w:t xml:space="preserve"> could be </w:t>
      </w:r>
      <w:r w:rsidR="00D82D89" w:rsidRPr="006E7629">
        <w:rPr>
          <w:rFonts w:ascii="Arial" w:hAnsi="Arial" w:cs="Arial"/>
          <w:lang w:val="en-US"/>
        </w:rPr>
        <w:t>induced by</w:t>
      </w:r>
      <w:r w:rsidR="008117EE" w:rsidRPr="006E7629">
        <w:rPr>
          <w:rFonts w:ascii="Arial" w:hAnsi="Arial" w:cs="Arial"/>
          <w:lang w:val="en-US"/>
        </w:rPr>
        <w:t xml:space="preserve"> chimera formation, contamination but could also represent real taxa. As </w:t>
      </w:r>
      <w:r w:rsidR="008117EE" w:rsidRPr="006E7629">
        <w:rPr>
          <w:rFonts w:ascii="Arial" w:hAnsi="Arial" w:cs="Arial"/>
          <w:lang w:val="en-US"/>
        </w:rPr>
        <w:lastRenderedPageBreak/>
        <w:t>the goal of this study is to assess the impact of the symbionts on the extended microbiota, we will mainly focus on robust relationship</w:t>
      </w:r>
      <w:r w:rsidR="00D82D89" w:rsidRPr="006E7629">
        <w:rPr>
          <w:rFonts w:ascii="Arial" w:hAnsi="Arial" w:cs="Arial"/>
          <w:lang w:val="en-US"/>
        </w:rPr>
        <w:t>s</w:t>
      </w:r>
      <w:r w:rsidR="008117EE" w:rsidRPr="006E7629">
        <w:rPr>
          <w:rFonts w:ascii="Arial" w:hAnsi="Arial" w:cs="Arial"/>
          <w:lang w:val="en-US"/>
        </w:rPr>
        <w:t xml:space="preserve"> among the representative microbiome of each plant species. As it is often the case before network construction, both a prevalence and abundance filter will be performed to eliminate the little variation caused by the two sampling seasons on the community composition. These operations, will allow to avoid the effect of environmental filtering while significantly improving the robustness of the networks by increasing the number of samples</w:t>
      </w:r>
      <w:r w:rsidR="00D82D89" w:rsidRPr="006E7629">
        <w:rPr>
          <w:rFonts w:ascii="Arial" w:hAnsi="Arial" w:cs="Arial"/>
          <w:lang w:val="en-US"/>
        </w:rPr>
        <w:t xml:space="preserve"> (doubling)</w:t>
      </w:r>
      <w:r w:rsidR="008117EE" w:rsidRPr="006E7629">
        <w:rPr>
          <w:rFonts w:ascii="Arial" w:hAnsi="Arial" w:cs="Arial"/>
          <w:lang w:val="en-US"/>
        </w:rPr>
        <w:t xml:space="preserve"> for each network construction. </w:t>
      </w:r>
      <w:r w:rsidR="000B214A" w:rsidRPr="006E7629">
        <w:rPr>
          <w:rFonts w:ascii="Arial" w:hAnsi="Arial" w:cs="Arial"/>
          <w:lang w:val="en-US"/>
        </w:rPr>
        <w:t xml:space="preserve">Furthermore, arid desert soil and plant microbiome variation is mainly induced by water availability during precipitation through the so-called ‘pulse reserve paradigm’ </w:t>
      </w:r>
      <w:r w:rsidR="000B214A" w:rsidRPr="006E7629">
        <w:rPr>
          <w:rFonts w:ascii="Arial" w:hAnsi="Arial" w:cs="Arial"/>
          <w:lang w:val="en-US"/>
        </w:rPr>
        <w:fldChar w:fldCharType="begin"/>
      </w:r>
      <w:r w:rsidR="00756300" w:rsidRPr="006E7629">
        <w:rPr>
          <w:rFonts w:ascii="Arial" w:hAnsi="Arial" w:cs="Arial"/>
          <w:lang w:val="en-US"/>
        </w:rPr>
        <w:instrText xml:space="preserve"> ADDIN ZOTERO_ITEM CSL_CITATION {"citationID":"xqHGi2ec","properties":{"formattedCitation":"[3,4]","plainCitation":"[3,4]","noteIndex":0},"citationItems":[{"id":5774,"uris":["http://zotero.org/groups/2658427/items/J4D5R84N"],"itemData":{"id":5774,"type":"article-journal","container-title":"Annual Review of Ecology and Systematics","DOI":"10.1146/annurev.es.04.110173.000325","ISSN":"0066-4162","issue":"1","journalAbbreviation":"Annu. Rev. Ecol. Syst.","language":"en","page":"25-51","source":"DOI.org (Crossref)","title":"Desert Ecosystems: Environment and Producers","title-short":"Desert Ecosystems","volume":"4","author":[{"family":"Noy-Meir","given":"Imanuel"}],"issued":{"date-parts":[["1973",11]]}}},{"id":1747,"uris":["http://zotero.org/groups/2658427/items/Z4MCNURE"],"itemData":{"id":1747,"type":"article-journal","container-title":"Journal of Ecology","DOI":"10.1111/j.1365-2745.2008.01362.x","ISSN":"00220477","issue":"3","language":"en","page":"413-420","source":"DOI.org (Crossref)","title":"Pulse dynamics and microbial processes in aridland ecosystems: Pulse dynamics in aridland soils","title-short":"Pulse dynamics and microbial processes in aridland ecosystems","volume":"96","author":[{"family":"Collins","given":"Scott L."},{"family":"Sinsabaugh","given":"Robert L."},{"family":"Crenshaw","given":"Chelsea"},{"family":"Green","given":"Laura"},{"family":"Porras-Alfaro","given":"Andrea"},{"family":"Stursova","given":"Martina"},{"family":"Zeglin","given":"Lydia H."}],"issued":{"date-parts":[["2008",3,6]]}}}],"schema":"https://github.com/citation-style-language/schema/raw/master/csl-citation.json"} </w:instrText>
      </w:r>
      <w:r w:rsidR="000B214A" w:rsidRPr="006E7629">
        <w:rPr>
          <w:rFonts w:ascii="Arial" w:hAnsi="Arial" w:cs="Arial"/>
          <w:lang w:val="en-US"/>
        </w:rPr>
        <w:fldChar w:fldCharType="separate"/>
      </w:r>
      <w:r w:rsidR="00756300" w:rsidRPr="006E7629">
        <w:rPr>
          <w:rFonts w:ascii="Arial" w:hAnsi="Arial" w:cs="Arial"/>
          <w:lang w:val="en-US"/>
        </w:rPr>
        <w:t>[3,4]</w:t>
      </w:r>
      <w:r w:rsidR="000B214A" w:rsidRPr="006E7629">
        <w:rPr>
          <w:rFonts w:ascii="Arial" w:hAnsi="Arial" w:cs="Arial"/>
          <w:lang w:val="en-US"/>
        </w:rPr>
        <w:fldChar w:fldCharType="end"/>
      </w:r>
      <w:r w:rsidR="000B214A" w:rsidRPr="006E7629">
        <w:rPr>
          <w:rFonts w:ascii="Arial" w:hAnsi="Arial" w:cs="Arial"/>
          <w:lang w:val="en-US"/>
        </w:rPr>
        <w:t xml:space="preserve">. As no precipitations were recorded between the two sampling seasons, </w:t>
      </w:r>
      <w:r w:rsidR="00D82D89" w:rsidRPr="006E7629">
        <w:rPr>
          <w:rFonts w:ascii="Arial" w:hAnsi="Arial" w:cs="Arial"/>
          <w:lang w:val="en-US"/>
        </w:rPr>
        <w:t>they should not differ in composition, a feature observed in our datasets.</w:t>
      </w:r>
    </w:p>
    <w:p w14:paraId="58043678" w14:textId="6AEC23FC" w:rsidR="00404731" w:rsidRPr="006E7629" w:rsidRDefault="00F35DFE" w:rsidP="004B6020">
      <w:pPr>
        <w:spacing w:line="480" w:lineRule="auto"/>
        <w:jc w:val="both"/>
        <w:rPr>
          <w:rFonts w:ascii="Arial" w:hAnsi="Arial" w:cs="Arial"/>
          <w:lang w:val="en-US"/>
        </w:rPr>
      </w:pPr>
      <w:r w:rsidRPr="006E7629">
        <w:rPr>
          <w:rFonts w:ascii="Arial" w:hAnsi="Arial" w:cs="Arial"/>
          <w:lang w:val="en-US"/>
        </w:rPr>
        <w:t>Finally, we tested the effect of sampling seasons on the bulk soils for each amplicon (Fig S</w:t>
      </w:r>
      <w:r w:rsidR="0034353C" w:rsidRPr="006E7629">
        <w:rPr>
          <w:rFonts w:ascii="Arial" w:hAnsi="Arial" w:cs="Arial"/>
          <w:lang w:val="en-US"/>
        </w:rPr>
        <w:t>12</w:t>
      </w:r>
      <w:r w:rsidRPr="006E7629">
        <w:rPr>
          <w:rFonts w:ascii="Arial" w:hAnsi="Arial" w:cs="Arial"/>
          <w:lang w:val="en-US"/>
        </w:rPr>
        <w:t>). The reported R</w:t>
      </w:r>
      <w:r w:rsidRPr="006E7629">
        <w:rPr>
          <w:rFonts w:ascii="Arial" w:hAnsi="Arial" w:cs="Arial"/>
          <w:vertAlign w:val="superscript"/>
          <w:lang w:val="en-US"/>
        </w:rPr>
        <w:t>2</w:t>
      </w:r>
      <w:r w:rsidRPr="006E7629">
        <w:rPr>
          <w:rFonts w:ascii="Arial" w:hAnsi="Arial" w:cs="Arial"/>
          <w:lang w:val="en-US"/>
        </w:rPr>
        <w:t xml:space="preserve"> was 0.031**, 0.056*** and 0.048*** for ITS, 18S and 16S respectively, which further supported the low contribution of the seasonal effect on community composition. Site effect was higher, but was mainly driven by the site HP and ST, both located in sand dunes, with high silica content as reported in Figure 2 of the main text.</w:t>
      </w:r>
    </w:p>
    <w:p w14:paraId="3F3212BE" w14:textId="77777777" w:rsidR="00404731" w:rsidRPr="006E7629" w:rsidRDefault="00404731" w:rsidP="004B6020">
      <w:pPr>
        <w:spacing w:line="480" w:lineRule="auto"/>
        <w:jc w:val="both"/>
        <w:rPr>
          <w:rFonts w:ascii="Arial" w:hAnsi="Arial" w:cs="Arial"/>
          <w:lang w:val="en-US"/>
        </w:rPr>
      </w:pPr>
    </w:p>
    <w:p w14:paraId="34AA72AF" w14:textId="58878C60" w:rsidR="00404731" w:rsidRPr="006E7629" w:rsidRDefault="00404731" w:rsidP="004B6020">
      <w:pPr>
        <w:spacing w:line="480" w:lineRule="auto"/>
        <w:jc w:val="both"/>
        <w:rPr>
          <w:rFonts w:ascii="Arial" w:hAnsi="Arial" w:cs="Arial"/>
          <w:i/>
          <w:lang w:val="en-US"/>
        </w:rPr>
      </w:pPr>
      <w:r w:rsidRPr="006E7629">
        <w:rPr>
          <w:rFonts w:ascii="Arial" w:hAnsi="Arial" w:cs="Arial"/>
          <w:lang w:val="en-US"/>
        </w:rPr>
        <w:t xml:space="preserve">Supplemental methods 3: </w:t>
      </w:r>
      <w:r w:rsidRPr="006E7629">
        <w:rPr>
          <w:rFonts w:ascii="Arial" w:hAnsi="Arial" w:cs="Arial"/>
          <w:i/>
          <w:lang w:val="en-US"/>
        </w:rPr>
        <w:t>Soil composition</w:t>
      </w:r>
      <w:r w:rsidR="000C4BED" w:rsidRPr="006E7629">
        <w:rPr>
          <w:rFonts w:ascii="Arial" w:hAnsi="Arial" w:cs="Arial"/>
          <w:i/>
          <w:lang w:val="en-US"/>
        </w:rPr>
        <w:t xml:space="preserve"> as a</w:t>
      </w:r>
      <w:r w:rsidRPr="006E7629">
        <w:rPr>
          <w:rFonts w:ascii="Arial" w:hAnsi="Arial" w:cs="Arial"/>
          <w:i/>
          <w:lang w:val="en-US"/>
        </w:rPr>
        <w:t xml:space="preserve"> driver of microbial composition</w:t>
      </w:r>
    </w:p>
    <w:p w14:paraId="09FE7C4B" w14:textId="58EA192D" w:rsidR="004B6020" w:rsidRPr="006E7629" w:rsidRDefault="00404731" w:rsidP="004B6020">
      <w:pPr>
        <w:spacing w:line="480" w:lineRule="auto"/>
        <w:jc w:val="both"/>
        <w:rPr>
          <w:rFonts w:ascii="Arial" w:hAnsi="Arial" w:cs="Arial"/>
          <w:lang w:val="en-US"/>
        </w:rPr>
      </w:pPr>
      <w:r w:rsidRPr="006E7629">
        <w:rPr>
          <w:rFonts w:ascii="Arial" w:hAnsi="Arial" w:cs="Arial"/>
          <w:lang w:val="en-US"/>
        </w:rPr>
        <w:t>To assess which soil parameters significantly impacted microbial compositions, partial mantel tests were used between the centered log ratio XRF atomic composition and pH with the three microbial compositions matrices (ITS, 18S, 16S). Spearman correlation was used to assess the correlations across soil compositions variables (Fig S</w:t>
      </w:r>
      <w:r w:rsidR="0034353C" w:rsidRPr="006E7629">
        <w:rPr>
          <w:rFonts w:ascii="Arial" w:hAnsi="Arial" w:cs="Arial"/>
          <w:lang w:val="en-US"/>
        </w:rPr>
        <w:t>13</w:t>
      </w:r>
      <w:r w:rsidRPr="006E7629">
        <w:rPr>
          <w:rFonts w:ascii="Arial" w:hAnsi="Arial" w:cs="Arial"/>
          <w:lang w:val="en-US"/>
        </w:rPr>
        <w:t xml:space="preserve">). </w:t>
      </w:r>
    </w:p>
    <w:p w14:paraId="00DE7427" w14:textId="77777777" w:rsidR="004B6020" w:rsidRPr="006E7629" w:rsidRDefault="004B6020">
      <w:pPr>
        <w:rPr>
          <w:rFonts w:ascii="Arial" w:hAnsi="Arial" w:cs="Arial"/>
          <w:lang w:val="en-US"/>
        </w:rPr>
      </w:pPr>
      <w:r w:rsidRPr="006E7629">
        <w:rPr>
          <w:rFonts w:ascii="Arial" w:hAnsi="Arial" w:cs="Arial"/>
          <w:lang w:val="en-US"/>
        </w:rPr>
        <w:br w:type="page"/>
      </w:r>
    </w:p>
    <w:p w14:paraId="047AB5CE" w14:textId="77777777" w:rsidR="00404731" w:rsidRPr="006E7629" w:rsidRDefault="00404731" w:rsidP="004B6020">
      <w:pPr>
        <w:spacing w:line="480" w:lineRule="auto"/>
        <w:rPr>
          <w:rFonts w:ascii="Arial" w:hAnsi="Arial" w:cs="Arial"/>
          <w:i/>
          <w:lang w:val="en-US"/>
        </w:rPr>
      </w:pPr>
      <w:r w:rsidRPr="006E7629">
        <w:rPr>
          <w:rFonts w:ascii="Arial" w:hAnsi="Arial" w:cs="Arial"/>
          <w:lang w:val="en-US"/>
        </w:rPr>
        <w:lastRenderedPageBreak/>
        <w:t xml:space="preserve">Supplemental methods 4: </w:t>
      </w:r>
      <w:r w:rsidRPr="006E7629">
        <w:rPr>
          <w:rFonts w:ascii="Arial" w:hAnsi="Arial" w:cs="Arial"/>
          <w:i/>
          <w:lang w:val="en-US"/>
        </w:rPr>
        <w:t>Networks construction</w:t>
      </w:r>
    </w:p>
    <w:p w14:paraId="729D47B2" w14:textId="6429A9FD" w:rsidR="00404731" w:rsidRPr="006E7629" w:rsidRDefault="00404731" w:rsidP="004B6020">
      <w:pPr>
        <w:spacing w:line="480" w:lineRule="auto"/>
        <w:jc w:val="both"/>
        <w:rPr>
          <w:rFonts w:ascii="Arial" w:hAnsi="Arial" w:cs="Arial"/>
          <w:lang w:val="en-US"/>
        </w:rPr>
      </w:pPr>
      <w:r w:rsidRPr="006E7629">
        <w:rPr>
          <w:rFonts w:ascii="Arial" w:hAnsi="Arial" w:cs="Arial"/>
          <w:lang w:val="en-US"/>
        </w:rPr>
        <w:t>Networks were constructed according to the pipeline described in Figure S6. Each ITS, 18S and 16S sequencing datasets were first subsetted according to each root and rhizosphere compartments, then by plant species. Low sequencing depth samples were removed from each subsetted dataset to avoid excessive dispersion. As seen in Figure S</w:t>
      </w:r>
      <w:r w:rsidR="0034353C" w:rsidRPr="006E7629">
        <w:rPr>
          <w:rFonts w:ascii="Arial" w:hAnsi="Arial" w:cs="Arial"/>
          <w:lang w:val="en-US"/>
        </w:rPr>
        <w:t>23</w:t>
      </w:r>
      <w:r w:rsidRPr="006E7629">
        <w:rPr>
          <w:rFonts w:ascii="Arial" w:hAnsi="Arial" w:cs="Arial"/>
          <w:lang w:val="en-US"/>
        </w:rPr>
        <w:t xml:space="preserve"> and Supplemental methods 2, rare species represent an important proportion of OTU and ASV, while representing a low proportion of sequence reads. This effect was of higher order for bacteria were a 4-fold range between the effective number of ASV between q0 et q1 was observed. Thus, for bacteria we first applied an abundance </w:t>
      </w:r>
      <w:r w:rsidR="00A77D87" w:rsidRPr="006E7629">
        <w:rPr>
          <w:rFonts w:ascii="Arial" w:hAnsi="Arial" w:cs="Arial"/>
          <w:lang w:val="en-US"/>
        </w:rPr>
        <w:t>threshold</w:t>
      </w:r>
      <w:r w:rsidRPr="006E7629">
        <w:rPr>
          <w:rFonts w:ascii="Arial" w:hAnsi="Arial" w:cs="Arial"/>
          <w:lang w:val="en-US"/>
        </w:rPr>
        <w:t xml:space="preserve"> of 0.005% to remove rare ASV, then a prevalence filter of 60% was applied. For fungi identified with both ITS and 18S, we only applied a 10% prevalence filter as this was sufficient to recover most shared OUT between samples. From these new filtered OTU and ASV tables we constructed the co-occurrence networks using SPIEC-EASI </w:t>
      </w:r>
      <w:r w:rsidRPr="006E7629">
        <w:rPr>
          <w:rFonts w:ascii="Arial" w:hAnsi="Arial" w:cs="Arial"/>
          <w:lang w:val="en-US"/>
        </w:rPr>
        <w:fldChar w:fldCharType="begin"/>
      </w:r>
      <w:r w:rsidRPr="006E7629">
        <w:rPr>
          <w:rFonts w:ascii="Arial" w:hAnsi="Arial" w:cs="Arial"/>
          <w:lang w:val="en-US"/>
        </w:rPr>
        <w:instrText xml:space="preserve"> ADDIN ZOTERO_ITEM CSL_CITATION {"citationID":"8ASeYPaa","properties":{"formattedCitation":"[1]","plainCitation":"[1]","noteIndex":0},"citationItems":[{"id":2424,"uris":["http://zotero.org/groups/2658427/items/KLBLAR9H"],"itemData":{"id":2424,"type":"article-journal","container-title":"PLOS Computational Biology","DOI":"10.1371/journal.pcbi.1004226","ISSN":"1553-7358","issue":"5","journalAbbreviation":"PLoS Comput Biol","language":"en","page":"e1004226","source":"DOI.org (Crossref)","title":"Sparse and Compositionally Robust Inference of Microbial Ecological Networks","volume":"11","author":[{"family":"Kurtz","given":"Zachary D."},{"family":"Müller","given":"Christian L."},{"family":"Miraldi","given":"Emily R."},{"family":"Littman","given":"Dan R."},{"family":"Blaser","given":"Martin J."},{"family":"Bonneau","given":"Richard A."}],"editor":[{"family":"Mering","given":"Christian","non-dropping-particle":"von"}],"issued":{"date-parts":[["2015",5,7]]}}}],"schema":"https://github.com/citation-style-language/schema/raw/master/csl-citation.json"} </w:instrText>
      </w:r>
      <w:r w:rsidRPr="006E7629">
        <w:rPr>
          <w:rFonts w:ascii="Arial" w:hAnsi="Arial" w:cs="Arial"/>
          <w:lang w:val="en-US"/>
        </w:rPr>
        <w:fldChar w:fldCharType="separate"/>
      </w:r>
      <w:r w:rsidRPr="006E7629">
        <w:rPr>
          <w:rFonts w:ascii="Arial" w:hAnsi="Arial" w:cs="Arial"/>
          <w:lang w:val="en-US"/>
        </w:rPr>
        <w:t>[1]</w:t>
      </w:r>
      <w:r w:rsidRPr="006E7629">
        <w:rPr>
          <w:rFonts w:ascii="Arial" w:hAnsi="Arial" w:cs="Arial"/>
          <w:lang w:val="en-US"/>
        </w:rPr>
        <w:fldChar w:fldCharType="end"/>
      </w:r>
      <w:r w:rsidRPr="006E7629">
        <w:rPr>
          <w:rFonts w:ascii="Arial" w:hAnsi="Arial" w:cs="Arial"/>
          <w:lang w:val="en-US"/>
        </w:rPr>
        <w:t xml:space="preserve">, using the Meinshausen and Bühlmann method (‘mb’) neighborhood selection method. Each network was constructed with a lambda ratio of 0.01, with 100 lambda values over 100 cross-validations and models were selected using the Stability Approach to Regularization Selection (StARS) algorithm with a stability threshold of 0.05, that was assessed for each network construction. Cross-domain networks were constructed using the intersection of samples from the previous subsetted tables using the extended SPIEC-EASI method </w:t>
      </w:r>
      <w:r w:rsidRPr="006E7629">
        <w:rPr>
          <w:rFonts w:ascii="Arial" w:hAnsi="Arial" w:cs="Arial"/>
          <w:lang w:val="en-US"/>
        </w:rPr>
        <w:fldChar w:fldCharType="begin"/>
      </w:r>
      <w:r w:rsidRPr="006E7629">
        <w:rPr>
          <w:rFonts w:ascii="Arial" w:hAnsi="Arial" w:cs="Arial"/>
          <w:lang w:val="en-US"/>
        </w:rPr>
        <w:instrText xml:space="preserve"> ADDIN ZOTERO_ITEM CSL_CITATION {"citationID":"ZTjTTr8s","properties":{"formattedCitation":"[2]","plainCitation":"[2]","noteIndex":0},"citationItems":[{"id":3474,"uris":["http://zotero.org/groups/2658427/items/CL8YVQR5"],"itemData":{"id":3474,"type":"article-journal","container-title":"Microbiome","DOI":"10.1186/s40168-017-0393-0","ISSN":"2049-2618","issue":"1","journalAbbreviation":"Microbiome","language":"en","page":"12","source":"DOI.org (Crossref)","title":"Fungi stabilize connectivity in the lung and skin microbial ecosystems","volume":"6","author":[{"family":"Tipton","given":"Laura"},{"family":"Müller","given":"Christian L."},{"family":"Kurtz","given":"Zachary D."},{"family":"Huang","given":"Laurence"},{"family":"Kleerup","given":"Eric"},{"family":"Morris","given":"Alison"},{"family":"Bonneau","given":"Richard"},{"family":"Ghedin","given":"Elodie"}],"issued":{"date-parts":[["2018",12]]}}}],"schema":"https://github.com/citation-style-language/schema/raw/master/csl-citation.json"} </w:instrText>
      </w:r>
      <w:r w:rsidRPr="006E7629">
        <w:rPr>
          <w:rFonts w:ascii="Arial" w:hAnsi="Arial" w:cs="Arial"/>
          <w:lang w:val="en-US"/>
        </w:rPr>
        <w:fldChar w:fldCharType="separate"/>
      </w:r>
      <w:r w:rsidRPr="006E7629">
        <w:rPr>
          <w:rFonts w:ascii="Arial" w:hAnsi="Arial" w:cs="Arial"/>
          <w:lang w:val="en-US"/>
        </w:rPr>
        <w:t>[2]</w:t>
      </w:r>
      <w:r w:rsidRPr="006E7629">
        <w:rPr>
          <w:rFonts w:ascii="Arial" w:hAnsi="Arial" w:cs="Arial"/>
          <w:lang w:val="en-US"/>
        </w:rPr>
        <w:fldChar w:fldCharType="end"/>
      </w:r>
      <w:r w:rsidRPr="006E7629">
        <w:rPr>
          <w:rFonts w:ascii="Arial" w:hAnsi="Arial" w:cs="Arial"/>
          <w:lang w:val="en-US"/>
        </w:rPr>
        <w:t xml:space="preserve">. For these networks, the lambda ratio varied between 0.01 and 0.0001 to reach the stability threshold of 0.05. Then, for each </w:t>
      </w:r>
      <w:r w:rsidR="00A77D87" w:rsidRPr="006E7629">
        <w:rPr>
          <w:rFonts w:ascii="Arial" w:hAnsi="Arial" w:cs="Arial"/>
          <w:lang w:val="en-US"/>
        </w:rPr>
        <w:t>network</w:t>
      </w:r>
      <w:r w:rsidRPr="006E7629">
        <w:rPr>
          <w:rFonts w:ascii="Arial" w:hAnsi="Arial" w:cs="Arial"/>
          <w:lang w:val="en-US"/>
        </w:rPr>
        <w:t xml:space="preserve">, we symmetrized the beta coefficient matric selected from the MB neighborhood selection as well as the symmetric matrix with edge-wise stability from the StARS-optimal network and only kept the edges that appeared in 80% of the sub-networks. This method is similar as keeping the most significant correlations in Spearmann correlations networks and allowed us to achieve a better sparsity in the selected network by improving confidences of edges. In total, this yielded 65 individual networks, which we then </w:t>
      </w:r>
      <w:r w:rsidR="00A77D87" w:rsidRPr="006E7629">
        <w:rPr>
          <w:rFonts w:ascii="Arial" w:hAnsi="Arial" w:cs="Arial"/>
          <w:lang w:val="en-US"/>
        </w:rPr>
        <w:t>analyzed</w:t>
      </w:r>
      <w:r w:rsidRPr="006E7629">
        <w:rPr>
          <w:rFonts w:ascii="Arial" w:hAnsi="Arial" w:cs="Arial"/>
          <w:lang w:val="en-US"/>
        </w:rPr>
        <w:t xml:space="preserve"> using igraph and Gephi. So as not to overload </w:t>
      </w:r>
      <w:r w:rsidRPr="006E7629">
        <w:rPr>
          <w:rFonts w:ascii="Arial" w:hAnsi="Arial" w:cs="Arial"/>
          <w:lang w:val="en-US"/>
        </w:rPr>
        <w:lastRenderedPageBreak/>
        <w:t>the number of figures, all network visualizations are available in the supplementary figures S</w:t>
      </w:r>
      <w:r w:rsidR="0034353C" w:rsidRPr="006E7629">
        <w:rPr>
          <w:rFonts w:ascii="Arial" w:hAnsi="Arial" w:cs="Arial"/>
          <w:lang w:val="en-US"/>
        </w:rPr>
        <w:t>16</w:t>
      </w:r>
      <w:r w:rsidRPr="006E7629">
        <w:rPr>
          <w:rFonts w:ascii="Arial" w:hAnsi="Arial" w:cs="Arial"/>
          <w:lang w:val="en-US"/>
        </w:rPr>
        <w:t>-S1</w:t>
      </w:r>
      <w:r w:rsidR="0034353C" w:rsidRPr="006E7629">
        <w:rPr>
          <w:rFonts w:ascii="Arial" w:hAnsi="Arial" w:cs="Arial"/>
          <w:lang w:val="en-US"/>
        </w:rPr>
        <w:t>9</w:t>
      </w:r>
      <w:r w:rsidRPr="006E7629">
        <w:rPr>
          <w:rFonts w:ascii="Arial" w:hAnsi="Arial" w:cs="Arial"/>
          <w:lang w:val="en-US"/>
        </w:rPr>
        <w:t>.</w:t>
      </w:r>
    </w:p>
    <w:p w14:paraId="5D6526A0" w14:textId="29CCF3A1" w:rsidR="00B82875" w:rsidRPr="006E7629" w:rsidRDefault="00B82875" w:rsidP="004B6020">
      <w:pPr>
        <w:spacing w:line="480" w:lineRule="auto"/>
        <w:jc w:val="both"/>
        <w:rPr>
          <w:rFonts w:ascii="Arial" w:hAnsi="Arial" w:cs="Arial"/>
          <w:i/>
          <w:lang w:val="en-US"/>
        </w:rPr>
      </w:pPr>
      <w:r w:rsidRPr="006E7629">
        <w:rPr>
          <w:rFonts w:ascii="Arial" w:hAnsi="Arial" w:cs="Arial"/>
          <w:lang w:val="en-US"/>
        </w:rPr>
        <w:t xml:space="preserve">Supplemental methods 5: </w:t>
      </w:r>
      <w:r w:rsidRPr="006E7629">
        <w:rPr>
          <w:rFonts w:ascii="Arial" w:hAnsi="Arial" w:cs="Arial"/>
          <w:i/>
          <w:lang w:val="en-US"/>
        </w:rPr>
        <w:t>Topological roles of symbiotic nodes based on their among module and within module connectivity</w:t>
      </w:r>
    </w:p>
    <w:p w14:paraId="0C4BBA43" w14:textId="766F5222" w:rsidR="009C64B6" w:rsidRDefault="00B82875" w:rsidP="004B6020">
      <w:pPr>
        <w:spacing w:before="240" w:after="0" w:line="480" w:lineRule="auto"/>
        <w:jc w:val="both"/>
        <w:rPr>
          <w:rFonts w:ascii="Arial" w:hAnsi="Arial" w:cs="Arial"/>
          <w:lang w:val="en-US"/>
        </w:rPr>
      </w:pPr>
      <w:r w:rsidRPr="006E7629">
        <w:rPr>
          <w:rFonts w:ascii="Arial" w:hAnsi="Arial" w:cs="Arial"/>
          <w:lang w:val="en-US"/>
        </w:rPr>
        <w:t xml:space="preserve">Identifying the role of different nodes in the network structure is an important topological parameter for qualifying their relative structural importance. First, we calculated their modularity </w:t>
      </w:r>
      <m:oMath>
        <m:r>
          <w:rPr>
            <w:rFonts w:ascii="Cambria Math" w:hAnsi="Cambria Math" w:cs="Arial"/>
            <w:lang w:val="en-US"/>
          </w:rPr>
          <m:t>Q</m:t>
        </m:r>
      </m:oMath>
      <w:r w:rsidRPr="006E7629">
        <w:rPr>
          <w:rFonts w:ascii="Arial" w:hAnsi="Arial" w:cs="Arial"/>
          <w:lang w:val="en-US"/>
        </w:rPr>
        <w:t xml:space="preserve"> for undirected weighted networks using </w:t>
      </w:r>
      <m:oMath>
        <m:r>
          <w:rPr>
            <w:rFonts w:ascii="Cambria Math" w:hAnsi="Cambria Math" w:cs="Arial"/>
            <w:lang w:val="en-US"/>
          </w:rPr>
          <m:t xml:space="preserve">Q = </m:t>
        </m:r>
        <m:f>
          <m:fPr>
            <m:ctrlPr>
              <w:rPr>
                <w:rFonts w:ascii="Cambria Math" w:hAnsi="Cambria Math" w:cs="Arial"/>
                <w:i/>
                <w:lang w:val="en-US"/>
              </w:rPr>
            </m:ctrlPr>
          </m:fPr>
          <m:num>
            <m:r>
              <w:rPr>
                <w:rFonts w:ascii="Cambria Math" w:hAnsi="Cambria Math" w:cs="Arial"/>
                <w:lang w:val="en-US"/>
              </w:rPr>
              <m:t>1</m:t>
            </m:r>
          </m:num>
          <m:den>
            <m:r>
              <w:rPr>
                <w:rFonts w:ascii="Cambria Math" w:hAnsi="Cambria Math" w:cs="Arial"/>
                <w:lang w:val="en-US"/>
              </w:rPr>
              <m:t>2m</m:t>
            </m:r>
          </m:den>
        </m:f>
        <m:nary>
          <m:naryPr>
            <m:chr m:val="∑"/>
            <m:limLoc m:val="undOvr"/>
            <m:supHide m:val="1"/>
            <m:ctrlPr>
              <w:rPr>
                <w:rFonts w:ascii="Cambria Math" w:hAnsi="Cambria Math" w:cs="Arial"/>
                <w:i/>
                <w:lang w:val="en-US"/>
              </w:rPr>
            </m:ctrlPr>
          </m:naryPr>
          <m:sub>
            <m:r>
              <w:rPr>
                <w:rFonts w:ascii="Cambria Math" w:hAnsi="Cambria Math" w:cs="Arial"/>
                <w:lang w:val="en-US"/>
              </w:rPr>
              <m:t>i,j</m:t>
            </m:r>
          </m:sub>
          <m:sup/>
          <m:e>
            <m:d>
              <m:dPr>
                <m:begChr m:val="["/>
                <m:endChr m:val="]"/>
                <m:ctrlPr>
                  <w:rPr>
                    <w:rFonts w:ascii="Cambria Math" w:hAnsi="Cambria Math" w:cs="Arial"/>
                    <w:i/>
                    <w:lang w:val="en-US"/>
                  </w:rPr>
                </m:ctrlPr>
              </m:dPr>
              <m:e>
                <m:sSub>
                  <m:sSubPr>
                    <m:ctrlPr>
                      <w:rPr>
                        <w:rFonts w:ascii="Cambria Math" w:hAnsi="Cambria Math" w:cs="Arial"/>
                        <w:i/>
                        <w:lang w:val="en-US"/>
                      </w:rPr>
                    </m:ctrlPr>
                  </m:sSubPr>
                  <m:e>
                    <m:r>
                      <w:rPr>
                        <w:rFonts w:ascii="Cambria Math" w:hAnsi="Cambria Math" w:cs="Arial"/>
                        <w:lang w:val="en-US"/>
                      </w:rPr>
                      <m:t>A</m:t>
                    </m:r>
                  </m:e>
                  <m:sub>
                    <m:r>
                      <w:rPr>
                        <w:rFonts w:ascii="Cambria Math" w:hAnsi="Cambria Math" w:cs="Arial"/>
                        <w:lang w:val="en-US"/>
                      </w:rPr>
                      <m:t>ij</m:t>
                    </m:r>
                  </m:sub>
                </m:sSub>
                <m:r>
                  <w:rPr>
                    <w:rFonts w:ascii="Cambria Math" w:hAnsi="Cambria Math" w:cs="Arial"/>
                    <w:lang w:val="en-US"/>
                  </w:rPr>
                  <m:t>-</m:t>
                </m:r>
                <m:f>
                  <m:fPr>
                    <m:ctrlPr>
                      <w:rPr>
                        <w:rFonts w:ascii="Cambria Math" w:hAnsi="Cambria Math" w:cs="Arial"/>
                        <w:i/>
                        <w:lang w:val="en-US"/>
                      </w:rPr>
                    </m:ctrlPr>
                  </m:fPr>
                  <m:num>
                    <m:sSub>
                      <m:sSubPr>
                        <m:ctrlPr>
                          <w:rPr>
                            <w:rFonts w:ascii="Cambria Math" w:hAnsi="Cambria Math" w:cs="Arial"/>
                            <w:i/>
                            <w:lang w:val="en-US"/>
                          </w:rPr>
                        </m:ctrlPr>
                      </m:sSubPr>
                      <m:e>
                        <m:r>
                          <w:rPr>
                            <w:rFonts w:ascii="Cambria Math" w:hAnsi="Cambria Math" w:cs="Arial"/>
                            <w:lang w:val="en-US"/>
                          </w:rPr>
                          <m:t>k</m:t>
                        </m:r>
                      </m:e>
                      <m:sub>
                        <m:r>
                          <w:rPr>
                            <w:rFonts w:ascii="Cambria Math" w:hAnsi="Cambria Math" w:cs="Arial"/>
                            <w:lang w:val="en-US"/>
                          </w:rPr>
                          <m:t>i</m:t>
                        </m:r>
                      </m:sub>
                    </m:sSub>
                    <m:sSub>
                      <m:sSubPr>
                        <m:ctrlPr>
                          <w:rPr>
                            <w:rFonts w:ascii="Cambria Math" w:hAnsi="Cambria Math" w:cs="Arial"/>
                            <w:i/>
                            <w:lang w:val="en-US"/>
                          </w:rPr>
                        </m:ctrlPr>
                      </m:sSubPr>
                      <m:e>
                        <m:r>
                          <w:rPr>
                            <w:rFonts w:ascii="Cambria Math" w:hAnsi="Cambria Math" w:cs="Arial"/>
                            <w:lang w:val="en-US"/>
                          </w:rPr>
                          <m:t>k</m:t>
                        </m:r>
                      </m:e>
                      <m:sub>
                        <m:r>
                          <w:rPr>
                            <w:rFonts w:ascii="Cambria Math" w:hAnsi="Cambria Math" w:cs="Arial"/>
                            <w:lang w:val="en-US"/>
                          </w:rPr>
                          <m:t>j</m:t>
                        </m:r>
                      </m:sub>
                    </m:sSub>
                  </m:num>
                  <m:den>
                    <m:r>
                      <w:rPr>
                        <w:rFonts w:ascii="Cambria Math" w:hAnsi="Cambria Math" w:cs="Arial"/>
                        <w:lang w:val="en-US"/>
                      </w:rPr>
                      <m:t>2m</m:t>
                    </m:r>
                  </m:den>
                </m:f>
              </m:e>
            </m:d>
            <m:r>
              <w:rPr>
                <w:rFonts w:ascii="Cambria Math" w:hAnsi="Cambria Math" w:cs="Arial"/>
                <w:lang w:val="en-US"/>
              </w:rPr>
              <m:t>δ (</m:t>
            </m:r>
            <m:sSub>
              <m:sSubPr>
                <m:ctrlPr>
                  <w:rPr>
                    <w:rFonts w:ascii="Cambria Math" w:hAnsi="Cambria Math" w:cs="Arial"/>
                    <w:i/>
                    <w:lang w:val="en-US"/>
                  </w:rPr>
                </m:ctrlPr>
              </m:sSubPr>
              <m:e>
                <m:r>
                  <w:rPr>
                    <w:rFonts w:ascii="Cambria Math" w:hAnsi="Cambria Math" w:cs="Arial"/>
                    <w:lang w:val="en-US"/>
                  </w:rPr>
                  <m:t>c</m:t>
                </m:r>
              </m:e>
              <m:sub>
                <m:r>
                  <w:rPr>
                    <w:rFonts w:ascii="Cambria Math" w:hAnsi="Cambria Math" w:cs="Arial"/>
                    <w:lang w:val="en-US"/>
                  </w:rPr>
                  <m:t>i</m:t>
                </m:r>
              </m:sub>
            </m:sSub>
            <m:sSub>
              <m:sSubPr>
                <m:ctrlPr>
                  <w:rPr>
                    <w:rFonts w:ascii="Cambria Math" w:hAnsi="Cambria Math" w:cs="Arial"/>
                    <w:i/>
                    <w:lang w:val="en-US"/>
                  </w:rPr>
                </m:ctrlPr>
              </m:sSubPr>
              <m:e>
                <m:r>
                  <w:rPr>
                    <w:rFonts w:ascii="Cambria Math" w:hAnsi="Cambria Math" w:cs="Arial"/>
                    <w:lang w:val="en-US"/>
                  </w:rPr>
                  <m:t>,c</m:t>
                </m:r>
              </m:e>
              <m:sub>
                <m:r>
                  <w:rPr>
                    <w:rFonts w:ascii="Cambria Math" w:hAnsi="Cambria Math" w:cs="Arial"/>
                    <w:lang w:val="en-US"/>
                  </w:rPr>
                  <m:t>j</m:t>
                </m:r>
              </m:sub>
            </m:sSub>
            <m:r>
              <w:rPr>
                <w:rFonts w:ascii="Cambria Math" w:hAnsi="Cambria Math" w:cs="Arial"/>
                <w:lang w:val="en-US"/>
              </w:rPr>
              <m:t>)</m:t>
            </m:r>
          </m:e>
        </m:nary>
      </m:oMath>
      <w:r w:rsidRPr="006E7629">
        <w:rPr>
          <w:rFonts w:ascii="Arial" w:hAnsi="Arial" w:cs="Arial"/>
          <w:lang w:val="en-US"/>
        </w:rPr>
        <w:t xml:space="preserve"> </w:t>
      </w:r>
      <w:r w:rsidRPr="006E7629">
        <w:rPr>
          <w:rFonts w:ascii="Arial" w:hAnsi="Arial" w:cs="Arial" w:hint="eastAsia"/>
          <w:lang w:val="en-US"/>
        </w:rPr>
        <w:t xml:space="preserve">where </w:t>
      </w:r>
      <m:oMath>
        <m:sSub>
          <m:sSubPr>
            <m:ctrlPr>
              <w:rPr>
                <w:rFonts w:ascii="Cambria Math" w:hAnsi="Cambria Math" w:cs="Arial"/>
                <w:i/>
                <w:lang w:val="en-US"/>
              </w:rPr>
            </m:ctrlPr>
          </m:sSubPr>
          <m:e>
            <m:r>
              <w:rPr>
                <w:rFonts w:ascii="Cambria Math" w:hAnsi="Cambria Math" w:cs="Arial"/>
                <w:lang w:val="en-US"/>
              </w:rPr>
              <m:t>A</m:t>
            </m:r>
          </m:e>
          <m:sub>
            <m:r>
              <w:rPr>
                <w:rFonts w:ascii="Cambria Math" w:hAnsi="Cambria Math" w:cs="Arial"/>
                <w:lang w:val="en-US"/>
              </w:rPr>
              <m:t>ij</m:t>
            </m:r>
          </m:sub>
        </m:sSub>
      </m:oMath>
      <w:r w:rsidRPr="006E7629">
        <w:rPr>
          <w:rFonts w:ascii="Arial" w:hAnsi="Arial" w:cs="Arial" w:hint="eastAsia"/>
          <w:lang w:val="en-US"/>
        </w:rPr>
        <w:t xml:space="preserve"> is the weight of the edge between </w:t>
      </w:r>
      <m:oMath>
        <m:r>
          <w:rPr>
            <w:rFonts w:ascii="Cambria Math" w:hAnsi="Cambria Math" w:cs="Arial"/>
            <w:lang w:val="en-US"/>
          </w:rPr>
          <m:t>i</m:t>
        </m:r>
      </m:oMath>
      <w:r w:rsidRPr="006E7629">
        <w:rPr>
          <w:rFonts w:ascii="Arial" w:hAnsi="Arial" w:cs="Arial" w:hint="eastAsia"/>
          <w:lang w:val="en-US"/>
        </w:rPr>
        <w:t xml:space="preserve"> and </w:t>
      </w:r>
      <m:oMath>
        <m:r>
          <w:rPr>
            <w:rFonts w:ascii="Cambria Math" w:hAnsi="Cambria Math" w:cs="Arial"/>
            <w:lang w:val="en-US"/>
          </w:rPr>
          <m:t>j</m:t>
        </m:r>
      </m:oMath>
      <w:r w:rsidRPr="006E7629">
        <w:rPr>
          <w:rFonts w:ascii="Arial" w:hAnsi="Arial" w:cs="Arial" w:hint="eastAsia"/>
          <w:lang w:val="en-US"/>
        </w:rPr>
        <w:t xml:space="preserve">, </w:t>
      </w:r>
      <m:oMath>
        <m:sSub>
          <m:sSubPr>
            <m:ctrlPr>
              <w:rPr>
                <w:rFonts w:ascii="Cambria Math" w:hAnsi="Cambria Math" w:cs="Arial"/>
                <w:i/>
                <w:lang w:val="en-US"/>
              </w:rPr>
            </m:ctrlPr>
          </m:sSubPr>
          <m:e>
            <m:r>
              <w:rPr>
                <w:rFonts w:ascii="Cambria Math" w:hAnsi="Cambria Math" w:cs="Arial"/>
                <w:lang w:val="en-US"/>
              </w:rPr>
              <m:t>k</m:t>
            </m:r>
          </m:e>
          <m:sub>
            <m:r>
              <w:rPr>
                <w:rFonts w:ascii="Cambria Math" w:hAnsi="Cambria Math" w:cs="Arial"/>
                <w:lang w:val="en-US"/>
              </w:rPr>
              <m:t>i</m:t>
            </m:r>
          </m:sub>
        </m:sSub>
        <m:r>
          <w:rPr>
            <w:rFonts w:ascii="Cambria Math" w:hAnsi="Cambria Math" w:cs="Arial"/>
            <w:lang w:val="en-US"/>
          </w:rPr>
          <m:t xml:space="preserve">= </m:t>
        </m:r>
        <m:nary>
          <m:naryPr>
            <m:chr m:val="∑"/>
            <m:limLoc m:val="undOvr"/>
            <m:supHide m:val="1"/>
            <m:ctrlPr>
              <w:rPr>
                <w:rFonts w:ascii="Cambria Math" w:hAnsi="Cambria Math" w:cs="Arial"/>
                <w:i/>
                <w:lang w:val="en-US"/>
              </w:rPr>
            </m:ctrlPr>
          </m:naryPr>
          <m:sub>
            <m:r>
              <w:rPr>
                <w:rFonts w:ascii="Cambria Math" w:hAnsi="Cambria Math" w:cs="Arial"/>
                <w:lang w:val="en-US"/>
              </w:rPr>
              <m:t>j</m:t>
            </m:r>
          </m:sub>
          <m:sup/>
          <m:e>
            <m:sSub>
              <m:sSubPr>
                <m:ctrlPr>
                  <w:rPr>
                    <w:rFonts w:ascii="Cambria Math" w:hAnsi="Cambria Math" w:cs="Arial"/>
                    <w:i/>
                    <w:lang w:val="en-US"/>
                  </w:rPr>
                </m:ctrlPr>
              </m:sSubPr>
              <m:e>
                <m:r>
                  <w:rPr>
                    <w:rFonts w:ascii="Cambria Math" w:hAnsi="Cambria Math" w:cs="Arial"/>
                    <w:lang w:val="en-US"/>
                  </w:rPr>
                  <m:t>A</m:t>
                </m:r>
              </m:e>
              <m:sub>
                <m:r>
                  <w:rPr>
                    <w:rFonts w:ascii="Cambria Math" w:hAnsi="Cambria Math" w:cs="Arial"/>
                    <w:lang w:val="en-US"/>
                  </w:rPr>
                  <m:t>ij</m:t>
                </m:r>
              </m:sub>
            </m:sSub>
          </m:e>
        </m:nary>
      </m:oMath>
      <w:r w:rsidRPr="006E7629">
        <w:rPr>
          <w:rFonts w:ascii="Arial" w:hAnsi="Arial" w:cs="Arial"/>
          <w:lang w:val="en-US"/>
        </w:rPr>
        <w:t xml:space="preserve"> </w:t>
      </w:r>
      <w:r w:rsidRPr="006E7629">
        <w:rPr>
          <w:rFonts w:ascii="Arial" w:hAnsi="Arial" w:cs="Arial" w:hint="eastAsia"/>
          <w:lang w:val="en-US"/>
        </w:rPr>
        <w:t xml:space="preserve">is the sum of weights of the edges attached to vertex </w:t>
      </w:r>
      <m:oMath>
        <m:r>
          <w:rPr>
            <w:rFonts w:ascii="Cambria Math" w:hAnsi="Cambria Math" w:cs="Arial"/>
            <w:lang w:val="en-US"/>
          </w:rPr>
          <m:t>i</m:t>
        </m:r>
      </m:oMath>
      <w:r w:rsidRPr="006E7629">
        <w:rPr>
          <w:rFonts w:ascii="Arial" w:hAnsi="Arial" w:cs="Arial" w:hint="eastAsia"/>
          <w:lang w:val="en-US"/>
        </w:rPr>
        <w:t>,</w:t>
      </w:r>
      <w:r w:rsidRPr="006E7629">
        <w:rPr>
          <w:rFonts w:ascii="Arial" w:hAnsi="Arial" w:cs="Arial"/>
          <w:lang w:val="en-US"/>
        </w:rPr>
        <w:t xml:space="preserve"> </w:t>
      </w:r>
      <m:oMath>
        <m:sSub>
          <m:sSubPr>
            <m:ctrlPr>
              <w:rPr>
                <w:rFonts w:ascii="Cambria Math" w:hAnsi="Cambria Math" w:cs="Arial"/>
                <w:i/>
                <w:lang w:val="en-US"/>
              </w:rPr>
            </m:ctrlPr>
          </m:sSubPr>
          <m:e>
            <m:r>
              <w:rPr>
                <w:rFonts w:ascii="Cambria Math" w:hAnsi="Cambria Math" w:cs="Arial"/>
                <w:lang w:val="en-US"/>
              </w:rPr>
              <m:t>c</m:t>
            </m:r>
          </m:e>
          <m:sub>
            <m:r>
              <w:rPr>
                <w:rFonts w:ascii="Cambria Math" w:hAnsi="Cambria Math" w:cs="Arial"/>
                <w:lang w:val="en-US"/>
              </w:rPr>
              <m:t>i</m:t>
            </m:r>
          </m:sub>
        </m:sSub>
      </m:oMath>
      <w:r w:rsidRPr="006E7629">
        <w:rPr>
          <w:rFonts w:ascii="Arial" w:hAnsi="Arial" w:cs="Arial" w:hint="eastAsia"/>
          <w:lang w:val="en-US"/>
        </w:rPr>
        <w:t xml:space="preserve"> is the community to which vertex </w:t>
      </w:r>
      <m:oMath>
        <m:r>
          <w:rPr>
            <w:rFonts w:ascii="Cambria Math" w:hAnsi="Cambria Math" w:cs="Arial"/>
            <w:lang w:val="en-US"/>
          </w:rPr>
          <m:t>i</m:t>
        </m:r>
      </m:oMath>
      <w:r w:rsidRPr="006E7629">
        <w:rPr>
          <w:rFonts w:ascii="Arial" w:hAnsi="Arial" w:cs="Arial" w:hint="eastAsia"/>
          <w:lang w:val="en-US"/>
        </w:rPr>
        <w:t xml:space="preserve"> is attached, m = </w:t>
      </w:r>
      <m:oMath>
        <m:f>
          <m:fPr>
            <m:ctrlPr>
              <w:rPr>
                <w:rFonts w:ascii="Cambria Math" w:hAnsi="Cambria Math" w:cs="Arial"/>
                <w:i/>
                <w:lang w:val="en-US"/>
              </w:rPr>
            </m:ctrlPr>
          </m:fPr>
          <m:num>
            <m:r>
              <w:rPr>
                <w:rFonts w:ascii="Cambria Math" w:hAnsi="Cambria Math" w:cs="Arial"/>
                <w:lang w:val="en-US"/>
              </w:rPr>
              <m:t>1</m:t>
            </m:r>
          </m:num>
          <m:den>
            <m:r>
              <w:rPr>
                <w:rFonts w:ascii="Cambria Math" w:hAnsi="Cambria Math" w:cs="Arial"/>
                <w:lang w:val="en-US"/>
              </w:rPr>
              <m:t>2m</m:t>
            </m:r>
          </m:den>
        </m:f>
        <m:nary>
          <m:naryPr>
            <m:chr m:val="∑"/>
            <m:limLoc m:val="undOvr"/>
            <m:supHide m:val="1"/>
            <m:ctrlPr>
              <w:rPr>
                <w:rFonts w:ascii="Cambria Math" w:hAnsi="Cambria Math" w:cs="Arial"/>
                <w:i/>
                <w:lang w:val="en-US"/>
              </w:rPr>
            </m:ctrlPr>
          </m:naryPr>
          <m:sub>
            <m:r>
              <w:rPr>
                <w:rFonts w:ascii="Cambria Math" w:hAnsi="Cambria Math" w:cs="Arial"/>
                <w:lang w:val="en-US"/>
              </w:rPr>
              <m:t>i,j</m:t>
            </m:r>
          </m:sub>
          <m:sup/>
          <m:e>
            <m:sSub>
              <m:sSubPr>
                <m:ctrlPr>
                  <w:rPr>
                    <w:rFonts w:ascii="Cambria Math" w:hAnsi="Cambria Math" w:cs="Arial"/>
                    <w:i/>
                    <w:lang w:val="en-US"/>
                  </w:rPr>
                </m:ctrlPr>
              </m:sSubPr>
              <m:e>
                <m:r>
                  <w:rPr>
                    <w:rFonts w:ascii="Cambria Math" w:hAnsi="Cambria Math" w:cs="Arial"/>
                    <w:lang w:val="en-US"/>
                  </w:rPr>
                  <m:t>A</m:t>
                </m:r>
              </m:e>
              <m:sub>
                <m:r>
                  <w:rPr>
                    <w:rFonts w:ascii="Cambria Math" w:hAnsi="Cambria Math" w:cs="Arial"/>
                    <w:lang w:val="en-US"/>
                  </w:rPr>
                  <m:t>ij</m:t>
                </m:r>
              </m:sub>
            </m:sSub>
          </m:e>
        </m:nary>
      </m:oMath>
      <w:r w:rsidRPr="006E7629">
        <w:rPr>
          <w:rFonts w:ascii="Arial" w:hAnsi="Arial" w:cs="Arial" w:hint="eastAsia"/>
          <w:lang w:val="en-US"/>
        </w:rPr>
        <w:t xml:space="preserve">, the </w:t>
      </w:r>
      <m:oMath>
        <m:r>
          <w:rPr>
            <w:rFonts w:ascii="Cambria Math" w:hAnsi="Cambria Math" w:cs="Arial"/>
            <w:lang w:val="en-US"/>
          </w:rPr>
          <m:t xml:space="preserve">δ </m:t>
        </m:r>
      </m:oMath>
      <w:r w:rsidRPr="006E7629">
        <w:rPr>
          <w:rFonts w:ascii="Arial" w:hAnsi="Arial" w:cs="Arial" w:hint="eastAsia"/>
          <w:lang w:val="en-US"/>
        </w:rPr>
        <w:t xml:space="preserve">-function </w:t>
      </w:r>
      <m:oMath>
        <m:r>
          <w:rPr>
            <w:rFonts w:ascii="Cambria Math" w:hAnsi="Cambria Math" w:cs="Arial"/>
            <w:lang w:val="en-US"/>
          </w:rPr>
          <m:t>δ(u, v)</m:t>
        </m:r>
      </m:oMath>
      <w:r w:rsidRPr="006E7629">
        <w:rPr>
          <w:rFonts w:ascii="Arial" w:hAnsi="Arial" w:cs="Arial" w:hint="eastAsia"/>
          <w:lang w:val="en-US"/>
        </w:rPr>
        <w:t xml:space="preserve"> is 1 </w:t>
      </w:r>
      <w:r w:rsidRPr="006E7629">
        <w:rPr>
          <w:rFonts w:ascii="Arial" w:hAnsi="Arial" w:cs="Arial"/>
          <w:lang w:val="en-US"/>
        </w:rPr>
        <w:t xml:space="preserve">if </w:t>
      </w:r>
      <m:oMath>
        <m:r>
          <w:rPr>
            <w:rFonts w:ascii="Cambria Math" w:hAnsi="Cambria Math" w:cs="Arial"/>
            <w:lang w:val="en-US"/>
          </w:rPr>
          <m:t>u=v</m:t>
        </m:r>
      </m:oMath>
      <w:r w:rsidRPr="006E7629">
        <w:rPr>
          <w:rFonts w:ascii="Arial" w:hAnsi="Arial" w:cs="Arial" w:hint="eastAsia"/>
          <w:lang w:val="en-US"/>
        </w:rPr>
        <w:t>, which reflects the fact that</w:t>
      </w:r>
      <w:r w:rsidRPr="006E7629">
        <w:rPr>
          <w:rFonts w:ascii="Arial" w:hAnsi="Arial" w:cs="Arial"/>
          <w:lang w:val="en-US"/>
        </w:rPr>
        <w:t xml:space="preserve"> they are in the same module, and 0 otherwise </w:t>
      </w:r>
      <w:r w:rsidRPr="006E7629">
        <w:rPr>
          <w:rFonts w:ascii="Arial" w:hAnsi="Arial" w:cs="Arial"/>
          <w:lang w:val="en-US"/>
        </w:rPr>
        <w:fldChar w:fldCharType="begin"/>
      </w:r>
      <w:r w:rsidRPr="006E7629">
        <w:rPr>
          <w:rFonts w:ascii="Arial" w:hAnsi="Arial" w:cs="Arial"/>
          <w:lang w:val="en-US"/>
        </w:rPr>
        <w:instrText xml:space="preserve"> ADDIN ZOTERO_ITEM CSL_CITATION {"citationID":"7ljO8NAx","properties":{"formattedCitation":"[3,4]","plainCitation":"[3,4]","noteIndex":0},"citationItems":[{"id":5495,"uris":["http://zotero.org/groups/2658427/items/TAEA3N93"],"itemData":{"id":5495,"type":"article-journal","container-title":"Physical Review E","DOI":"10.1103/PhysRevE.70.056131","ISSN":"1539-3755, 1550-2376","issue":"5","journalAbbreviation":"Phys. Rev. E","language":"en","page":"056131","source":"DOI.org (Crossref)","title":"Analysis of weighted networks","volume":"70","author":[{"family":"Newman","given":"M. E. J."}],"issued":{"date-parts":[["2004",11,24]]}}},{"id":5493,"uris":["http://zotero.org/groups/2658427/items/S7PZ7UHQ"],"itemData":{"id":5493,"type":"article-journal","container-title":"Journal of Statistical Mechanics: Theory and Experiment","DOI":"10.1088/1742-5468/2008/10/P10008","ISSN":"1742-5468","issue":"10","journalAbbreviation":"J. Stat. Mech.","page":"P10008","source":"DOI.org (Crossref)","title":"Fast unfolding of communities in large networks","volume":"2008","author":[{"family":"Blondel","given":"Vincent D"},{"family":"Guillaume","given":"Jean-Loup"},{"family":"Lambiotte","given":"Renaud"},{"family":"Lefebvre","given":"Etienne"}],"issued":{"date-parts":[["2008",10,9]]}}}],"schema":"https://github.com/citation-style-language/schema/raw/master/csl-citation.json"} </w:instrText>
      </w:r>
      <w:r w:rsidRPr="006E7629">
        <w:rPr>
          <w:rFonts w:ascii="Arial" w:hAnsi="Arial" w:cs="Arial"/>
          <w:lang w:val="en-US"/>
        </w:rPr>
        <w:fldChar w:fldCharType="separate"/>
      </w:r>
      <w:r w:rsidRPr="006E7629">
        <w:rPr>
          <w:rFonts w:ascii="Arial" w:hAnsi="Arial" w:cs="Arial"/>
          <w:lang w:val="en-US"/>
        </w:rPr>
        <w:t>[3,4]</w:t>
      </w:r>
      <w:r w:rsidRPr="006E7629">
        <w:rPr>
          <w:rFonts w:ascii="Arial" w:hAnsi="Arial" w:cs="Arial"/>
          <w:lang w:val="en-US"/>
        </w:rPr>
        <w:fldChar w:fldCharType="end"/>
      </w:r>
      <w:r w:rsidRPr="006E7629">
        <w:rPr>
          <w:rFonts w:ascii="Arial" w:hAnsi="Arial" w:cs="Arial"/>
          <w:lang w:val="en-US"/>
        </w:rPr>
        <w:t>. Then, we classified them based on their within module connectivity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Z</m:t>
            </m:r>
          </m:e>
          <m:sub>
            <m:r>
              <w:rPr>
                <w:rFonts w:ascii="Cambria Math" w:eastAsia="Times New Roman" w:hAnsi="Cambria Math" w:cs="Arial"/>
                <w:color w:val="000000"/>
                <w:lang w:val="en-US" w:eastAsia="fr-FR"/>
              </w:rPr>
              <m:t>i</m:t>
            </m:r>
          </m:sub>
        </m:sSub>
      </m:oMath>
      <w:r w:rsidRPr="006E7629">
        <w:rPr>
          <w:rFonts w:ascii="Arial" w:hAnsi="Arial" w:cs="Arial"/>
          <w:lang w:val="en-US"/>
        </w:rPr>
        <w:t>) and among module connectivity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P</m:t>
            </m:r>
          </m:e>
          <m:sub>
            <m:r>
              <w:rPr>
                <w:rFonts w:ascii="Cambria Math" w:eastAsia="Times New Roman" w:hAnsi="Cambria Math" w:cs="Arial"/>
                <w:color w:val="000000"/>
                <w:lang w:val="en-US" w:eastAsia="fr-FR"/>
              </w:rPr>
              <m:t>i</m:t>
            </m:r>
          </m:sub>
        </m:sSub>
        <m:r>
          <w:rPr>
            <w:rFonts w:ascii="Cambria Math" w:eastAsia="Times New Roman" w:hAnsi="Cambria Math" w:cs="Arial"/>
            <w:color w:val="000000"/>
            <w:lang w:val="en-US" w:eastAsia="fr-FR"/>
          </w:rPr>
          <m:t>)</m:t>
        </m:r>
      </m:oMath>
      <w:r w:rsidRPr="006E7629">
        <w:rPr>
          <w:rFonts w:ascii="Arial" w:hAnsi="Arial" w:cs="Arial"/>
          <w:lang w:val="en-US"/>
        </w:rPr>
        <w:t xml:space="preserve"> </w:t>
      </w:r>
      <w:r w:rsidRPr="006E7629">
        <w:rPr>
          <w:rFonts w:ascii="Arial" w:hAnsi="Arial" w:cs="Arial"/>
          <w:lang w:val="en-US"/>
        </w:rPr>
        <w:fldChar w:fldCharType="begin"/>
      </w:r>
      <w:r w:rsidRPr="006E7629">
        <w:rPr>
          <w:rFonts w:ascii="Arial" w:hAnsi="Arial" w:cs="Arial"/>
          <w:lang w:val="en-US"/>
        </w:rPr>
        <w:instrText xml:space="preserve"> ADDIN ZOTERO_ITEM CSL_CITATION {"citationID":"Ymfdc76d","properties":{"formattedCitation":"[5]","plainCitation":"[5]","noteIndex":0},"citationItems":[{"id":5497,"uris":["http://zotero.org/groups/2658427/items/KW3JJIRT"],"itemData":{"id":5497,"type":"article-journal","abstract":"In natural communities, species and their interactions are often organized as nonrandom networks, showing distinct and repeated complex patterns. A prevalent, but poorly explored pattern is ecological modularity, with weakly interlinked subsets of species (modules), which, however, internally consist of strongly connected species. The importance of modularity has been discussed for a long time, but no consensus on its prevalence in ecological networks has yet been reached. Progress is hampered by inadequate methods and a lack of large datasets. We analyzed 51 pollination networks including almost 10,000 species and 20,000 links and tested for modularity by using a recently developed simulated annealing algorithm. All networks with &gt;150 plant and pollinator species were modular, whereas networks with &lt;50 species were never modular. Both module number and size increased with species number. Each module includes one or a few species groups with convergent trait sets that may be considered as coevolutionary units. Species played different roles with respect to modularity. However, only 15% of all species were structurally important to their network. They were either hubs (i.e., highly linked species within their own module), connectors linking different modules, or both. If these key species go extinct, modules and networks may break apart and initiate cascades of extinction. Thus, species serving as hubs and connectors should receive high conservation priorities.","container-title":"Proceedings of the National Academy of Sciences","DOI":"10.1073/pnas.0706375104","ISSN":"0027-8424, 1091-6490","issue":"50","journalAbbreviation":"Proc. Natl. Acad. Sci. U.S.A.","language":"en","page":"19891-19896","source":"DOI.org (Crossref)","title":"The modularity of pollination networks","volume":"104","author":[{"family":"Olesen","given":"Jens M."},{"family":"Bascompte","given":"Jordi"},{"family":"Dupont","given":"Yoko L."},{"family":"Jordano","given":"Pedro"}],"issued":{"date-parts":[["2007",12,11]]}}}],"schema":"https://github.com/citation-style-language/schema/raw/master/csl-citation.json"} </w:instrText>
      </w:r>
      <w:r w:rsidRPr="006E7629">
        <w:rPr>
          <w:rFonts w:ascii="Arial" w:hAnsi="Arial" w:cs="Arial"/>
          <w:lang w:val="en-US"/>
        </w:rPr>
        <w:fldChar w:fldCharType="separate"/>
      </w:r>
      <w:r w:rsidRPr="006E7629">
        <w:rPr>
          <w:rFonts w:ascii="Arial" w:hAnsi="Arial" w:cs="Arial"/>
          <w:lang w:val="en-US"/>
        </w:rPr>
        <w:t>[5]</w:t>
      </w:r>
      <w:r w:rsidRPr="006E7629">
        <w:rPr>
          <w:rFonts w:ascii="Arial" w:hAnsi="Arial" w:cs="Arial"/>
          <w:lang w:val="en-US"/>
        </w:rPr>
        <w:fldChar w:fldCharType="end"/>
      </w:r>
      <w:r w:rsidRPr="006E7629">
        <w:rPr>
          <w:rFonts w:ascii="Arial" w:hAnsi="Arial" w:cs="Arial"/>
          <w:lang w:val="en-US"/>
        </w:rPr>
        <w:t xml:space="preserve"> using </w:t>
      </w:r>
      <w:r w:rsidRPr="006E7629">
        <w:rPr>
          <w:rFonts w:ascii="Arial" w:eastAsia="Times New Roman" w:hAnsi="Arial" w:cs="Arial"/>
          <w:iCs/>
          <w:color w:val="000000"/>
          <w:lang w:val="en-US" w:eastAsia="fr-FR"/>
        </w:rPr>
        <w:t xml:space="preserve">: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Z</m:t>
            </m:r>
          </m:e>
          <m:sub>
            <m:r>
              <w:rPr>
                <w:rFonts w:ascii="Cambria Math" w:eastAsia="Times New Roman" w:hAnsi="Cambria Math" w:cs="Arial"/>
                <w:color w:val="000000"/>
                <w:lang w:val="en-US" w:eastAsia="fr-FR"/>
              </w:rPr>
              <m:t>i</m:t>
            </m:r>
          </m:sub>
        </m:sSub>
        <m:r>
          <w:rPr>
            <w:rFonts w:ascii="Cambria Math" w:eastAsia="Times New Roman" w:hAnsi="Cambria Math" w:cs="Arial"/>
            <w:color w:val="000000"/>
            <w:lang w:val="en-US" w:eastAsia="fr-FR"/>
          </w:rPr>
          <m:t xml:space="preserve">= </m:t>
        </m:r>
        <m:f>
          <m:fPr>
            <m:ctrlPr>
              <w:rPr>
                <w:rFonts w:ascii="Cambria Math" w:eastAsia="Times New Roman" w:hAnsi="Cambria Math" w:cs="Arial"/>
                <w:i/>
                <w:iCs/>
                <w:color w:val="000000"/>
                <w:lang w:val="en-US" w:eastAsia="fr-FR"/>
              </w:rPr>
            </m:ctrlPr>
          </m:fPr>
          <m:num>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a</m:t>
                </m:r>
              </m:e>
              <m:sub>
                <m:r>
                  <w:rPr>
                    <w:rFonts w:ascii="Cambria Math" w:eastAsia="Times New Roman" w:hAnsi="Cambria Math" w:cs="Arial"/>
                    <w:color w:val="000000"/>
                    <w:lang w:val="en-US" w:eastAsia="fr-FR"/>
                  </w:rPr>
                  <m:t>i</m:t>
                </m:r>
              </m:sub>
            </m:sSub>
            <m:r>
              <w:rPr>
                <w:rFonts w:ascii="Cambria Math" w:eastAsia="Times New Roman" w:hAnsi="Cambria Math" w:cs="Arial"/>
                <w:color w:val="000000"/>
                <w:lang w:val="en-US" w:eastAsia="fr-FR"/>
              </w:rPr>
              <m:t>-</m:t>
            </m:r>
            <m:sSub>
              <m:sSubPr>
                <m:ctrlPr>
                  <w:rPr>
                    <w:rFonts w:ascii="Cambria Math" w:eastAsia="Times New Roman" w:hAnsi="Cambria Math" w:cs="Arial"/>
                    <w:i/>
                    <w:iCs/>
                    <w:color w:val="000000"/>
                    <w:lang w:val="en-US" w:eastAsia="fr-FR"/>
                  </w:rPr>
                </m:ctrlPr>
              </m:sSubPr>
              <m:e>
                <m:acc>
                  <m:accPr>
                    <m:chr m:val="̅"/>
                    <m:ctrlPr>
                      <w:rPr>
                        <w:rFonts w:ascii="Cambria Math" w:eastAsia="Times New Roman" w:hAnsi="Cambria Math" w:cs="Arial"/>
                        <w:i/>
                        <w:iCs/>
                        <w:color w:val="000000"/>
                        <w:lang w:val="en-US" w:eastAsia="fr-FR"/>
                      </w:rPr>
                    </m:ctrlPr>
                  </m:accPr>
                  <m:e>
                    <m:r>
                      <w:rPr>
                        <w:rFonts w:ascii="Cambria Math" w:eastAsia="Times New Roman" w:hAnsi="Cambria Math" w:cs="Arial"/>
                        <w:color w:val="000000"/>
                        <w:lang w:val="en-US" w:eastAsia="fr-FR"/>
                      </w:rPr>
                      <m:t>A</m:t>
                    </m:r>
                  </m:e>
                </m:acc>
              </m:e>
              <m:sub>
                <m:r>
                  <w:rPr>
                    <w:rFonts w:ascii="Cambria Math" w:eastAsia="Times New Roman" w:hAnsi="Cambria Math" w:cs="Arial"/>
                    <w:color w:val="000000"/>
                    <w:lang w:val="en-US" w:eastAsia="fr-FR"/>
                  </w:rPr>
                  <m:t>s</m:t>
                </m:r>
              </m:sub>
            </m:sSub>
          </m:num>
          <m:den>
            <m:sSup>
              <m:sSupPr>
                <m:ctrlPr>
                  <w:rPr>
                    <w:rFonts w:ascii="Cambria Math" w:eastAsia="Times New Roman" w:hAnsi="Cambria Math" w:cs="Arial"/>
                    <w:i/>
                    <w:iCs/>
                    <w:color w:val="000000"/>
                    <w:lang w:val="en-US" w:eastAsia="fr-FR"/>
                  </w:rPr>
                </m:ctrlPr>
              </m:sSupPr>
              <m:e>
                <m:r>
                  <w:rPr>
                    <w:rFonts w:ascii="Cambria Math" w:eastAsia="Times New Roman" w:hAnsi="Cambria Math" w:cs="Arial"/>
                    <w:color w:val="000000"/>
                    <w:lang w:val="en-US" w:eastAsia="fr-FR"/>
                  </w:rPr>
                  <m:t>σ</m:t>
                </m:r>
              </m:e>
              <m:sup>
                <m:r>
                  <w:rPr>
                    <w:rFonts w:ascii="Cambria Math" w:eastAsia="Times New Roman" w:hAnsi="Cambria Math" w:cs="Arial"/>
                    <w:color w:val="000000"/>
                    <w:lang w:val="en-US" w:eastAsia="fr-FR"/>
                  </w:rPr>
                  <m:t>s</m:t>
                </m:r>
              </m:sup>
            </m:sSup>
          </m:den>
        </m:f>
      </m:oMath>
      <w:r w:rsidRPr="006E7629">
        <w:rPr>
          <w:rFonts w:ascii="Arial" w:eastAsia="Times New Roman" w:hAnsi="Arial" w:cs="Arial"/>
          <w:iCs/>
          <w:color w:val="000000"/>
          <w:lang w:val="en-US" w:eastAsia="fr-FR"/>
        </w:rPr>
        <w:t xml:space="preserve">, where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a</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is the number of intra-module connections of node </w:t>
      </w:r>
      <m:oMath>
        <m:r>
          <w:rPr>
            <w:rFonts w:ascii="Cambria Math" w:eastAsia="Times New Roman" w:hAnsi="Cambria Math" w:cs="Arial"/>
            <w:color w:val="000000"/>
            <w:lang w:val="en-US" w:eastAsia="fr-FR"/>
          </w:rPr>
          <m:t>i</m:t>
        </m:r>
      </m:oMath>
      <w:r w:rsidRPr="006E7629">
        <w:rPr>
          <w:rFonts w:ascii="Arial" w:eastAsia="Times New Roman" w:hAnsi="Arial" w:cs="Arial"/>
          <w:iCs/>
          <w:color w:val="000000"/>
          <w:lang w:val="en-US" w:eastAsia="fr-FR"/>
        </w:rPr>
        <w:t xml:space="preserve">, </w:t>
      </w:r>
      <m:oMath>
        <m:sSub>
          <m:sSubPr>
            <m:ctrlPr>
              <w:rPr>
                <w:rFonts w:ascii="Cambria Math" w:eastAsia="Times New Roman" w:hAnsi="Cambria Math" w:cs="Arial"/>
                <w:i/>
                <w:iCs/>
                <w:color w:val="000000"/>
                <w:lang w:val="en-US" w:eastAsia="fr-FR"/>
              </w:rPr>
            </m:ctrlPr>
          </m:sSubPr>
          <m:e>
            <m:acc>
              <m:accPr>
                <m:chr m:val="̅"/>
                <m:ctrlPr>
                  <w:rPr>
                    <w:rFonts w:ascii="Cambria Math" w:eastAsia="Times New Roman" w:hAnsi="Cambria Math" w:cs="Arial"/>
                    <w:i/>
                    <w:iCs/>
                    <w:color w:val="000000"/>
                    <w:lang w:val="en-US" w:eastAsia="fr-FR"/>
                  </w:rPr>
                </m:ctrlPr>
              </m:accPr>
              <m:e>
                <m:r>
                  <w:rPr>
                    <w:rFonts w:ascii="Cambria Math" w:eastAsia="Times New Roman" w:hAnsi="Cambria Math" w:cs="Arial"/>
                    <w:color w:val="000000"/>
                    <w:lang w:val="en-US" w:eastAsia="fr-FR"/>
                  </w:rPr>
                  <m:t>A</m:t>
                </m:r>
              </m:e>
            </m:acc>
          </m:e>
          <m:sub>
            <m:r>
              <w:rPr>
                <w:rFonts w:ascii="Cambria Math" w:eastAsia="Times New Roman" w:hAnsi="Cambria Math" w:cs="Arial"/>
                <w:color w:val="000000"/>
                <w:lang w:val="en-US" w:eastAsia="fr-FR"/>
              </w:rPr>
              <m:t>s</m:t>
            </m:r>
          </m:sub>
        </m:sSub>
      </m:oMath>
      <w:r w:rsidRPr="006E7629">
        <w:rPr>
          <w:rFonts w:ascii="Arial" w:eastAsia="Times New Roman" w:hAnsi="Arial" w:cs="Arial"/>
          <w:iCs/>
          <w:color w:val="000000"/>
          <w:lang w:val="en-US" w:eastAsia="fr-FR"/>
        </w:rPr>
        <w:t xml:space="preserve"> is the mean of intra-module connections in module </w:t>
      </w:r>
      <m:oMath>
        <m:r>
          <w:rPr>
            <w:rFonts w:ascii="Cambria Math" w:eastAsia="Times New Roman" w:hAnsi="Cambria Math" w:cs="Arial"/>
            <w:color w:val="000000"/>
            <w:lang w:val="en-US" w:eastAsia="fr-FR"/>
          </w:rPr>
          <m:t>s</m:t>
        </m:r>
      </m:oMath>
      <w:r w:rsidRPr="006E7629">
        <w:rPr>
          <w:rFonts w:ascii="Arial" w:eastAsia="Times New Roman" w:hAnsi="Arial" w:cs="Arial"/>
          <w:iCs/>
          <w:color w:val="000000"/>
          <w:lang w:val="en-US" w:eastAsia="fr-FR"/>
        </w:rPr>
        <w:t xml:space="preserve"> and </w:t>
      </w:r>
      <m:oMath>
        <m:sSup>
          <m:sSupPr>
            <m:ctrlPr>
              <w:rPr>
                <w:rFonts w:ascii="Cambria Math" w:eastAsia="Times New Roman" w:hAnsi="Cambria Math" w:cs="Arial"/>
                <w:i/>
                <w:iCs/>
                <w:color w:val="000000"/>
                <w:lang w:val="en-US" w:eastAsia="fr-FR"/>
              </w:rPr>
            </m:ctrlPr>
          </m:sSupPr>
          <m:e>
            <m:r>
              <w:rPr>
                <w:rFonts w:ascii="Cambria Math" w:eastAsia="Times New Roman" w:hAnsi="Cambria Math" w:cs="Arial"/>
                <w:color w:val="000000"/>
                <w:lang w:val="en-US" w:eastAsia="fr-FR"/>
              </w:rPr>
              <m:t>σ</m:t>
            </m:r>
          </m:e>
          <m:sup>
            <m:r>
              <w:rPr>
                <w:rFonts w:ascii="Cambria Math" w:eastAsia="Times New Roman" w:hAnsi="Cambria Math" w:cs="Arial"/>
                <w:color w:val="000000"/>
                <w:lang w:val="en-US" w:eastAsia="fr-FR"/>
              </w:rPr>
              <m:t>s</m:t>
            </m:r>
          </m:sup>
        </m:sSup>
      </m:oMath>
      <w:r w:rsidRPr="006E7629">
        <w:rPr>
          <w:rFonts w:ascii="Arial" w:eastAsia="Times New Roman" w:hAnsi="Arial" w:cs="Arial"/>
          <w:iCs/>
          <w:color w:val="000000"/>
          <w:lang w:val="en-US" w:eastAsia="fr-FR"/>
        </w:rPr>
        <w:t xml:space="preserve"> is the standard deviation,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P</m:t>
            </m:r>
          </m:e>
          <m:sub>
            <m:r>
              <w:rPr>
                <w:rFonts w:ascii="Cambria Math" w:eastAsia="Times New Roman" w:hAnsi="Cambria Math" w:cs="Arial"/>
                <w:color w:val="000000"/>
                <w:lang w:val="en-US" w:eastAsia="fr-FR"/>
              </w:rPr>
              <m:t>i</m:t>
            </m:r>
          </m:sub>
        </m:sSub>
        <m:r>
          <w:rPr>
            <w:rFonts w:ascii="Cambria Math" w:eastAsia="Times New Roman" w:hAnsi="Cambria Math" w:cs="Arial"/>
            <w:color w:val="000000"/>
            <w:lang w:val="en-US" w:eastAsia="fr-FR"/>
          </w:rPr>
          <m:t xml:space="preserve">=1- </m:t>
        </m:r>
        <m:nary>
          <m:naryPr>
            <m:chr m:val="∑"/>
            <m:limLoc m:val="undOvr"/>
            <m:ctrlPr>
              <w:rPr>
                <w:rFonts w:ascii="Cambria Math" w:eastAsia="Times New Roman" w:hAnsi="Cambria Math" w:cs="Arial"/>
                <w:i/>
                <w:iCs/>
                <w:color w:val="000000"/>
                <w:lang w:val="en-US" w:eastAsia="fr-FR"/>
              </w:rPr>
            </m:ctrlPr>
          </m:naryPr>
          <m:sub>
            <m:r>
              <w:rPr>
                <w:rFonts w:ascii="Cambria Math" w:eastAsia="Times New Roman" w:hAnsi="Cambria Math" w:cs="Arial"/>
                <w:color w:val="000000"/>
                <w:lang w:val="en-US" w:eastAsia="fr-FR"/>
              </w:rPr>
              <m:t>s=1</m:t>
            </m:r>
          </m:sub>
          <m:sup>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N</m:t>
                </m:r>
              </m:e>
              <m:sub>
                <m:r>
                  <w:rPr>
                    <w:rFonts w:ascii="Cambria Math" w:eastAsia="Times New Roman" w:hAnsi="Cambria Math" w:cs="Arial"/>
                    <w:color w:val="000000"/>
                    <w:lang w:val="en-US" w:eastAsia="fr-FR"/>
                  </w:rPr>
                  <m:t>m</m:t>
                </m:r>
              </m:sub>
            </m:sSub>
          </m:sup>
          <m:e>
            <m:sSup>
              <m:sSupPr>
                <m:ctrlPr>
                  <w:rPr>
                    <w:rFonts w:ascii="Cambria Math" w:eastAsia="Times New Roman" w:hAnsi="Cambria Math" w:cs="Arial"/>
                    <w:i/>
                    <w:iCs/>
                    <w:color w:val="000000"/>
                    <w:lang w:val="en-US" w:eastAsia="fr-FR"/>
                  </w:rPr>
                </m:ctrlPr>
              </m:sSupPr>
              <m:e>
                <m:d>
                  <m:dPr>
                    <m:ctrlPr>
                      <w:rPr>
                        <w:rFonts w:ascii="Cambria Math" w:eastAsia="Times New Roman" w:hAnsi="Cambria Math" w:cs="Arial"/>
                        <w:i/>
                        <w:iCs/>
                        <w:color w:val="000000"/>
                        <w:lang w:val="en-US" w:eastAsia="fr-FR"/>
                      </w:rPr>
                    </m:ctrlPr>
                  </m:dPr>
                  <m:e>
                    <m:f>
                      <m:fPr>
                        <m:ctrlPr>
                          <w:rPr>
                            <w:rFonts w:ascii="Cambria Math" w:eastAsia="Times New Roman" w:hAnsi="Cambria Math" w:cs="Arial"/>
                            <w:i/>
                            <w:iCs/>
                            <w:color w:val="000000"/>
                            <w:lang w:val="en-US" w:eastAsia="fr-FR"/>
                          </w:rPr>
                        </m:ctrlPr>
                      </m:fPr>
                      <m:num>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a</m:t>
                            </m:r>
                          </m:e>
                          <m:sub>
                            <m:r>
                              <w:rPr>
                                <w:rFonts w:ascii="Cambria Math" w:eastAsia="Times New Roman" w:hAnsi="Cambria Math" w:cs="Arial"/>
                                <w:color w:val="000000"/>
                                <w:lang w:val="en-US" w:eastAsia="fr-FR"/>
                              </w:rPr>
                              <m:t>is</m:t>
                            </m:r>
                          </m:sub>
                        </m:sSub>
                      </m:num>
                      <m:den>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a</m:t>
                            </m:r>
                          </m:e>
                          <m:sub>
                            <m:r>
                              <w:rPr>
                                <w:rFonts w:ascii="Cambria Math" w:eastAsia="Times New Roman" w:hAnsi="Cambria Math" w:cs="Arial"/>
                                <w:color w:val="000000"/>
                                <w:lang w:val="en-US" w:eastAsia="fr-FR"/>
                              </w:rPr>
                              <m:t>i</m:t>
                            </m:r>
                          </m:sub>
                        </m:sSub>
                      </m:den>
                    </m:f>
                  </m:e>
                </m:d>
              </m:e>
              <m:sup>
                <m:r>
                  <w:rPr>
                    <w:rFonts w:ascii="Cambria Math" w:eastAsia="Times New Roman" w:hAnsi="Cambria Math" w:cs="Arial"/>
                    <w:color w:val="000000"/>
                    <w:lang w:val="en-US" w:eastAsia="fr-FR"/>
                  </w:rPr>
                  <m:t>2</m:t>
                </m:r>
              </m:sup>
            </m:sSup>
          </m:e>
        </m:nary>
        <m:r>
          <w:rPr>
            <w:rFonts w:ascii="Cambria Math" w:eastAsia="Times New Roman" w:hAnsi="Cambria Math" w:cs="Arial"/>
            <w:color w:val="000000"/>
            <w:lang w:val="en-US" w:eastAsia="fr-FR"/>
          </w:rPr>
          <m:t xml:space="preserve"> </m:t>
        </m:r>
      </m:oMath>
      <w:r w:rsidRPr="006E7629">
        <w:rPr>
          <w:rFonts w:ascii="Arial" w:eastAsia="Times New Roman" w:hAnsi="Arial" w:cs="Arial"/>
          <w:iCs/>
          <w:color w:val="000000"/>
          <w:lang w:val="en-US" w:eastAsia="fr-FR"/>
        </w:rPr>
        <w:t xml:space="preserve">, where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a</m:t>
            </m:r>
          </m:e>
          <m:sub>
            <m:r>
              <w:rPr>
                <w:rFonts w:ascii="Cambria Math" w:eastAsia="Times New Roman" w:hAnsi="Cambria Math" w:cs="Arial"/>
                <w:color w:val="000000"/>
                <w:lang w:val="en-US" w:eastAsia="fr-FR"/>
              </w:rPr>
              <m:t>is</m:t>
            </m:r>
          </m:sub>
        </m:sSub>
      </m:oMath>
      <w:r w:rsidRPr="006E7629">
        <w:rPr>
          <w:rFonts w:ascii="Arial" w:eastAsia="Times New Roman" w:hAnsi="Arial" w:cs="Arial"/>
          <w:iCs/>
          <w:color w:val="000000"/>
          <w:lang w:val="en-US" w:eastAsia="fr-FR"/>
        </w:rPr>
        <w:t xml:space="preserve"> is the number of connections of node </w:t>
      </w:r>
      <m:oMath>
        <m:r>
          <w:rPr>
            <w:rFonts w:ascii="Cambria Math" w:eastAsia="Times New Roman" w:hAnsi="Cambria Math" w:cs="Arial"/>
            <w:color w:val="000000"/>
            <w:lang w:val="en-US" w:eastAsia="fr-FR"/>
          </w:rPr>
          <m:t>i</m:t>
        </m:r>
      </m:oMath>
      <w:r w:rsidRPr="006E7629">
        <w:rPr>
          <w:rFonts w:ascii="Arial" w:eastAsia="Times New Roman" w:hAnsi="Arial" w:cs="Arial"/>
          <w:iCs/>
          <w:color w:val="000000"/>
          <w:lang w:val="en-US" w:eastAsia="fr-FR"/>
        </w:rPr>
        <w:t xml:space="preserve"> in module </w:t>
      </w:r>
      <m:oMath>
        <m:r>
          <w:rPr>
            <w:rFonts w:ascii="Cambria Math" w:eastAsia="Times New Roman" w:hAnsi="Cambria Math" w:cs="Arial"/>
            <w:color w:val="000000"/>
            <w:lang w:val="en-US" w:eastAsia="fr-FR"/>
          </w:rPr>
          <m:t>s</m:t>
        </m:r>
      </m:oMath>
      <w:r w:rsidRPr="006E7629">
        <w:rPr>
          <w:rFonts w:ascii="Arial" w:eastAsia="Times New Roman" w:hAnsi="Arial" w:cs="Arial"/>
          <w:iCs/>
          <w:color w:val="000000"/>
          <w:lang w:val="en-US" w:eastAsia="fr-FR"/>
        </w:rPr>
        <w:t xml:space="preserve">, even in it’s own module, and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a</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is the degree of node </w:t>
      </w:r>
      <m:oMath>
        <m:r>
          <w:rPr>
            <w:rFonts w:ascii="Cambria Math" w:eastAsia="Times New Roman" w:hAnsi="Cambria Math" w:cs="Arial"/>
            <w:color w:val="000000"/>
            <w:lang w:val="en-US" w:eastAsia="fr-FR"/>
          </w:rPr>
          <m:t>i</m:t>
        </m:r>
      </m:oMath>
      <w:r w:rsidRPr="006E7629">
        <w:rPr>
          <w:rFonts w:ascii="Arial" w:eastAsia="Times New Roman" w:hAnsi="Arial" w:cs="Arial"/>
          <w:iCs/>
          <w:color w:val="000000"/>
          <w:lang w:val="en-US" w:eastAsia="fr-FR"/>
        </w:rPr>
        <w:t>. Module hubs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Z</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&gt; 2.5) are structural to their own module, network hubs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Z</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&gt;</w:t>
      </w:r>
      <w:r w:rsidR="00A37EA6" w:rsidRPr="006E7629">
        <w:rPr>
          <w:rFonts w:ascii="Arial" w:eastAsia="Times New Roman" w:hAnsi="Arial" w:cs="Arial"/>
          <w:iCs/>
          <w:color w:val="000000"/>
          <w:lang w:val="en-US" w:eastAsia="fr-FR"/>
        </w:rPr>
        <w:t xml:space="preserve"> </w:t>
      </w:r>
      <w:r w:rsidRPr="006E7629">
        <w:rPr>
          <w:rFonts w:ascii="Arial" w:eastAsia="Times New Roman" w:hAnsi="Arial" w:cs="Arial"/>
          <w:iCs/>
          <w:color w:val="000000"/>
          <w:lang w:val="en-US" w:eastAsia="fr-FR"/>
        </w:rPr>
        <w:t xml:space="preserve">2.5,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P</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&gt; 0.62) are structural for their own module and overall network, connectors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Z</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&lt; 2.5,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P</m:t>
            </m:r>
          </m:e>
          <m:sub>
            <m:r>
              <w:rPr>
                <w:rFonts w:ascii="Cambria Math" w:eastAsia="Times New Roman" w:hAnsi="Cambria Math" w:cs="Arial"/>
                <w:color w:val="000000"/>
                <w:lang w:val="en-US" w:eastAsia="fr-FR"/>
              </w:rPr>
              <m:t>i</m:t>
            </m:r>
          </m:sub>
        </m:sSub>
        <m:r>
          <w:rPr>
            <w:rFonts w:ascii="Cambria Math" w:eastAsia="Times New Roman" w:hAnsi="Cambria Math" w:cs="Arial"/>
            <w:color w:val="000000"/>
            <w:lang w:val="en-US" w:eastAsia="fr-FR"/>
          </w:rPr>
          <m:t xml:space="preserve"> </m:t>
        </m:r>
      </m:oMath>
      <w:r w:rsidRPr="006E7629">
        <w:rPr>
          <w:rFonts w:ascii="Arial" w:eastAsia="Times New Roman" w:hAnsi="Arial" w:cs="Arial"/>
          <w:iCs/>
          <w:color w:val="000000"/>
          <w:lang w:val="en-US" w:eastAsia="fr-FR"/>
        </w:rPr>
        <w:t>&gt; 0.62) connect different modules, and peripherals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Z</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&lt; 2.5,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P</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&lt; 0.62) has few links in their own and to other modules. Finally, we isolated the Glomeromycotina from the single domain networks (ITS, 18S) and cross-domain networks with bacteria (16S-ITS, 16S-18S) and </w:t>
      </w:r>
      <w:r w:rsidR="00A77D87" w:rsidRPr="006E7629">
        <w:rPr>
          <w:rFonts w:ascii="Arial" w:eastAsia="Times New Roman" w:hAnsi="Arial" w:cs="Arial"/>
          <w:iCs/>
          <w:color w:val="000000"/>
          <w:lang w:val="en-US" w:eastAsia="fr-FR"/>
        </w:rPr>
        <w:t>visualized</w:t>
      </w:r>
      <w:r w:rsidRPr="006E7629">
        <w:rPr>
          <w:rFonts w:ascii="Arial" w:eastAsia="Times New Roman" w:hAnsi="Arial" w:cs="Arial"/>
          <w:iCs/>
          <w:color w:val="000000"/>
          <w:lang w:val="en-US" w:eastAsia="fr-FR"/>
        </w:rPr>
        <w:t xml:space="preserve"> for each species and compartment (rhizosphere and root) how each nodes were classified according to their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Z</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and </w:t>
      </w:r>
      <m:oMath>
        <m:sSub>
          <m:sSubPr>
            <m:ctrlPr>
              <w:rPr>
                <w:rFonts w:ascii="Cambria Math" w:eastAsia="Times New Roman" w:hAnsi="Cambria Math" w:cs="Arial"/>
                <w:i/>
                <w:iCs/>
                <w:color w:val="000000"/>
                <w:lang w:val="en-US" w:eastAsia="fr-FR"/>
              </w:rPr>
            </m:ctrlPr>
          </m:sSubPr>
          <m:e>
            <m:r>
              <w:rPr>
                <w:rFonts w:ascii="Cambria Math" w:eastAsia="Times New Roman" w:hAnsi="Cambria Math" w:cs="Arial"/>
                <w:color w:val="000000"/>
                <w:lang w:val="en-US" w:eastAsia="fr-FR"/>
              </w:rPr>
              <m:t>P</m:t>
            </m:r>
          </m:e>
          <m:sub>
            <m:r>
              <w:rPr>
                <w:rFonts w:ascii="Cambria Math" w:eastAsia="Times New Roman" w:hAnsi="Cambria Math" w:cs="Arial"/>
                <w:color w:val="000000"/>
                <w:lang w:val="en-US" w:eastAsia="fr-FR"/>
              </w:rPr>
              <m:t>i</m:t>
            </m:r>
          </m:sub>
        </m:sSub>
      </m:oMath>
      <w:r w:rsidRPr="006E7629">
        <w:rPr>
          <w:rFonts w:ascii="Arial" w:eastAsia="Times New Roman" w:hAnsi="Arial" w:cs="Arial"/>
          <w:iCs/>
          <w:color w:val="000000"/>
          <w:lang w:val="en-US" w:eastAsia="fr-FR"/>
        </w:rPr>
        <w:t xml:space="preserve"> values (Figure S</w:t>
      </w:r>
      <w:r w:rsidR="00C05725" w:rsidRPr="006E7629">
        <w:rPr>
          <w:rFonts w:ascii="Arial" w:eastAsia="Times New Roman" w:hAnsi="Arial" w:cs="Arial"/>
          <w:iCs/>
          <w:color w:val="000000"/>
          <w:lang w:val="en-US" w:eastAsia="fr-FR"/>
        </w:rPr>
        <w:t>20</w:t>
      </w:r>
      <w:r w:rsidRPr="006E7629">
        <w:rPr>
          <w:rFonts w:ascii="Arial" w:eastAsia="Times New Roman" w:hAnsi="Arial" w:cs="Arial"/>
          <w:iCs/>
          <w:color w:val="000000"/>
          <w:lang w:val="en-US" w:eastAsia="fr-FR"/>
        </w:rPr>
        <w:t>). We also isolated Rhizobiales and Frankiales nodes using the same method (Figure S</w:t>
      </w:r>
      <w:r w:rsidR="00C05725" w:rsidRPr="006E7629">
        <w:rPr>
          <w:rFonts w:ascii="Arial" w:eastAsia="Times New Roman" w:hAnsi="Arial" w:cs="Arial"/>
          <w:iCs/>
          <w:color w:val="000000"/>
          <w:lang w:val="en-US" w:eastAsia="fr-FR"/>
        </w:rPr>
        <w:t>22</w:t>
      </w:r>
      <w:r w:rsidRPr="006E7629">
        <w:rPr>
          <w:rFonts w:ascii="Arial" w:eastAsia="Times New Roman" w:hAnsi="Arial" w:cs="Arial"/>
          <w:iCs/>
          <w:color w:val="000000"/>
          <w:lang w:val="en-US" w:eastAsia="fr-FR"/>
        </w:rPr>
        <w:t>).</w:t>
      </w:r>
      <w:r>
        <w:rPr>
          <w:rFonts w:ascii="Arial" w:eastAsia="Times New Roman" w:hAnsi="Arial" w:cs="Arial"/>
          <w:iCs/>
          <w:color w:val="000000"/>
          <w:lang w:val="en-US" w:eastAsia="fr-FR"/>
        </w:rPr>
        <w:t xml:space="preserve"> </w:t>
      </w:r>
    </w:p>
    <w:p w14:paraId="503552D0" w14:textId="77777777" w:rsidR="00506C4A" w:rsidRDefault="00506C4A" w:rsidP="00404731">
      <w:pPr>
        <w:spacing w:line="480" w:lineRule="auto"/>
        <w:jc w:val="both"/>
        <w:rPr>
          <w:rFonts w:ascii="Arial" w:hAnsi="Arial" w:cs="Arial"/>
          <w:lang w:val="en-US"/>
        </w:rPr>
      </w:pPr>
    </w:p>
    <w:sectPr w:rsidR="00506C4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A872A1" w14:textId="77777777" w:rsidR="006F2C47" w:rsidRDefault="006F2C47" w:rsidP="007C045E">
      <w:pPr>
        <w:spacing w:after="0" w:line="240" w:lineRule="auto"/>
      </w:pPr>
      <w:r>
        <w:separator/>
      </w:r>
    </w:p>
  </w:endnote>
  <w:endnote w:type="continuationSeparator" w:id="0">
    <w:p w14:paraId="4741738A" w14:textId="77777777" w:rsidR="006F2C47" w:rsidRDefault="006F2C47" w:rsidP="007C0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4131678"/>
      <w:docPartObj>
        <w:docPartGallery w:val="Page Numbers (Bottom of Page)"/>
        <w:docPartUnique/>
      </w:docPartObj>
    </w:sdtPr>
    <w:sdtEndPr/>
    <w:sdtContent>
      <w:p w14:paraId="4F0E0B2C" w14:textId="778A32F2" w:rsidR="00404731" w:rsidRDefault="00404731">
        <w:pPr>
          <w:pStyle w:val="Pieddepage"/>
          <w:jc w:val="right"/>
        </w:pPr>
        <w:r>
          <w:fldChar w:fldCharType="begin"/>
        </w:r>
        <w:r>
          <w:instrText>PAGE   \* MERGEFORMAT</w:instrText>
        </w:r>
        <w:r>
          <w:fldChar w:fldCharType="separate"/>
        </w:r>
        <w:r>
          <w:t>2</w:t>
        </w:r>
        <w:r>
          <w:fldChar w:fldCharType="end"/>
        </w:r>
      </w:p>
    </w:sdtContent>
  </w:sdt>
  <w:p w14:paraId="5CF367F8" w14:textId="77777777" w:rsidR="00404731" w:rsidRDefault="0040473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C799DC" w14:textId="77777777" w:rsidR="006F2C47" w:rsidRDefault="006F2C47" w:rsidP="007C045E">
      <w:pPr>
        <w:spacing w:after="0" w:line="240" w:lineRule="auto"/>
      </w:pPr>
      <w:r>
        <w:separator/>
      </w:r>
    </w:p>
  </w:footnote>
  <w:footnote w:type="continuationSeparator" w:id="0">
    <w:p w14:paraId="71021BAB" w14:textId="77777777" w:rsidR="006F2C47" w:rsidRDefault="006F2C47" w:rsidP="007C045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7"/>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820"/>
    <w:rsid w:val="00005131"/>
    <w:rsid w:val="00054B3D"/>
    <w:rsid w:val="00056EF4"/>
    <w:rsid w:val="000A39A9"/>
    <w:rsid w:val="000B214A"/>
    <w:rsid w:val="000C4BED"/>
    <w:rsid w:val="00107290"/>
    <w:rsid w:val="001126A0"/>
    <w:rsid w:val="001479B4"/>
    <w:rsid w:val="00173AFA"/>
    <w:rsid w:val="0018190A"/>
    <w:rsid w:val="001846A1"/>
    <w:rsid w:val="00197C26"/>
    <w:rsid w:val="001C3B90"/>
    <w:rsid w:val="001D2D94"/>
    <w:rsid w:val="001D3116"/>
    <w:rsid w:val="001D3D51"/>
    <w:rsid w:val="002733F1"/>
    <w:rsid w:val="00277B68"/>
    <w:rsid w:val="00282DEF"/>
    <w:rsid w:val="00297820"/>
    <w:rsid w:val="002A00CD"/>
    <w:rsid w:val="002A66A5"/>
    <w:rsid w:val="002F58D7"/>
    <w:rsid w:val="003225E8"/>
    <w:rsid w:val="0032545A"/>
    <w:rsid w:val="0034353C"/>
    <w:rsid w:val="00366474"/>
    <w:rsid w:val="003725D4"/>
    <w:rsid w:val="003D4167"/>
    <w:rsid w:val="00404731"/>
    <w:rsid w:val="004405BD"/>
    <w:rsid w:val="0047020B"/>
    <w:rsid w:val="00492D25"/>
    <w:rsid w:val="00496D86"/>
    <w:rsid w:val="004A4D1B"/>
    <w:rsid w:val="004B185A"/>
    <w:rsid w:val="004B6020"/>
    <w:rsid w:val="004C5D5F"/>
    <w:rsid w:val="004C7BAB"/>
    <w:rsid w:val="004F7F44"/>
    <w:rsid w:val="005014C5"/>
    <w:rsid w:val="00506C4A"/>
    <w:rsid w:val="00512FFA"/>
    <w:rsid w:val="00522E36"/>
    <w:rsid w:val="005609B5"/>
    <w:rsid w:val="00566A43"/>
    <w:rsid w:val="00570B14"/>
    <w:rsid w:val="00581471"/>
    <w:rsid w:val="005A3EAB"/>
    <w:rsid w:val="005B458F"/>
    <w:rsid w:val="005D4E98"/>
    <w:rsid w:val="00622173"/>
    <w:rsid w:val="00652C83"/>
    <w:rsid w:val="006732D0"/>
    <w:rsid w:val="00683190"/>
    <w:rsid w:val="00692A5C"/>
    <w:rsid w:val="006B4788"/>
    <w:rsid w:val="006D7646"/>
    <w:rsid w:val="006E7629"/>
    <w:rsid w:val="006F2C47"/>
    <w:rsid w:val="0070466B"/>
    <w:rsid w:val="007067EC"/>
    <w:rsid w:val="00733719"/>
    <w:rsid w:val="007529BF"/>
    <w:rsid w:val="00756300"/>
    <w:rsid w:val="00771E06"/>
    <w:rsid w:val="00786A44"/>
    <w:rsid w:val="007B1FB8"/>
    <w:rsid w:val="007C045E"/>
    <w:rsid w:val="007E434B"/>
    <w:rsid w:val="008117EE"/>
    <w:rsid w:val="00850910"/>
    <w:rsid w:val="0088452F"/>
    <w:rsid w:val="00895073"/>
    <w:rsid w:val="008A59BE"/>
    <w:rsid w:val="008D34C7"/>
    <w:rsid w:val="008D593C"/>
    <w:rsid w:val="008E0603"/>
    <w:rsid w:val="009022D4"/>
    <w:rsid w:val="0090403E"/>
    <w:rsid w:val="0090615C"/>
    <w:rsid w:val="00962C3C"/>
    <w:rsid w:val="009704FC"/>
    <w:rsid w:val="009B55CB"/>
    <w:rsid w:val="009B765B"/>
    <w:rsid w:val="009C64B6"/>
    <w:rsid w:val="00A34618"/>
    <w:rsid w:val="00A37EA6"/>
    <w:rsid w:val="00A579EE"/>
    <w:rsid w:val="00A60B96"/>
    <w:rsid w:val="00A77D87"/>
    <w:rsid w:val="00A93731"/>
    <w:rsid w:val="00AB0C78"/>
    <w:rsid w:val="00AC26F7"/>
    <w:rsid w:val="00AC3497"/>
    <w:rsid w:val="00AD1308"/>
    <w:rsid w:val="00B27421"/>
    <w:rsid w:val="00B40DEC"/>
    <w:rsid w:val="00B57669"/>
    <w:rsid w:val="00B615DC"/>
    <w:rsid w:val="00B64AE1"/>
    <w:rsid w:val="00B82875"/>
    <w:rsid w:val="00BD19B5"/>
    <w:rsid w:val="00BE1BCF"/>
    <w:rsid w:val="00BF221E"/>
    <w:rsid w:val="00C05725"/>
    <w:rsid w:val="00C3675F"/>
    <w:rsid w:val="00C67341"/>
    <w:rsid w:val="00C96C4C"/>
    <w:rsid w:val="00CB3322"/>
    <w:rsid w:val="00CC1E67"/>
    <w:rsid w:val="00D63A2C"/>
    <w:rsid w:val="00D67E33"/>
    <w:rsid w:val="00D82D89"/>
    <w:rsid w:val="00DC535E"/>
    <w:rsid w:val="00DF26F4"/>
    <w:rsid w:val="00E05EA2"/>
    <w:rsid w:val="00E079EE"/>
    <w:rsid w:val="00E31BD4"/>
    <w:rsid w:val="00E84D3B"/>
    <w:rsid w:val="00E859AB"/>
    <w:rsid w:val="00EA6B94"/>
    <w:rsid w:val="00EB0990"/>
    <w:rsid w:val="00EB46B6"/>
    <w:rsid w:val="00F35DFE"/>
    <w:rsid w:val="00F46928"/>
    <w:rsid w:val="00FC56CC"/>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A729CBD"/>
  <w14:defaultImageDpi w14:val="32767"/>
  <w15:chartTrackingRefBased/>
  <w15:docId w15:val="{2D275358-8FDA-4E85-BA02-5F2539FA1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AC26F7"/>
    <w:pPr>
      <w:spacing w:before="100" w:beforeAutospacing="1" w:after="100" w:afterAutospacing="1" w:line="240" w:lineRule="auto"/>
    </w:pPr>
    <w:rPr>
      <w:rFonts w:ascii="Times New Roman" w:hAnsi="Times New Roman" w:cs="Times New Roman"/>
      <w:sz w:val="24"/>
      <w:szCs w:val="24"/>
      <w:lang w:val="en-US"/>
    </w:rPr>
  </w:style>
  <w:style w:type="paragraph" w:styleId="En-tte">
    <w:name w:val="header"/>
    <w:basedOn w:val="Normal"/>
    <w:link w:val="En-tteCar"/>
    <w:uiPriority w:val="99"/>
    <w:unhideWhenUsed/>
    <w:rsid w:val="007C045E"/>
    <w:pPr>
      <w:tabs>
        <w:tab w:val="center" w:pos="4536"/>
        <w:tab w:val="right" w:pos="9072"/>
      </w:tabs>
      <w:spacing w:after="0" w:line="240" w:lineRule="auto"/>
    </w:pPr>
  </w:style>
  <w:style w:type="character" w:customStyle="1" w:styleId="En-tteCar">
    <w:name w:val="En-tête Car"/>
    <w:basedOn w:val="Policepardfaut"/>
    <w:link w:val="En-tte"/>
    <w:uiPriority w:val="99"/>
    <w:rsid w:val="007C045E"/>
  </w:style>
  <w:style w:type="paragraph" w:styleId="Pieddepage">
    <w:name w:val="footer"/>
    <w:basedOn w:val="Normal"/>
    <w:link w:val="PieddepageCar"/>
    <w:uiPriority w:val="99"/>
    <w:unhideWhenUsed/>
    <w:rsid w:val="007C045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C045E"/>
  </w:style>
  <w:style w:type="character" w:styleId="Textedelespacerserv">
    <w:name w:val="Placeholder Text"/>
    <w:basedOn w:val="Policepardfaut"/>
    <w:uiPriority w:val="99"/>
    <w:semiHidden/>
    <w:rsid w:val="00B615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327955">
      <w:bodyDiv w:val="1"/>
      <w:marLeft w:val="0"/>
      <w:marRight w:val="0"/>
      <w:marTop w:val="0"/>
      <w:marBottom w:val="0"/>
      <w:divBdr>
        <w:top w:val="none" w:sz="0" w:space="0" w:color="auto"/>
        <w:left w:val="none" w:sz="0" w:space="0" w:color="auto"/>
        <w:bottom w:val="none" w:sz="0" w:space="0" w:color="auto"/>
        <w:right w:val="none" w:sz="0" w:space="0" w:color="auto"/>
      </w:divBdr>
    </w:div>
    <w:div w:id="257643028">
      <w:bodyDiv w:val="1"/>
      <w:marLeft w:val="0"/>
      <w:marRight w:val="0"/>
      <w:marTop w:val="0"/>
      <w:marBottom w:val="0"/>
      <w:divBdr>
        <w:top w:val="none" w:sz="0" w:space="0" w:color="auto"/>
        <w:left w:val="none" w:sz="0" w:space="0" w:color="auto"/>
        <w:bottom w:val="none" w:sz="0" w:space="0" w:color="auto"/>
        <w:right w:val="none" w:sz="0" w:space="0" w:color="auto"/>
      </w:divBdr>
    </w:div>
    <w:div w:id="262568318">
      <w:bodyDiv w:val="1"/>
      <w:marLeft w:val="0"/>
      <w:marRight w:val="0"/>
      <w:marTop w:val="0"/>
      <w:marBottom w:val="0"/>
      <w:divBdr>
        <w:top w:val="none" w:sz="0" w:space="0" w:color="auto"/>
        <w:left w:val="none" w:sz="0" w:space="0" w:color="auto"/>
        <w:bottom w:val="none" w:sz="0" w:space="0" w:color="auto"/>
        <w:right w:val="none" w:sz="0" w:space="0" w:color="auto"/>
      </w:divBdr>
    </w:div>
    <w:div w:id="447433435">
      <w:bodyDiv w:val="1"/>
      <w:marLeft w:val="0"/>
      <w:marRight w:val="0"/>
      <w:marTop w:val="0"/>
      <w:marBottom w:val="0"/>
      <w:divBdr>
        <w:top w:val="none" w:sz="0" w:space="0" w:color="auto"/>
        <w:left w:val="none" w:sz="0" w:space="0" w:color="auto"/>
        <w:bottom w:val="none" w:sz="0" w:space="0" w:color="auto"/>
        <w:right w:val="none" w:sz="0" w:space="0" w:color="auto"/>
      </w:divBdr>
    </w:div>
    <w:div w:id="463541712">
      <w:bodyDiv w:val="1"/>
      <w:marLeft w:val="0"/>
      <w:marRight w:val="0"/>
      <w:marTop w:val="0"/>
      <w:marBottom w:val="0"/>
      <w:divBdr>
        <w:top w:val="none" w:sz="0" w:space="0" w:color="auto"/>
        <w:left w:val="none" w:sz="0" w:space="0" w:color="auto"/>
        <w:bottom w:val="none" w:sz="0" w:space="0" w:color="auto"/>
        <w:right w:val="none" w:sz="0" w:space="0" w:color="auto"/>
      </w:divBdr>
    </w:div>
    <w:div w:id="556400990">
      <w:bodyDiv w:val="1"/>
      <w:marLeft w:val="0"/>
      <w:marRight w:val="0"/>
      <w:marTop w:val="0"/>
      <w:marBottom w:val="0"/>
      <w:divBdr>
        <w:top w:val="none" w:sz="0" w:space="0" w:color="auto"/>
        <w:left w:val="none" w:sz="0" w:space="0" w:color="auto"/>
        <w:bottom w:val="none" w:sz="0" w:space="0" w:color="auto"/>
        <w:right w:val="none" w:sz="0" w:space="0" w:color="auto"/>
      </w:divBdr>
    </w:div>
    <w:div w:id="562719917">
      <w:bodyDiv w:val="1"/>
      <w:marLeft w:val="0"/>
      <w:marRight w:val="0"/>
      <w:marTop w:val="0"/>
      <w:marBottom w:val="0"/>
      <w:divBdr>
        <w:top w:val="none" w:sz="0" w:space="0" w:color="auto"/>
        <w:left w:val="none" w:sz="0" w:space="0" w:color="auto"/>
        <w:bottom w:val="none" w:sz="0" w:space="0" w:color="auto"/>
        <w:right w:val="none" w:sz="0" w:space="0" w:color="auto"/>
      </w:divBdr>
    </w:div>
    <w:div w:id="589655223">
      <w:bodyDiv w:val="1"/>
      <w:marLeft w:val="0"/>
      <w:marRight w:val="0"/>
      <w:marTop w:val="0"/>
      <w:marBottom w:val="0"/>
      <w:divBdr>
        <w:top w:val="none" w:sz="0" w:space="0" w:color="auto"/>
        <w:left w:val="none" w:sz="0" w:space="0" w:color="auto"/>
        <w:bottom w:val="none" w:sz="0" w:space="0" w:color="auto"/>
        <w:right w:val="none" w:sz="0" w:space="0" w:color="auto"/>
      </w:divBdr>
    </w:div>
    <w:div w:id="604122232">
      <w:bodyDiv w:val="1"/>
      <w:marLeft w:val="0"/>
      <w:marRight w:val="0"/>
      <w:marTop w:val="0"/>
      <w:marBottom w:val="0"/>
      <w:divBdr>
        <w:top w:val="none" w:sz="0" w:space="0" w:color="auto"/>
        <w:left w:val="none" w:sz="0" w:space="0" w:color="auto"/>
        <w:bottom w:val="none" w:sz="0" w:space="0" w:color="auto"/>
        <w:right w:val="none" w:sz="0" w:space="0" w:color="auto"/>
      </w:divBdr>
    </w:div>
    <w:div w:id="1056319698">
      <w:bodyDiv w:val="1"/>
      <w:marLeft w:val="0"/>
      <w:marRight w:val="0"/>
      <w:marTop w:val="0"/>
      <w:marBottom w:val="0"/>
      <w:divBdr>
        <w:top w:val="none" w:sz="0" w:space="0" w:color="auto"/>
        <w:left w:val="none" w:sz="0" w:space="0" w:color="auto"/>
        <w:bottom w:val="none" w:sz="0" w:space="0" w:color="auto"/>
        <w:right w:val="none" w:sz="0" w:space="0" w:color="auto"/>
      </w:divBdr>
    </w:div>
    <w:div w:id="1295677532">
      <w:bodyDiv w:val="1"/>
      <w:marLeft w:val="0"/>
      <w:marRight w:val="0"/>
      <w:marTop w:val="0"/>
      <w:marBottom w:val="0"/>
      <w:divBdr>
        <w:top w:val="none" w:sz="0" w:space="0" w:color="auto"/>
        <w:left w:val="none" w:sz="0" w:space="0" w:color="auto"/>
        <w:bottom w:val="none" w:sz="0" w:space="0" w:color="auto"/>
        <w:right w:val="none" w:sz="0" w:space="0" w:color="auto"/>
      </w:divBdr>
    </w:div>
    <w:div w:id="1500077874">
      <w:bodyDiv w:val="1"/>
      <w:marLeft w:val="0"/>
      <w:marRight w:val="0"/>
      <w:marTop w:val="0"/>
      <w:marBottom w:val="0"/>
      <w:divBdr>
        <w:top w:val="none" w:sz="0" w:space="0" w:color="auto"/>
        <w:left w:val="none" w:sz="0" w:space="0" w:color="auto"/>
        <w:bottom w:val="none" w:sz="0" w:space="0" w:color="auto"/>
        <w:right w:val="none" w:sz="0" w:space="0" w:color="auto"/>
      </w:divBdr>
    </w:div>
    <w:div w:id="1551840885">
      <w:bodyDiv w:val="1"/>
      <w:marLeft w:val="0"/>
      <w:marRight w:val="0"/>
      <w:marTop w:val="0"/>
      <w:marBottom w:val="0"/>
      <w:divBdr>
        <w:top w:val="none" w:sz="0" w:space="0" w:color="auto"/>
        <w:left w:val="none" w:sz="0" w:space="0" w:color="auto"/>
        <w:bottom w:val="none" w:sz="0" w:space="0" w:color="auto"/>
        <w:right w:val="none" w:sz="0" w:space="0" w:color="auto"/>
      </w:divBdr>
    </w:div>
    <w:div w:id="1709184231">
      <w:bodyDiv w:val="1"/>
      <w:marLeft w:val="0"/>
      <w:marRight w:val="0"/>
      <w:marTop w:val="0"/>
      <w:marBottom w:val="0"/>
      <w:divBdr>
        <w:top w:val="none" w:sz="0" w:space="0" w:color="auto"/>
        <w:left w:val="none" w:sz="0" w:space="0" w:color="auto"/>
        <w:bottom w:val="none" w:sz="0" w:space="0" w:color="auto"/>
        <w:right w:val="none" w:sz="0" w:space="0" w:color="auto"/>
      </w:divBdr>
    </w:div>
    <w:div w:id="1723939462">
      <w:bodyDiv w:val="1"/>
      <w:marLeft w:val="0"/>
      <w:marRight w:val="0"/>
      <w:marTop w:val="0"/>
      <w:marBottom w:val="0"/>
      <w:divBdr>
        <w:top w:val="none" w:sz="0" w:space="0" w:color="auto"/>
        <w:left w:val="none" w:sz="0" w:space="0" w:color="auto"/>
        <w:bottom w:val="none" w:sz="0" w:space="0" w:color="auto"/>
        <w:right w:val="none" w:sz="0" w:space="0" w:color="auto"/>
      </w:divBdr>
    </w:div>
    <w:div w:id="187048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320</TotalTime>
  <Pages>7</Pages>
  <Words>3961</Words>
  <Characters>22581</Characters>
  <Application>Microsoft Office Word</Application>
  <DocSecurity>0</DocSecurity>
  <Lines>188</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Kenji MAURICE</dc:creator>
  <cp:keywords/>
  <dc:description/>
  <cp:lastModifiedBy>Kenji MAURICE</cp:lastModifiedBy>
  <cp:revision>83</cp:revision>
  <dcterms:created xsi:type="dcterms:W3CDTF">2023-11-27T12:55:00Z</dcterms:created>
  <dcterms:modified xsi:type="dcterms:W3CDTF">2024-03-12T12:22:00Z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id="BigfOGo4"/&gt;&lt;style id="http://www.zotero.org/styles/microbiome" hasBibliography="1" bibliographyStyleHasBeenSet="0"/&gt;&lt;prefs&gt;&lt;pref name="fieldType" value="Field"/&gt;&lt;/prefs&gt;&lt;/data&gt;</vt:lpwstr>
  </property>
</Properties>
</file>