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E0CF" w14:textId="77777777" w:rsidR="005373BB" w:rsidRPr="00355FF0" w:rsidRDefault="005373BB" w:rsidP="005373BB">
      <w:pPr>
        <w:keepNext/>
        <w:widowControl/>
        <w:outlineLvl w:val="1"/>
        <w:rPr>
          <w:rFonts w:ascii="Times New Roman" w:eastAsia="MS Gothic" w:hAnsi="Times New Roman" w:cs="Times New Roman"/>
          <w:b/>
          <w:sz w:val="24"/>
          <w:szCs w:val="24"/>
          <w:lang w:eastAsia="en-US" w:bidi="en-US"/>
        </w:rPr>
      </w:pPr>
      <w:r w:rsidRPr="00355FF0">
        <w:rPr>
          <w:rFonts w:ascii="Times New Roman" w:eastAsia="MS Gothic" w:hAnsi="Times New Roman" w:cs="Times New Roman"/>
          <w:b/>
          <w:sz w:val="24"/>
          <w:szCs w:val="24"/>
          <w:lang w:eastAsia="en-US" w:bidi="en-US"/>
        </w:rPr>
        <w:t>Table 1. Schedule</w:t>
      </w:r>
    </w:p>
    <w:tbl>
      <w:tblPr>
        <w:tblW w:w="9981" w:type="dxa"/>
        <w:jc w:val="center"/>
        <w:tblBorders>
          <w:top w:val="single" w:sz="8" w:space="0" w:color="538135"/>
          <w:left w:val="single" w:sz="8" w:space="0" w:color="538135"/>
          <w:bottom w:val="single" w:sz="8" w:space="0" w:color="538135"/>
          <w:right w:val="single" w:sz="8" w:space="0" w:color="538135"/>
          <w:insideH w:val="single" w:sz="8" w:space="0" w:color="538135"/>
          <w:insideV w:val="single" w:sz="8" w:space="0" w:color="538135"/>
        </w:tblBorders>
        <w:tblLook w:val="04A0" w:firstRow="1" w:lastRow="0" w:firstColumn="1" w:lastColumn="0" w:noHBand="0" w:noVBand="1"/>
      </w:tblPr>
      <w:tblGrid>
        <w:gridCol w:w="578"/>
        <w:gridCol w:w="1476"/>
        <w:gridCol w:w="1068"/>
        <w:gridCol w:w="1499"/>
        <w:gridCol w:w="1296"/>
        <w:gridCol w:w="1411"/>
        <w:gridCol w:w="783"/>
        <w:gridCol w:w="604"/>
        <w:gridCol w:w="1266"/>
      </w:tblGrid>
      <w:tr w:rsidR="005373BB" w:rsidRPr="00355FF0" w14:paraId="0C3483E2" w14:textId="77777777" w:rsidTr="00996520">
        <w:trPr>
          <w:jc w:val="center"/>
        </w:trPr>
        <w:tc>
          <w:tcPr>
            <w:tcW w:w="20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3871" w14:textId="77777777" w:rsidR="005373BB" w:rsidRPr="00355FF0" w:rsidRDefault="005373BB" w:rsidP="00996520">
            <w:pPr>
              <w:widowControl/>
              <w:tabs>
                <w:tab w:val="left" w:pos="3366"/>
              </w:tabs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Period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3FAF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Consent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077F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Screening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74B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Enrollment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972D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Date of the study procedure</w:t>
            </w:r>
          </w:p>
          <w:p w14:paraId="747149E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F15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Observation period</w:t>
            </w:r>
          </w:p>
        </w:tc>
      </w:tr>
      <w:tr w:rsidR="005373BB" w:rsidRPr="00355FF0" w14:paraId="17711A3F" w14:textId="77777777" w:rsidTr="00996520">
        <w:trPr>
          <w:trHeight w:val="360"/>
          <w:jc w:val="center"/>
        </w:trPr>
        <w:tc>
          <w:tcPr>
            <w:tcW w:w="20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43BAF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bookmarkStart w:id="0" w:name="_Hlk488053664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867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2733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8A32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829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DB50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After 1 day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65E8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2098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 xml:space="preserve">After </w:t>
            </w: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br/>
              <w:t>12 months</w:t>
            </w:r>
          </w:p>
        </w:tc>
      </w:tr>
      <w:tr w:rsidR="005373BB" w:rsidRPr="00355FF0" w14:paraId="481E6A4F" w14:textId="77777777" w:rsidTr="00996520">
        <w:trPr>
          <w:trHeight w:val="360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08B11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Window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7F714B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29EFD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E3ABCD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-28 days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42D26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0</w:t>
            </w: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vertAlign w:val="superscript"/>
                <w:lang w:eastAsia="en-US" w:bidi="en-US"/>
              </w:rPr>
              <w:t xml:space="preserve"> b)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F8FA2A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5F883B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FFA15AD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±28 days</w:t>
            </w:r>
          </w:p>
        </w:tc>
      </w:tr>
      <w:tr w:rsidR="005373BB" w:rsidRPr="00355FF0" w14:paraId="4570BA88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381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Acquisition of consent</w:t>
            </w:r>
          </w:p>
        </w:tc>
        <w:tc>
          <w:tcPr>
            <w:tcW w:w="1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603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B923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374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58A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6DE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830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4EE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7A7BD211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C47B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Basic patient information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6AB0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D12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CE1B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CA0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882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FDB37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BCC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24F9E915" w14:textId="77777777" w:rsidTr="00996520">
        <w:trPr>
          <w:trHeight w:val="360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C3B8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Hematological tests</w:t>
            </w: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vertAlign w:val="superscript"/>
                <w:lang w:eastAsia="en-US" w:bidi="en-US"/>
              </w:rPr>
              <w:t>a)</w:t>
            </w: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br/>
              <w:t>(PLT, PT-INR)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5942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3D14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E4BB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CA2D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FE1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4E62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EEE0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27EA22A7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9F13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Enrollment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6A94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7EF7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A357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4A19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86E9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6CB7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7AAD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0ED61DD9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3868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Performance of the study procedure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E28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E20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2A7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D280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45F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5A9D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2E3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6F378FF3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B8D7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Collection of information related to performance of the study procedure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F3FD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E94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533B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D87F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66B7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4782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1593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7A876C3D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5E87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zh-TW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Results of pathological diagnosis (puncture specimen, excised specimen)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79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zh-TW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6BC9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zh-TW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F3B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zh-TW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3490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zh-TW" w:bidi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33C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zh-TW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4838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52C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15EE6C07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5918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lastRenderedPageBreak/>
              <w:t xml:space="preserve">Collection of diagnostic imaging results </w:t>
            </w:r>
          </w:p>
          <w:p w14:paraId="7D76CE2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(e.g., CT, EUS), if any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7F3D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35AF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2AF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9FB3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589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718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A42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5A4FAD51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310E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Performance of EUS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1968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855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582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339F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2CB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F732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1D4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vertAlign w:val="superscript"/>
                <w:lang w:eastAsia="en-US" w:bidi="en-US"/>
              </w:rPr>
              <w:t>c)</w:t>
            </w:r>
          </w:p>
        </w:tc>
      </w:tr>
      <w:tr w:rsidR="005373BB" w:rsidRPr="00355FF0" w14:paraId="2827AB17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E0A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Final diagnosis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4E6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7B1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171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888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95F3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8A5B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A14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</w:tr>
      <w:tr w:rsidR="005373BB" w:rsidRPr="00355FF0" w14:paraId="10196691" w14:textId="77777777" w:rsidTr="00996520">
        <w:trPr>
          <w:trHeight w:val="397"/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4DB59F7" w14:textId="77777777" w:rsidR="005373BB" w:rsidRPr="00355FF0" w:rsidRDefault="005373BB" w:rsidP="00996520">
            <w:pPr>
              <w:widowControl/>
              <w:tabs>
                <w:tab w:val="left" w:pos="3366"/>
              </w:tabs>
              <w:ind w:left="113" w:right="113"/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Procedural accidents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0C9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Bleeding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7E48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54F0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71A7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CDD0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7C9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0A3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E98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07C76FDB" w14:textId="77777777" w:rsidTr="00996520">
        <w:trPr>
          <w:trHeight w:val="397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0749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62E8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Abdominal pain, perforation, infection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0B8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7BE2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6344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2390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087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〇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2C5F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175F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5B44C525" w14:textId="77777777" w:rsidTr="00996520">
        <w:trPr>
          <w:trHeight w:val="397"/>
          <w:jc w:val="center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DDF5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B8B9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Other</w:t>
            </w: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vertAlign w:val="superscript"/>
                <w:lang w:eastAsia="en-US" w:bidi="en-US"/>
              </w:rPr>
              <w:t>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7E4E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3BCB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C332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3718" w14:textId="2607C124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DA2761C" wp14:editId="65E1E47F">
                      <wp:simplePos x="0" y="0"/>
                      <wp:positionH relativeFrom="page">
                        <wp:posOffset>36830</wp:posOffset>
                      </wp:positionH>
                      <wp:positionV relativeFrom="page">
                        <wp:posOffset>128269</wp:posOffset>
                      </wp:positionV>
                      <wp:extent cx="2560320" cy="0"/>
                      <wp:effectExtent l="0" t="95250" r="0" b="95250"/>
                      <wp:wrapNone/>
                      <wp:docPr id="1585818646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0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2065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2.9pt;margin-top:10.1pt;width:201.6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xa2QEAAKADAAAOAAAAZHJzL2Uyb0RvYy54bWysU8tu2zAQvBfoPxC8x5IdNDAEyznYSS9B&#10;GyDpB2woSiLKF7hbS/77LulH0/ZWlAdiyeUOZ4fDzf3srDjohCb4Vi4XtRTaq9AZP7Ty2+vjzVoK&#10;JPAd2OB1K48a5f3244fNFBu9CmOwnU6CQTw2U2zlSBSbqkI1age4CFF7TvYhOSBepqHqEkyM7my1&#10;quu7agqpiykojci7+1NSbgt+32tFX/seNQnbSuZGZU5lfstztd1AMySIo1FnGvAPLBwYz5deofZA&#10;IH4k8xeUMyoFDD0tVHBV6HujdOmBu1nWf3TzMkLUpRcWB+NVJvx/sOrLYeefU6auZv8Sn4L6jixK&#10;NUVsrsm8wHg6NvfJ5ePMXcxFyONVSD2TULy5+nRX365Yb3XJVdBcCmNC+qyDEzloJVICM4y0C97z&#10;c4W0LELC4QkpE4HmUpBv9eHRWFtezXoxtfJ2vazzRcDm6S0Qhy52DOsHKcAO7EpFqUBisKbL5RkI&#10;j7izSRyAjcF+6sL0yuylsIDECW6pjGwQpvBbaeazBxxPxSV18pEzxGa2xrVyfa2GhsDYB98JOkb+&#10;AZQM+MHqM7L1mY0uVj13/EvtHL2F7vicLk/CNiiEzpbNPnu/5vj9x9r+BAAA//8DAFBLAwQUAAYA&#10;CAAAACEAHNVe8twAAAAHAQAADwAAAGRycy9kb3ducmV2LnhtbEyPwU7DMBBE70j8g7VI3KidUCiE&#10;OFWohMQFCQri7MbbJBCvQ+w06d+ziAMcd2Y08zZfz64TBxxC60lDslAgkCpvW6o1vL0+XNyACNGQ&#10;NZ0n1HDEAOvi9CQ3mfUTveBhG2vBJRQyo6GJsc+kDFWDzoSF75HY2/vBmcjnUEs7mInLXSdTpa6l&#10;My3xQmN63DRYfW5Hp2H1vCnfk3G6Tx6/npZHuS9XH5e11udnc3kHIuIc/8Lwg8/oUDDTzo9kg+g0&#10;XDF41JCqFATbS3XLr+1+BVnk8j9/8Q0AAP//AwBQSwECLQAUAAYACAAAACEAtoM4kv4AAADhAQAA&#10;EwAAAAAAAAAAAAAAAAAAAAAAW0NvbnRlbnRfVHlwZXNdLnhtbFBLAQItABQABgAIAAAAIQA4/SH/&#10;1gAAAJQBAAALAAAAAAAAAAAAAAAAAC8BAABfcmVscy8ucmVsc1BLAQItABQABgAIAAAAIQBBWbxa&#10;2QEAAKADAAAOAAAAAAAAAAAAAAAAAC4CAABkcnMvZTJvRG9jLnhtbFBLAQItABQABgAIAAAAIQAc&#10;1V7y3AAAAAcBAAAPAAAAAAAAAAAAAAAAADMEAABkcnMvZG93bnJldi54bWxQSwUGAAAAAAQABADz&#10;AAAAPAUAAAAA&#10;" strokecolor="windowText" strokeweight="3pt">
                      <v:stroke endarrow="block" joinstyle="miter"/>
                      <o:lock v:ext="edit" shapetype="f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7D1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DE00" w14:textId="77777777" w:rsidR="005373BB" w:rsidRPr="00355FF0" w:rsidDel="007A05F7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8443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3DD2C147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0F3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>Serious adverse events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2EC4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D11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7E6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E766" w14:textId="0E40736D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C99EAFC" wp14:editId="02F1B885">
                      <wp:simplePos x="0" y="0"/>
                      <wp:positionH relativeFrom="page">
                        <wp:posOffset>36830</wp:posOffset>
                      </wp:positionH>
                      <wp:positionV relativeFrom="page">
                        <wp:posOffset>137159</wp:posOffset>
                      </wp:positionV>
                      <wp:extent cx="1151890" cy="0"/>
                      <wp:effectExtent l="0" t="95250" r="0" b="95250"/>
                      <wp:wrapNone/>
                      <wp:docPr id="2017227500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51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DF99B" id="Straight Arrow Connector 3" o:spid="_x0000_s1026" type="#_x0000_t32" style="position:absolute;margin-left:2.9pt;margin-top:10.8pt;width:90.7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bG2QEAAKADAAAOAAAAZHJzL2Uyb0RvYy54bWysU01v1DAQvSPxHyzf2WyKQEu02R52KZcK&#10;KrX9AVPHSSz8Jc+wSf49Y+8HBW4IH6yxx/P85vl5ezs7K446oQm+lfVqLYX2KnTGD618frp7t5EC&#10;CXwHNnjdykWjvN29fbOdYqNvwhhsp5NgEI/NFFs5EsWmqlCN2gGuQtSek31IDoiXaai6BBOjO1vd&#10;rNcfqymkLqagNCLvHk5JuSv4fa8Vfet71CRsK5kblTmV+SXP1W4LzZAgjkadacA/sHBgPF96hToA&#10;gfiRzF9QzqgUMPS0UsFVoe+N0qUH7qZe/9HN4whRl15YHIxXmfD/waqvx71/SJm6mv1jvA/qO7Io&#10;1RSxuSbzAuPp2Nwnl48zdzEXIZerkHomoXizrj/Um0+st7rkKmguhTEhfdHBiRy0EimBGUbaB+/5&#10;uUKqi5BwvEfKRKC5FORbfbgz1pZXs15MrXy/qdf5ImDz9BaIQxc7hvWDFGAHdqWiVCAxWNPl8gyE&#10;C+5tEkdgY7CfujA9MXspLCBxglsqIxuEKfxWmvkcAMdTcUmdfOQMsZmtca3cXKuhITD2s+8ELZF/&#10;ACUDfrD6jGx9ZqOLVc8d/1I7Ry+hWx7S5UnYBoXQ2bLZZ6/XHL/+WLufAAAA//8DAFBLAwQUAAYA&#10;CAAAACEAntbFcNwAAAAHAQAADwAAAGRycy9kb3ducmV2LnhtbEzOwU6DQBAG4LuJ77AZE292AbU0&#10;yNJgExMvJrYaz1N2Cig7i+xS6Nu7jQc9zvyTf758PZtOHGlwrWUF8SICQVxZ3XKt4P3t6WYFwnlk&#10;jZ1lUnAiB+vi8iLHTNuJt3Tc+VqEEnYZKmi87zMpXdWQQbewPXHIDnYw6MM41FIPOIVy08kkipbS&#10;YMvhQ4M9bRqqvnajUZC+bsqPeJwe4+fvl7uTPJTp522t1PXVXD6A8DT7v2M48wMdimDa25G1E52C&#10;+wD3CpJ4CeIcr9IExP53IYtc/vcXPwAAAP//AwBQSwECLQAUAAYACAAAACEAtoM4kv4AAADhAQAA&#10;EwAAAAAAAAAAAAAAAAAAAAAAW0NvbnRlbnRfVHlwZXNdLnhtbFBLAQItABQABgAIAAAAIQA4/SH/&#10;1gAAAJQBAAALAAAAAAAAAAAAAAAAAC8BAABfcmVscy8ucmVsc1BLAQItABQABgAIAAAAIQDSUkbG&#10;2QEAAKADAAAOAAAAAAAAAAAAAAAAAC4CAABkcnMvZTJvRG9jLnhtbFBLAQItABQABgAIAAAAIQCe&#10;1sVw3AAAAAcBAAAPAAAAAAAAAAAAAAAAADMEAABkcnMvZG93bnJldi54bWxQSwUGAAAAAAQABADz&#10;AAAAPAUAAAAA&#10;" strokecolor="windowText" strokeweight="3pt">
                      <v:stroke endarrow="block" joinstyle="miter"/>
                      <o:lock v:ext="edit" shapetype="f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ED73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33DC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E6C04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373BB" w:rsidRPr="00355FF0" w14:paraId="479B2678" w14:textId="77777777" w:rsidTr="00996520">
        <w:trPr>
          <w:trHeight w:val="397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82E1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left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 w:rsidRPr="00355FF0"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  <w:t xml:space="preserve">Serious disease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D386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70BB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807D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0AFB" w14:textId="7C1816ED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7D8A514" wp14:editId="04779EEA">
                      <wp:simplePos x="0" y="0"/>
                      <wp:positionH relativeFrom="page">
                        <wp:posOffset>36830</wp:posOffset>
                      </wp:positionH>
                      <wp:positionV relativeFrom="page">
                        <wp:posOffset>137159</wp:posOffset>
                      </wp:positionV>
                      <wp:extent cx="2560320" cy="0"/>
                      <wp:effectExtent l="0" t="95250" r="0" b="95250"/>
                      <wp:wrapNone/>
                      <wp:docPr id="197107759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560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59639" id="Straight Arrow Connector 2" o:spid="_x0000_s1026" type="#_x0000_t32" style="position:absolute;margin-left:2.9pt;margin-top:10.8pt;width:201.6pt;height:0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IY3wEAAKoDAAAOAAAAZHJzL2Uyb0RvYy54bWysU01v2zAMvQ/YfxB0X+ykWFEYcXpI1l2K&#10;rUC73VlZsoXpCyIXJ/9+lJKm3XYb5oNAiebTe+TT+vbgndjrjDaGXi4XrRQ6qDjYMPby29Pdhxsp&#10;kCAM4GLQvTxqlLeb9+/Wc+r0Kk7RDToLBgnYzamXE1HqmgbVpD3gIiYdOGli9kC8zWMzZJgZ3btm&#10;1bbXzRzzkHJUGpFPd6ek3FR8Y7Sir8agJuF6ydyorrmuz2VtNmvoxgxpsupMA/6BhQcb+NIL1A4I&#10;xM9s/4LyVuWI0dBCRd9EY6zSVQOrWbZ/qHmcIOmqhZuD6dIm/H+w6st+Gx5yoa4O4THdR/UDuSnN&#10;nLC7JMsG0+m3g8leGGfTd5531cwqxKG29HhpqT6QUHy4+njdXq248+ol10BXIMqNKSN91tGLEvQS&#10;KYMdJ9rGEHhwMZ/gYX+PVCi9FpTiEO+sc3V+Loi5l1c3y7ZcBGwj44A49Glg2DBKAW5kfyrKlTFG&#10;Z4dSXoDwiFuXxR7YIuysIc5PzF4KB0icYEn1K1ZhCr+VFt47wOlUXFMnR3lLbGtnfS9vLtXQEVj3&#10;KQyCjonfAmULYXT6jOxCYaOrac+KX/teouc4HB/yy3DYEJXQ2bzFcW/3HL99YptfAAAA//8DAFBL&#10;AwQUAAYACAAAACEAvGWhut4AAAAHAQAADwAAAGRycy9kb3ducmV2LnhtbEyPQUsDMRCF74L/IYzg&#10;zSYtWnXdbJFiD4oi1iI9pptxs3QzWZK03frrHfGgx3nv8d435WzwndhjTG0gDeORAoFUB9tSo2H1&#10;vri4AZGyIWu6QKjhiAlm1elJaQobDvSG+2VuBJdQKowGl3NfSJlqh96kUeiR2PsM0ZvMZ2ykjebA&#10;5b6TE6Wm0puWeMGZHucO6+1y5zU8bx+ePuL6RV4/ukWfv17Vcb5eaX1+Ntzfgcg45L8w/OAzOlTM&#10;tAk7skl0Gq4YPGuYjKcg2L5Ut/za5leQVSn/81ffAAAA//8DAFBLAQItABQABgAIAAAAIQC2gziS&#10;/gAAAOEBAAATAAAAAAAAAAAAAAAAAAAAAABbQ29udGVudF9UeXBlc10ueG1sUEsBAi0AFAAGAAgA&#10;AAAhADj9If/WAAAAlAEAAAsAAAAAAAAAAAAAAAAALwEAAF9yZWxzLy5yZWxzUEsBAi0AFAAGAAgA&#10;AAAhALylUhjfAQAAqgMAAA4AAAAAAAAAAAAAAAAALgIAAGRycy9lMm9Eb2MueG1sUEsBAi0AFAAG&#10;AAgAAAAhALxlobreAAAABwEAAA8AAAAAAAAAAAAAAAAAOQQAAGRycy9kb3ducmV2LnhtbFBLBQYA&#10;AAAABAAEAPMAAABEBQAAAAA=&#10;" strokecolor="windowText" strokeweight="3pt">
                      <v:stroke endarrow="block" joinstyle="miter"/>
                      <o:lock v:ext="edit" shapetype="f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3BA4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D11A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BA12" w14:textId="77777777" w:rsidR="005373BB" w:rsidRPr="00355FF0" w:rsidRDefault="005373BB" w:rsidP="00996520">
            <w:pPr>
              <w:widowControl/>
              <w:tabs>
                <w:tab w:val="left" w:pos="3366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</w:tbl>
    <w:bookmarkEnd w:id="0"/>
    <w:p w14:paraId="261FB305" w14:textId="77777777" w:rsidR="005373BB" w:rsidRPr="00355FF0" w:rsidRDefault="005373BB" w:rsidP="005373BB">
      <w:pPr>
        <w:widowControl/>
        <w:ind w:left="360" w:hangingChars="150" w:hanging="360"/>
        <w:rPr>
          <w:rFonts w:ascii="Times New Roman" w:eastAsia="MS Gothic" w:hAnsi="Times New Roman" w:cs="Times New Roman"/>
          <w:sz w:val="24"/>
          <w:szCs w:val="24"/>
          <w:lang w:eastAsia="en-US" w:bidi="en-US"/>
        </w:rPr>
      </w:pPr>
      <w:r w:rsidRPr="00355FF0">
        <w:rPr>
          <w:rFonts w:ascii="Times New Roman" w:eastAsia="MS Gothic" w:hAnsi="Times New Roman" w:cs="Times New Roman"/>
          <w:sz w:val="24"/>
          <w:szCs w:val="24"/>
          <w:lang w:eastAsia="en-US" w:bidi="en-US"/>
        </w:rPr>
        <w:t>a) Acceptable for use as a screening test if the test is performed at least 28 days prior to obtaining consent.</w:t>
      </w:r>
    </w:p>
    <w:p w14:paraId="29239019" w14:textId="77777777" w:rsidR="005373BB" w:rsidRPr="00355FF0" w:rsidRDefault="005373BB" w:rsidP="005373BB">
      <w:pPr>
        <w:widowControl/>
        <w:ind w:left="360" w:hangingChars="150" w:hanging="360"/>
        <w:rPr>
          <w:rFonts w:ascii="Times New Roman" w:eastAsia="MS Gothic" w:hAnsi="Times New Roman" w:cs="Times New Roman"/>
          <w:sz w:val="24"/>
          <w:szCs w:val="24"/>
          <w:lang w:eastAsia="en-US" w:bidi="en-US"/>
        </w:rPr>
      </w:pPr>
      <w:r w:rsidRPr="00355FF0">
        <w:rPr>
          <w:rFonts w:ascii="Times New Roman" w:eastAsia="MS Gothic" w:hAnsi="Times New Roman" w:cs="Times New Roman"/>
          <w:sz w:val="24"/>
          <w:szCs w:val="24"/>
          <w:lang w:eastAsia="en-US" w:bidi="en-US"/>
        </w:rPr>
        <w:t>b) The day of the study procedure must be within 28 days of enrollment.</w:t>
      </w:r>
    </w:p>
    <w:p w14:paraId="545BDB48" w14:textId="77777777" w:rsidR="005373BB" w:rsidRPr="00355FF0" w:rsidRDefault="005373BB" w:rsidP="005373BB">
      <w:pPr>
        <w:widowControl/>
        <w:ind w:left="360" w:hangingChars="150" w:hanging="360"/>
        <w:rPr>
          <w:rFonts w:ascii="Times New Roman" w:eastAsia="MS Gothic" w:hAnsi="Times New Roman" w:cs="Times New Roman"/>
          <w:sz w:val="24"/>
          <w:szCs w:val="24"/>
          <w:lang w:eastAsia="en-US" w:bidi="en-US"/>
        </w:rPr>
      </w:pPr>
      <w:r w:rsidRPr="00355FF0">
        <w:rPr>
          <w:rFonts w:ascii="Times New Roman" w:eastAsia="MS Gothic" w:hAnsi="Times New Roman" w:cs="Times New Roman"/>
          <w:sz w:val="24"/>
          <w:szCs w:val="24"/>
          <w:lang w:eastAsia="en-US" w:bidi="en-US"/>
        </w:rPr>
        <w:t>c) If the final diagnosis of the target lesion is not confirmed or benign, EUS should be performed.</w:t>
      </w:r>
    </w:p>
    <w:p w14:paraId="62F84EF1" w14:textId="77777777" w:rsidR="005373BB" w:rsidRPr="00355FF0" w:rsidRDefault="005373BB" w:rsidP="005373BB">
      <w:pPr>
        <w:widowControl/>
        <w:ind w:left="360" w:hangingChars="150" w:hanging="360"/>
        <w:rPr>
          <w:rFonts w:ascii="Times New Roman" w:eastAsia="MS Gothic" w:hAnsi="Times New Roman" w:cs="Times New Roman"/>
          <w:sz w:val="24"/>
          <w:szCs w:val="24"/>
          <w:lang w:eastAsia="en-US" w:bidi="en-US"/>
        </w:rPr>
      </w:pPr>
      <w:r w:rsidRPr="00355FF0">
        <w:rPr>
          <w:rFonts w:ascii="Times New Roman" w:eastAsia="MS Gothic" w:hAnsi="Times New Roman" w:cs="Times New Roman"/>
          <w:sz w:val="24"/>
          <w:szCs w:val="24"/>
          <w:lang w:eastAsia="en-US" w:bidi="en-US"/>
        </w:rPr>
        <w:t>d) Of potentially serious diseases that occur during the observation period, events with a causal relationship to the performance of the study procedure will be collected and logged as procedural accidents.</w:t>
      </w:r>
    </w:p>
    <w:p w14:paraId="6AF96211" w14:textId="77777777" w:rsidR="005373BB" w:rsidRPr="00786A89" w:rsidRDefault="005373BB" w:rsidP="005373BB">
      <w:pPr>
        <w:widowControl/>
        <w:spacing w:line="480" w:lineRule="auto"/>
        <w:jc w:val="left"/>
        <w:rPr>
          <w:rFonts w:ascii="Times New Roman" w:hAnsi="Times New Roman" w:cs="Times New Roman"/>
          <w:kern w:val="24"/>
          <w:sz w:val="24"/>
          <w:szCs w:val="24"/>
        </w:rPr>
      </w:pPr>
      <w:r w:rsidRPr="00355FF0">
        <w:rPr>
          <w:rFonts w:ascii="Times New Roman" w:hAnsi="Times New Roman" w:cs="Times New Roman" w:hint="eastAsia"/>
          <w:kern w:val="24"/>
          <w:sz w:val="24"/>
          <w:szCs w:val="24"/>
        </w:rPr>
        <w:t>P</w:t>
      </w:r>
      <w:r w:rsidRPr="00355FF0">
        <w:rPr>
          <w:rFonts w:ascii="Times New Roman" w:hAnsi="Times New Roman" w:cs="Times New Roman"/>
          <w:kern w:val="24"/>
          <w:sz w:val="24"/>
          <w:szCs w:val="24"/>
        </w:rPr>
        <w:t>LT, platelets; PT-INR, prothrombin time-international normalized ratio; CT, computed tomography; EUS, endoscopic ultrasound</w:t>
      </w:r>
    </w:p>
    <w:p w14:paraId="1D9170AD" w14:textId="77777777" w:rsidR="003A2514" w:rsidRDefault="003A2514"/>
    <w:sectPr w:rsidR="003A2514" w:rsidSect="005373BB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BB"/>
    <w:rsid w:val="001B533D"/>
    <w:rsid w:val="003A2514"/>
    <w:rsid w:val="0053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9603"/>
  <w15:chartTrackingRefBased/>
  <w15:docId w15:val="{186ADBF3-48EF-472F-86AA-D863FED6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BB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3BB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3BB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3BB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3BB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3BB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3BB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3BB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3BB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3BB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3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3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3B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7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3BB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7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3BB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7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3BB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73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3B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3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3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1214</Characters>
  <Application>Microsoft Office Word</Application>
  <DocSecurity>0</DocSecurity>
  <Lines>10</Lines>
  <Paragraphs>2</Paragraphs>
  <ScaleCrop>false</ScaleCrop>
  <Company>Springer Nature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2024-05-24T11:55:00Z</dcterms:created>
  <dcterms:modified xsi:type="dcterms:W3CDTF">2024-05-24T11:56:00Z</dcterms:modified>
</cp:coreProperties>
</file>