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689BD1" w14:textId="54A3C759" w:rsidR="00853CF8" w:rsidRPr="001F21FE" w:rsidRDefault="0056605B" w:rsidP="001F21FE">
      <w:pPr>
        <w:pStyle w:val="a3"/>
        <w:spacing w:line="480" w:lineRule="auto"/>
        <w:rPr>
          <w:rFonts w:ascii="Arial" w:eastAsia="Arial Unicode MS" w:hAnsi="Arial" w:cs="Arial"/>
          <w:color w:val="000000" w:themeColor="text1"/>
          <w:szCs w:val="20"/>
        </w:rPr>
      </w:pPr>
      <w:bookmarkStart w:id="0" w:name="_GoBack"/>
      <w:r w:rsidRPr="001F21FE">
        <w:rPr>
          <w:rFonts w:ascii="Arial" w:eastAsia="Arial Unicode MS" w:hAnsi="Arial" w:cs="Arial"/>
          <w:color w:val="000000" w:themeColor="text1"/>
        </w:rPr>
        <w:t>Supplemental t</w:t>
      </w:r>
      <w:r w:rsidR="00E401BF" w:rsidRPr="001F21FE">
        <w:rPr>
          <w:rFonts w:ascii="Arial" w:eastAsia="Arial Unicode MS" w:hAnsi="Arial" w:cs="Arial"/>
          <w:color w:val="000000" w:themeColor="text1"/>
        </w:rPr>
        <w:t>able</w:t>
      </w:r>
      <w:r w:rsidR="00525688" w:rsidRPr="001F21FE">
        <w:rPr>
          <w:rFonts w:ascii="Arial" w:eastAsia="Arial Unicode MS" w:hAnsi="Arial" w:cs="Arial"/>
          <w:color w:val="000000" w:themeColor="text1"/>
        </w:rPr>
        <w:t xml:space="preserve"> </w:t>
      </w:r>
      <w:r w:rsidRPr="001F21FE">
        <w:rPr>
          <w:rFonts w:ascii="Arial" w:eastAsia="Arial Unicode MS" w:hAnsi="Arial" w:cs="Arial"/>
          <w:color w:val="000000" w:themeColor="text1"/>
        </w:rPr>
        <w:t>2</w:t>
      </w:r>
      <w:r w:rsidR="00853CF8" w:rsidRPr="001F21FE">
        <w:rPr>
          <w:rFonts w:ascii="Arial" w:eastAsia="Arial Unicode MS" w:hAnsi="Arial" w:cs="Arial"/>
          <w:color w:val="000000" w:themeColor="text1"/>
          <w:szCs w:val="20"/>
        </w:rPr>
        <w:t>.</w:t>
      </w:r>
      <w:r w:rsidR="00D94282" w:rsidRPr="001F21FE">
        <w:rPr>
          <w:rFonts w:ascii="Arial" w:eastAsia="Arial Unicode MS" w:hAnsi="Arial" w:cs="Arial"/>
          <w:color w:val="000000" w:themeColor="text1"/>
          <w:szCs w:val="20"/>
        </w:rPr>
        <w:t xml:space="preserve"> </w:t>
      </w:r>
      <w:r w:rsidR="0024287A" w:rsidRPr="001F21FE">
        <w:rPr>
          <w:rFonts w:ascii="Arial" w:eastAsia="Arial Unicode MS" w:hAnsi="Arial" w:cs="Arial"/>
          <w:color w:val="000000" w:themeColor="text1"/>
          <w:szCs w:val="20"/>
        </w:rPr>
        <w:t xml:space="preserve"> Univariate and multivariate logistic regression model for postoperative pulmonary complications in patients with ovarian cancer</w:t>
      </w:r>
    </w:p>
    <w:bookmarkEnd w:id="0"/>
    <w:tbl>
      <w:tblPr>
        <w:tblpPr w:leftFromText="180" w:rightFromText="180" w:vertAnchor="text" w:horzAnchor="margin" w:tblpY="102"/>
        <w:tblW w:w="5000" w:type="pct"/>
        <w:tblBorders>
          <w:top w:val="single" w:sz="4" w:space="0" w:color="auto"/>
          <w:bottom w:val="single" w:sz="4" w:space="0" w:color="auto"/>
        </w:tblBorders>
        <w:tblLook w:val="04A0" w:firstRow="1" w:lastRow="0" w:firstColumn="1" w:lastColumn="0" w:noHBand="0" w:noVBand="1"/>
      </w:tblPr>
      <w:tblGrid>
        <w:gridCol w:w="3881"/>
        <w:gridCol w:w="2340"/>
        <w:gridCol w:w="890"/>
        <w:gridCol w:w="1755"/>
        <w:gridCol w:w="890"/>
        <w:gridCol w:w="2174"/>
        <w:gridCol w:w="893"/>
        <w:gridCol w:w="1685"/>
        <w:gridCol w:w="890"/>
      </w:tblGrid>
      <w:tr w:rsidR="00E0044F" w:rsidRPr="001F21FE" w14:paraId="573F6AAC" w14:textId="77777777" w:rsidTr="00A86A27">
        <w:trPr>
          <w:trHeight w:val="273"/>
        </w:trPr>
        <w:tc>
          <w:tcPr>
            <w:tcW w:w="1260" w:type="pct"/>
            <w:tcBorders>
              <w:top w:val="single" w:sz="4" w:space="0" w:color="auto"/>
              <w:bottom w:val="nil"/>
            </w:tcBorders>
            <w:shd w:val="clear" w:color="auto" w:fill="auto"/>
            <w:noWrap/>
            <w:vAlign w:val="bottom"/>
          </w:tcPr>
          <w:p w14:paraId="367CB77E" w14:textId="77777777" w:rsidR="00F274B5" w:rsidRPr="001F21FE" w:rsidRDefault="00F274B5" w:rsidP="001F21FE">
            <w:pPr>
              <w:widowControl/>
              <w:wordWrap/>
              <w:autoSpaceDE/>
              <w:autoSpaceDN/>
              <w:spacing w:after="0" w:line="480" w:lineRule="auto"/>
              <w:jc w:val="left"/>
              <w:rPr>
                <w:rFonts w:ascii="Arial" w:eastAsia="Arial Unicode MS" w:hAnsi="Arial" w:cs="Arial"/>
                <w:color w:val="000000" w:themeColor="text1"/>
                <w:kern w:val="0"/>
                <w:szCs w:val="20"/>
              </w:rPr>
            </w:pPr>
          </w:p>
        </w:tc>
        <w:tc>
          <w:tcPr>
            <w:tcW w:w="760" w:type="pct"/>
            <w:tcBorders>
              <w:top w:val="single" w:sz="4" w:space="0" w:color="auto"/>
              <w:bottom w:val="nil"/>
            </w:tcBorders>
            <w:shd w:val="clear" w:color="auto" w:fill="auto"/>
            <w:noWrap/>
            <w:vAlign w:val="bottom"/>
          </w:tcPr>
          <w:p w14:paraId="69983C14" w14:textId="77777777" w:rsidR="00F274B5" w:rsidRPr="001F21FE" w:rsidRDefault="00F274B5" w:rsidP="001F21FE">
            <w:pPr>
              <w:widowControl/>
              <w:wordWrap/>
              <w:autoSpaceDE/>
              <w:autoSpaceDN/>
              <w:spacing w:after="0" w:line="480" w:lineRule="auto"/>
              <w:jc w:val="left"/>
              <w:rPr>
                <w:rFonts w:ascii="Arial" w:eastAsia="Arial Unicode MS" w:hAnsi="Arial" w:cs="Arial"/>
                <w:color w:val="000000" w:themeColor="text1"/>
                <w:kern w:val="0"/>
                <w:szCs w:val="20"/>
              </w:rPr>
            </w:pPr>
            <w:r w:rsidRPr="001F21FE">
              <w:rPr>
                <w:rFonts w:ascii="Arial" w:eastAsia="Arial Unicode MS" w:hAnsi="Arial" w:cs="Arial"/>
                <w:color w:val="000000" w:themeColor="text1"/>
                <w:kern w:val="0"/>
                <w:szCs w:val="20"/>
              </w:rPr>
              <w:t>Before adjustment</w:t>
            </w:r>
          </w:p>
        </w:tc>
        <w:tc>
          <w:tcPr>
            <w:tcW w:w="289" w:type="pct"/>
            <w:tcBorders>
              <w:top w:val="single" w:sz="4" w:space="0" w:color="auto"/>
              <w:bottom w:val="nil"/>
            </w:tcBorders>
            <w:shd w:val="clear" w:color="auto" w:fill="auto"/>
            <w:noWrap/>
            <w:vAlign w:val="bottom"/>
          </w:tcPr>
          <w:p w14:paraId="1045CD45" w14:textId="77777777" w:rsidR="00F274B5" w:rsidRPr="001F21FE" w:rsidRDefault="00F274B5" w:rsidP="001F21FE">
            <w:pPr>
              <w:widowControl/>
              <w:wordWrap/>
              <w:autoSpaceDE/>
              <w:autoSpaceDN/>
              <w:spacing w:after="0" w:line="480" w:lineRule="auto"/>
              <w:jc w:val="left"/>
              <w:rPr>
                <w:rFonts w:ascii="Arial" w:eastAsia="Arial Unicode MS" w:hAnsi="Arial" w:cs="Arial"/>
                <w:color w:val="000000" w:themeColor="text1"/>
                <w:kern w:val="0"/>
                <w:szCs w:val="20"/>
              </w:rPr>
            </w:pPr>
          </w:p>
        </w:tc>
        <w:tc>
          <w:tcPr>
            <w:tcW w:w="570" w:type="pct"/>
            <w:tcBorders>
              <w:top w:val="single" w:sz="4" w:space="0" w:color="auto"/>
              <w:bottom w:val="nil"/>
            </w:tcBorders>
            <w:shd w:val="clear" w:color="auto" w:fill="auto"/>
            <w:noWrap/>
            <w:vAlign w:val="bottom"/>
          </w:tcPr>
          <w:p w14:paraId="60E08929" w14:textId="77777777" w:rsidR="00F274B5" w:rsidRPr="001F21FE" w:rsidRDefault="00F274B5" w:rsidP="001F21FE">
            <w:pPr>
              <w:widowControl/>
              <w:wordWrap/>
              <w:autoSpaceDE/>
              <w:autoSpaceDN/>
              <w:spacing w:after="0" w:line="480" w:lineRule="auto"/>
              <w:jc w:val="left"/>
              <w:rPr>
                <w:rFonts w:ascii="Arial" w:eastAsia="Arial Unicode MS" w:hAnsi="Arial" w:cs="Arial"/>
                <w:color w:val="000000" w:themeColor="text1"/>
                <w:kern w:val="0"/>
                <w:szCs w:val="20"/>
              </w:rPr>
            </w:pPr>
          </w:p>
        </w:tc>
        <w:tc>
          <w:tcPr>
            <w:tcW w:w="289" w:type="pct"/>
            <w:tcBorders>
              <w:top w:val="single" w:sz="4" w:space="0" w:color="auto"/>
              <w:bottom w:val="nil"/>
            </w:tcBorders>
            <w:shd w:val="clear" w:color="auto" w:fill="auto"/>
            <w:noWrap/>
            <w:vAlign w:val="bottom"/>
          </w:tcPr>
          <w:p w14:paraId="20FAD379" w14:textId="77777777" w:rsidR="00F274B5" w:rsidRPr="001F21FE" w:rsidRDefault="00F274B5" w:rsidP="001F21FE">
            <w:pPr>
              <w:widowControl/>
              <w:wordWrap/>
              <w:autoSpaceDE/>
              <w:autoSpaceDN/>
              <w:spacing w:after="0" w:line="480" w:lineRule="auto"/>
              <w:jc w:val="left"/>
              <w:rPr>
                <w:rFonts w:ascii="Arial" w:eastAsia="Arial Unicode MS" w:hAnsi="Arial" w:cs="Arial"/>
                <w:color w:val="000000" w:themeColor="text1"/>
                <w:kern w:val="0"/>
                <w:szCs w:val="20"/>
              </w:rPr>
            </w:pPr>
          </w:p>
        </w:tc>
        <w:tc>
          <w:tcPr>
            <w:tcW w:w="996" w:type="pct"/>
            <w:gridSpan w:val="2"/>
            <w:tcBorders>
              <w:top w:val="single" w:sz="4" w:space="0" w:color="auto"/>
              <w:bottom w:val="nil"/>
            </w:tcBorders>
            <w:shd w:val="clear" w:color="auto" w:fill="auto"/>
            <w:noWrap/>
            <w:vAlign w:val="bottom"/>
          </w:tcPr>
          <w:p w14:paraId="0840E487" w14:textId="74320524" w:rsidR="00F274B5" w:rsidRPr="001F21FE" w:rsidRDefault="00F274B5" w:rsidP="001F21FE">
            <w:pPr>
              <w:widowControl/>
              <w:wordWrap/>
              <w:autoSpaceDE/>
              <w:autoSpaceDN/>
              <w:spacing w:after="0" w:line="480" w:lineRule="auto"/>
              <w:jc w:val="left"/>
              <w:rPr>
                <w:rFonts w:ascii="Arial" w:eastAsia="Arial Unicode MS" w:hAnsi="Arial" w:cs="Arial"/>
                <w:color w:val="000000" w:themeColor="text1"/>
                <w:kern w:val="0"/>
                <w:szCs w:val="20"/>
              </w:rPr>
            </w:pPr>
            <w:r w:rsidRPr="001F21FE">
              <w:rPr>
                <w:rFonts w:ascii="Arial" w:eastAsia="Arial Unicode MS" w:hAnsi="Arial" w:cs="Arial"/>
                <w:color w:val="000000" w:themeColor="text1"/>
                <w:kern w:val="0"/>
                <w:szCs w:val="20"/>
              </w:rPr>
              <w:t>After IPTW adjustment</w:t>
            </w:r>
          </w:p>
        </w:tc>
        <w:tc>
          <w:tcPr>
            <w:tcW w:w="836" w:type="pct"/>
            <w:gridSpan w:val="2"/>
            <w:tcBorders>
              <w:top w:val="single" w:sz="4" w:space="0" w:color="auto"/>
              <w:bottom w:val="nil"/>
            </w:tcBorders>
            <w:shd w:val="clear" w:color="auto" w:fill="auto"/>
            <w:noWrap/>
            <w:vAlign w:val="bottom"/>
          </w:tcPr>
          <w:p w14:paraId="3C8BB8DA" w14:textId="77777777" w:rsidR="00F274B5" w:rsidRPr="001F21FE" w:rsidRDefault="00F274B5" w:rsidP="001F21FE">
            <w:pPr>
              <w:widowControl/>
              <w:wordWrap/>
              <w:autoSpaceDE/>
              <w:autoSpaceDN/>
              <w:spacing w:after="0" w:line="480" w:lineRule="auto"/>
              <w:jc w:val="left"/>
              <w:rPr>
                <w:rFonts w:ascii="Arial" w:eastAsia="Arial Unicode MS" w:hAnsi="Arial" w:cs="Arial"/>
                <w:color w:val="000000" w:themeColor="text1"/>
                <w:kern w:val="0"/>
                <w:szCs w:val="20"/>
              </w:rPr>
            </w:pPr>
          </w:p>
        </w:tc>
      </w:tr>
      <w:tr w:rsidR="00E0044F" w:rsidRPr="001F21FE" w14:paraId="33534FF7" w14:textId="77777777" w:rsidTr="00A86A27">
        <w:trPr>
          <w:trHeight w:val="286"/>
        </w:trPr>
        <w:tc>
          <w:tcPr>
            <w:tcW w:w="1260" w:type="pct"/>
            <w:tcBorders>
              <w:top w:val="nil"/>
            </w:tcBorders>
            <w:shd w:val="clear" w:color="auto" w:fill="auto"/>
            <w:noWrap/>
            <w:vAlign w:val="bottom"/>
            <w:hideMark/>
          </w:tcPr>
          <w:p w14:paraId="36EC1C68" w14:textId="77777777" w:rsidR="006A5474" w:rsidRPr="001F21FE" w:rsidRDefault="006A5474" w:rsidP="001F21FE">
            <w:pPr>
              <w:widowControl/>
              <w:wordWrap/>
              <w:autoSpaceDE/>
              <w:autoSpaceDN/>
              <w:spacing w:after="0" w:line="480" w:lineRule="auto"/>
              <w:jc w:val="left"/>
              <w:rPr>
                <w:rFonts w:ascii="Arial" w:eastAsia="Arial Unicode MS" w:hAnsi="Arial" w:cs="Arial"/>
                <w:color w:val="000000" w:themeColor="text1"/>
                <w:kern w:val="0"/>
                <w:szCs w:val="20"/>
              </w:rPr>
            </w:pPr>
          </w:p>
        </w:tc>
        <w:tc>
          <w:tcPr>
            <w:tcW w:w="760" w:type="pct"/>
            <w:tcBorders>
              <w:top w:val="nil"/>
              <w:bottom w:val="single" w:sz="4" w:space="0" w:color="auto"/>
            </w:tcBorders>
            <w:shd w:val="clear" w:color="auto" w:fill="auto"/>
            <w:noWrap/>
            <w:vAlign w:val="bottom"/>
            <w:hideMark/>
          </w:tcPr>
          <w:p w14:paraId="1B0A860B" w14:textId="77777777" w:rsidR="006A5474" w:rsidRPr="001F21FE" w:rsidRDefault="006A5474" w:rsidP="001F21FE">
            <w:pPr>
              <w:widowControl/>
              <w:wordWrap/>
              <w:autoSpaceDE/>
              <w:autoSpaceDN/>
              <w:spacing w:after="0" w:line="480" w:lineRule="auto"/>
              <w:jc w:val="left"/>
              <w:rPr>
                <w:rFonts w:ascii="Arial" w:eastAsia="Arial Unicode MS" w:hAnsi="Arial" w:cs="Arial"/>
                <w:color w:val="000000" w:themeColor="text1"/>
                <w:kern w:val="0"/>
                <w:szCs w:val="20"/>
              </w:rPr>
            </w:pPr>
            <w:r w:rsidRPr="001F21FE">
              <w:rPr>
                <w:rFonts w:ascii="Arial" w:eastAsia="Arial Unicode MS" w:hAnsi="Arial" w:cs="Arial"/>
                <w:color w:val="000000" w:themeColor="text1"/>
                <w:kern w:val="0"/>
                <w:szCs w:val="20"/>
              </w:rPr>
              <w:t>Univariate</w:t>
            </w:r>
          </w:p>
        </w:tc>
        <w:tc>
          <w:tcPr>
            <w:tcW w:w="289" w:type="pct"/>
            <w:tcBorders>
              <w:top w:val="nil"/>
              <w:bottom w:val="single" w:sz="4" w:space="0" w:color="auto"/>
            </w:tcBorders>
            <w:shd w:val="clear" w:color="auto" w:fill="auto"/>
            <w:noWrap/>
            <w:vAlign w:val="bottom"/>
            <w:hideMark/>
          </w:tcPr>
          <w:p w14:paraId="7DC519AD" w14:textId="77777777" w:rsidR="006A5474" w:rsidRPr="001F21FE" w:rsidRDefault="006A5474" w:rsidP="001F21FE">
            <w:pPr>
              <w:widowControl/>
              <w:wordWrap/>
              <w:autoSpaceDE/>
              <w:autoSpaceDN/>
              <w:spacing w:after="0" w:line="480" w:lineRule="auto"/>
              <w:jc w:val="left"/>
              <w:rPr>
                <w:rFonts w:ascii="Arial" w:eastAsia="Arial Unicode MS" w:hAnsi="Arial" w:cs="Arial"/>
                <w:color w:val="000000" w:themeColor="text1"/>
                <w:kern w:val="0"/>
                <w:szCs w:val="20"/>
              </w:rPr>
            </w:pPr>
          </w:p>
        </w:tc>
        <w:tc>
          <w:tcPr>
            <w:tcW w:w="570" w:type="pct"/>
            <w:tcBorders>
              <w:top w:val="nil"/>
              <w:bottom w:val="single" w:sz="4" w:space="0" w:color="auto"/>
            </w:tcBorders>
            <w:shd w:val="clear" w:color="auto" w:fill="auto"/>
            <w:noWrap/>
            <w:vAlign w:val="bottom"/>
            <w:hideMark/>
          </w:tcPr>
          <w:p w14:paraId="0D76FF35" w14:textId="6555F485" w:rsidR="006A5474" w:rsidRPr="001F21FE" w:rsidRDefault="006A5474" w:rsidP="001F21FE">
            <w:pPr>
              <w:widowControl/>
              <w:wordWrap/>
              <w:autoSpaceDE/>
              <w:autoSpaceDN/>
              <w:spacing w:after="0" w:line="480" w:lineRule="auto"/>
              <w:jc w:val="left"/>
              <w:rPr>
                <w:rFonts w:ascii="Arial" w:eastAsia="Arial Unicode MS" w:hAnsi="Arial" w:cs="Arial"/>
                <w:color w:val="000000" w:themeColor="text1"/>
                <w:kern w:val="0"/>
                <w:szCs w:val="20"/>
              </w:rPr>
            </w:pPr>
            <w:r w:rsidRPr="001F21FE">
              <w:rPr>
                <w:rFonts w:ascii="Arial" w:eastAsia="Arial Unicode MS" w:hAnsi="Arial" w:cs="Arial"/>
                <w:color w:val="000000" w:themeColor="text1"/>
                <w:kern w:val="0"/>
                <w:szCs w:val="20"/>
              </w:rPr>
              <w:t>Multivariate</w:t>
            </w:r>
            <w:r w:rsidR="00F274B5" w:rsidRPr="001F21FE">
              <w:rPr>
                <w:rFonts w:ascii="Arial" w:eastAsia="Arial Unicode MS" w:hAnsi="Arial" w:cs="Arial"/>
                <w:color w:val="000000" w:themeColor="text1"/>
                <w:kern w:val="0"/>
                <w:szCs w:val="20"/>
              </w:rPr>
              <w:t>*</w:t>
            </w:r>
          </w:p>
        </w:tc>
        <w:tc>
          <w:tcPr>
            <w:tcW w:w="289" w:type="pct"/>
            <w:tcBorders>
              <w:top w:val="nil"/>
              <w:bottom w:val="single" w:sz="4" w:space="0" w:color="auto"/>
            </w:tcBorders>
            <w:shd w:val="clear" w:color="auto" w:fill="auto"/>
            <w:noWrap/>
            <w:vAlign w:val="bottom"/>
            <w:hideMark/>
          </w:tcPr>
          <w:p w14:paraId="29294363" w14:textId="77777777" w:rsidR="006A5474" w:rsidRPr="001F21FE" w:rsidRDefault="006A5474" w:rsidP="001F21FE">
            <w:pPr>
              <w:widowControl/>
              <w:wordWrap/>
              <w:autoSpaceDE/>
              <w:autoSpaceDN/>
              <w:spacing w:after="0" w:line="480" w:lineRule="auto"/>
              <w:jc w:val="left"/>
              <w:rPr>
                <w:rFonts w:ascii="Arial" w:eastAsia="Arial Unicode MS" w:hAnsi="Arial" w:cs="Arial"/>
                <w:color w:val="000000" w:themeColor="text1"/>
                <w:kern w:val="0"/>
                <w:szCs w:val="20"/>
              </w:rPr>
            </w:pPr>
          </w:p>
        </w:tc>
        <w:tc>
          <w:tcPr>
            <w:tcW w:w="706" w:type="pct"/>
            <w:tcBorders>
              <w:top w:val="nil"/>
              <w:bottom w:val="single" w:sz="4" w:space="0" w:color="auto"/>
            </w:tcBorders>
            <w:shd w:val="clear" w:color="auto" w:fill="auto"/>
            <w:noWrap/>
            <w:vAlign w:val="bottom"/>
            <w:hideMark/>
          </w:tcPr>
          <w:p w14:paraId="2F0AEA1C" w14:textId="77777777" w:rsidR="006A5474" w:rsidRPr="001F21FE" w:rsidRDefault="006A5474" w:rsidP="001F21FE">
            <w:pPr>
              <w:widowControl/>
              <w:wordWrap/>
              <w:autoSpaceDE/>
              <w:autoSpaceDN/>
              <w:spacing w:after="0" w:line="480" w:lineRule="auto"/>
              <w:jc w:val="left"/>
              <w:rPr>
                <w:rFonts w:ascii="Arial" w:eastAsia="Arial Unicode MS" w:hAnsi="Arial" w:cs="Arial"/>
                <w:color w:val="000000" w:themeColor="text1"/>
                <w:kern w:val="0"/>
                <w:szCs w:val="20"/>
              </w:rPr>
            </w:pPr>
            <w:r w:rsidRPr="001F21FE">
              <w:rPr>
                <w:rFonts w:ascii="Arial" w:eastAsia="Arial Unicode MS" w:hAnsi="Arial" w:cs="Arial"/>
                <w:color w:val="000000" w:themeColor="text1"/>
                <w:kern w:val="0"/>
                <w:szCs w:val="20"/>
              </w:rPr>
              <w:t>Univariate</w:t>
            </w:r>
          </w:p>
        </w:tc>
        <w:tc>
          <w:tcPr>
            <w:tcW w:w="290" w:type="pct"/>
            <w:tcBorders>
              <w:top w:val="nil"/>
              <w:bottom w:val="single" w:sz="4" w:space="0" w:color="auto"/>
            </w:tcBorders>
            <w:shd w:val="clear" w:color="auto" w:fill="auto"/>
            <w:noWrap/>
            <w:vAlign w:val="bottom"/>
            <w:hideMark/>
          </w:tcPr>
          <w:p w14:paraId="50C3F00A" w14:textId="77777777" w:rsidR="006A5474" w:rsidRPr="001F21FE" w:rsidRDefault="006A5474" w:rsidP="001F21FE">
            <w:pPr>
              <w:widowControl/>
              <w:wordWrap/>
              <w:autoSpaceDE/>
              <w:autoSpaceDN/>
              <w:spacing w:after="0" w:line="480" w:lineRule="auto"/>
              <w:jc w:val="left"/>
              <w:rPr>
                <w:rFonts w:ascii="Arial" w:eastAsia="Arial Unicode MS" w:hAnsi="Arial" w:cs="Arial"/>
                <w:color w:val="000000" w:themeColor="text1"/>
                <w:kern w:val="0"/>
                <w:szCs w:val="20"/>
              </w:rPr>
            </w:pPr>
          </w:p>
        </w:tc>
        <w:tc>
          <w:tcPr>
            <w:tcW w:w="836" w:type="pct"/>
            <w:gridSpan w:val="2"/>
            <w:tcBorders>
              <w:top w:val="nil"/>
              <w:bottom w:val="single" w:sz="4" w:space="0" w:color="auto"/>
            </w:tcBorders>
            <w:shd w:val="clear" w:color="auto" w:fill="auto"/>
            <w:noWrap/>
            <w:vAlign w:val="bottom"/>
            <w:hideMark/>
          </w:tcPr>
          <w:p w14:paraId="07DC8E7F" w14:textId="2E9B4CB6" w:rsidR="006A5474" w:rsidRPr="001F21FE" w:rsidRDefault="006A5474" w:rsidP="001F21FE">
            <w:pPr>
              <w:widowControl/>
              <w:wordWrap/>
              <w:autoSpaceDE/>
              <w:autoSpaceDN/>
              <w:spacing w:after="0" w:line="480" w:lineRule="auto"/>
              <w:jc w:val="left"/>
              <w:rPr>
                <w:rFonts w:ascii="Arial" w:eastAsia="Arial Unicode MS" w:hAnsi="Arial" w:cs="Arial"/>
                <w:color w:val="000000" w:themeColor="text1"/>
                <w:kern w:val="0"/>
                <w:szCs w:val="20"/>
              </w:rPr>
            </w:pPr>
            <w:r w:rsidRPr="001F21FE">
              <w:rPr>
                <w:rFonts w:ascii="Arial" w:eastAsia="Arial Unicode MS" w:hAnsi="Arial" w:cs="Arial"/>
                <w:color w:val="000000" w:themeColor="text1"/>
                <w:kern w:val="0"/>
                <w:szCs w:val="20"/>
              </w:rPr>
              <w:t>Multivariate</w:t>
            </w:r>
            <w:r w:rsidR="00F274B5" w:rsidRPr="001F21FE">
              <w:rPr>
                <w:rFonts w:ascii="Arial" w:eastAsia="Arial Unicode MS" w:hAnsi="Arial" w:cs="Arial"/>
                <w:color w:val="000000" w:themeColor="text1"/>
                <w:kern w:val="0"/>
                <w:szCs w:val="20"/>
                <w:vertAlign w:val="superscript"/>
              </w:rPr>
              <w:t>†</w:t>
            </w:r>
          </w:p>
        </w:tc>
      </w:tr>
      <w:tr w:rsidR="00E0044F" w:rsidRPr="001F21FE" w14:paraId="52162518" w14:textId="77777777" w:rsidTr="00A86A27">
        <w:trPr>
          <w:trHeight w:val="300"/>
        </w:trPr>
        <w:tc>
          <w:tcPr>
            <w:tcW w:w="1260" w:type="pct"/>
            <w:tcBorders>
              <w:bottom w:val="single" w:sz="4" w:space="0" w:color="auto"/>
            </w:tcBorders>
            <w:shd w:val="clear" w:color="auto" w:fill="auto"/>
            <w:noWrap/>
            <w:vAlign w:val="bottom"/>
            <w:hideMark/>
          </w:tcPr>
          <w:p w14:paraId="1E2F888E" w14:textId="77777777" w:rsidR="006A5474" w:rsidRPr="001F21FE" w:rsidRDefault="006A5474" w:rsidP="001F21FE">
            <w:pPr>
              <w:widowControl/>
              <w:wordWrap/>
              <w:autoSpaceDE/>
              <w:autoSpaceDN/>
              <w:spacing w:after="0" w:line="480" w:lineRule="auto"/>
              <w:jc w:val="left"/>
              <w:rPr>
                <w:rFonts w:ascii="Arial" w:eastAsia="Arial Unicode MS" w:hAnsi="Arial" w:cs="Arial"/>
                <w:color w:val="000000" w:themeColor="text1"/>
                <w:kern w:val="0"/>
                <w:szCs w:val="20"/>
              </w:rPr>
            </w:pPr>
          </w:p>
        </w:tc>
        <w:tc>
          <w:tcPr>
            <w:tcW w:w="760" w:type="pct"/>
            <w:tcBorders>
              <w:top w:val="single" w:sz="4" w:space="0" w:color="auto"/>
              <w:bottom w:val="single" w:sz="4" w:space="0" w:color="auto"/>
            </w:tcBorders>
            <w:shd w:val="clear" w:color="auto" w:fill="auto"/>
            <w:noWrap/>
            <w:vAlign w:val="bottom"/>
            <w:hideMark/>
          </w:tcPr>
          <w:p w14:paraId="2096708D" w14:textId="56E02E28" w:rsidR="006A5474" w:rsidRPr="001F21FE" w:rsidRDefault="00D94282" w:rsidP="001F21FE">
            <w:pPr>
              <w:widowControl/>
              <w:wordWrap/>
              <w:autoSpaceDE/>
              <w:autoSpaceDN/>
              <w:spacing w:after="0" w:line="480" w:lineRule="auto"/>
              <w:jc w:val="left"/>
              <w:rPr>
                <w:rFonts w:ascii="Arial" w:eastAsia="Arial Unicode MS" w:hAnsi="Arial" w:cs="Arial"/>
                <w:color w:val="000000" w:themeColor="text1"/>
                <w:kern w:val="0"/>
                <w:szCs w:val="20"/>
              </w:rPr>
            </w:pPr>
            <w:r w:rsidRPr="001F21FE">
              <w:rPr>
                <w:rFonts w:ascii="Arial" w:eastAsia="Arial Unicode MS" w:hAnsi="Arial" w:cs="Arial"/>
                <w:color w:val="000000" w:themeColor="text1"/>
                <w:kern w:val="0"/>
                <w:szCs w:val="20"/>
              </w:rPr>
              <w:t>H</w:t>
            </w:r>
            <w:r w:rsidR="006A5474" w:rsidRPr="001F21FE">
              <w:rPr>
                <w:rFonts w:ascii="Arial" w:eastAsia="Arial Unicode MS" w:hAnsi="Arial" w:cs="Arial"/>
                <w:color w:val="000000" w:themeColor="text1"/>
                <w:kern w:val="0"/>
                <w:szCs w:val="20"/>
              </w:rPr>
              <w:t>R</w:t>
            </w:r>
            <w:r w:rsidR="0002522C" w:rsidRPr="001F21FE">
              <w:rPr>
                <w:rFonts w:ascii="Arial" w:eastAsia="Arial Unicode MS" w:hAnsi="Arial" w:cs="Arial"/>
                <w:color w:val="000000" w:themeColor="text1"/>
                <w:kern w:val="0"/>
                <w:szCs w:val="20"/>
              </w:rPr>
              <w:t xml:space="preserve"> </w:t>
            </w:r>
            <w:r w:rsidR="007C2A64" w:rsidRPr="001F21FE">
              <w:rPr>
                <w:rFonts w:ascii="Arial" w:eastAsia="Arial Unicode MS" w:hAnsi="Arial" w:cs="Arial"/>
                <w:color w:val="000000" w:themeColor="text1"/>
                <w:kern w:val="0"/>
                <w:szCs w:val="20"/>
              </w:rPr>
              <w:t>[</w:t>
            </w:r>
            <w:r w:rsidR="006A5474" w:rsidRPr="001F21FE">
              <w:rPr>
                <w:rFonts w:ascii="Arial" w:eastAsia="Arial Unicode MS" w:hAnsi="Arial" w:cs="Arial"/>
                <w:color w:val="000000" w:themeColor="text1"/>
                <w:kern w:val="0"/>
                <w:szCs w:val="20"/>
              </w:rPr>
              <w:t>95% CI</w:t>
            </w:r>
            <w:r w:rsidR="007C2A64" w:rsidRPr="001F21FE">
              <w:rPr>
                <w:rFonts w:ascii="Arial" w:eastAsia="Arial Unicode MS" w:hAnsi="Arial" w:cs="Arial"/>
                <w:color w:val="000000" w:themeColor="text1"/>
                <w:kern w:val="0"/>
                <w:szCs w:val="20"/>
              </w:rPr>
              <w:t>]</w:t>
            </w:r>
          </w:p>
        </w:tc>
        <w:tc>
          <w:tcPr>
            <w:tcW w:w="289" w:type="pct"/>
            <w:tcBorders>
              <w:top w:val="single" w:sz="4" w:space="0" w:color="auto"/>
              <w:bottom w:val="single" w:sz="4" w:space="0" w:color="auto"/>
            </w:tcBorders>
            <w:shd w:val="clear" w:color="auto" w:fill="auto"/>
            <w:noWrap/>
            <w:vAlign w:val="bottom"/>
            <w:hideMark/>
          </w:tcPr>
          <w:p w14:paraId="46689735" w14:textId="0AD65A8B" w:rsidR="006A5474" w:rsidRPr="001F21FE" w:rsidRDefault="006A5474" w:rsidP="001F21FE">
            <w:pPr>
              <w:widowControl/>
              <w:wordWrap/>
              <w:autoSpaceDE/>
              <w:autoSpaceDN/>
              <w:spacing w:after="0" w:line="480" w:lineRule="auto"/>
              <w:jc w:val="left"/>
              <w:rPr>
                <w:rFonts w:ascii="Arial" w:eastAsia="Arial Unicode MS" w:hAnsi="Arial" w:cs="Arial"/>
                <w:color w:val="000000" w:themeColor="text1"/>
                <w:kern w:val="0"/>
                <w:szCs w:val="20"/>
              </w:rPr>
            </w:pPr>
            <w:r w:rsidRPr="001F21FE">
              <w:rPr>
                <w:rFonts w:ascii="Arial" w:eastAsia="Arial Unicode MS" w:hAnsi="Arial" w:cs="Arial"/>
                <w:iCs/>
                <w:color w:val="000000" w:themeColor="text1"/>
                <w:kern w:val="0"/>
                <w:szCs w:val="20"/>
              </w:rPr>
              <w:t>P</w:t>
            </w:r>
            <w:r w:rsidR="001774D2" w:rsidRPr="001F21FE">
              <w:rPr>
                <w:rFonts w:ascii="Arial" w:eastAsia="Arial Unicode MS" w:hAnsi="Arial" w:cs="Arial"/>
                <w:iCs/>
                <w:color w:val="000000" w:themeColor="text1"/>
                <w:kern w:val="0"/>
                <w:szCs w:val="20"/>
              </w:rPr>
              <w:t xml:space="preserve"> </w:t>
            </w:r>
            <w:r w:rsidRPr="001F21FE">
              <w:rPr>
                <w:rFonts w:ascii="Arial" w:eastAsia="Arial Unicode MS" w:hAnsi="Arial" w:cs="Arial"/>
                <w:color w:val="000000" w:themeColor="text1"/>
                <w:kern w:val="0"/>
                <w:szCs w:val="20"/>
              </w:rPr>
              <w:t>value</w:t>
            </w:r>
          </w:p>
        </w:tc>
        <w:tc>
          <w:tcPr>
            <w:tcW w:w="570" w:type="pct"/>
            <w:tcBorders>
              <w:top w:val="single" w:sz="4" w:space="0" w:color="auto"/>
              <w:bottom w:val="single" w:sz="4" w:space="0" w:color="auto"/>
            </w:tcBorders>
            <w:shd w:val="clear" w:color="auto" w:fill="auto"/>
            <w:noWrap/>
            <w:vAlign w:val="bottom"/>
            <w:hideMark/>
          </w:tcPr>
          <w:p w14:paraId="357D98C2" w14:textId="7CCE1AAB" w:rsidR="006A5474" w:rsidRPr="001F21FE" w:rsidRDefault="00D94282" w:rsidP="001F21FE">
            <w:pPr>
              <w:widowControl/>
              <w:wordWrap/>
              <w:autoSpaceDE/>
              <w:autoSpaceDN/>
              <w:spacing w:after="0" w:line="480" w:lineRule="auto"/>
              <w:jc w:val="left"/>
              <w:rPr>
                <w:rFonts w:ascii="Arial" w:eastAsia="Arial Unicode MS" w:hAnsi="Arial" w:cs="Arial"/>
                <w:color w:val="000000" w:themeColor="text1"/>
                <w:kern w:val="0"/>
                <w:szCs w:val="20"/>
              </w:rPr>
            </w:pPr>
            <w:r w:rsidRPr="001F21FE">
              <w:rPr>
                <w:rFonts w:ascii="Arial" w:eastAsia="Arial Unicode MS" w:hAnsi="Arial" w:cs="Arial"/>
                <w:color w:val="000000" w:themeColor="text1"/>
                <w:kern w:val="0"/>
                <w:szCs w:val="20"/>
              </w:rPr>
              <w:t xml:space="preserve">HR </w:t>
            </w:r>
            <w:r w:rsidR="007C2A64" w:rsidRPr="001F21FE">
              <w:rPr>
                <w:rFonts w:ascii="Arial" w:eastAsia="Arial Unicode MS" w:hAnsi="Arial" w:cs="Arial"/>
                <w:color w:val="000000" w:themeColor="text1"/>
                <w:kern w:val="0"/>
                <w:szCs w:val="20"/>
              </w:rPr>
              <w:t>[</w:t>
            </w:r>
            <w:r w:rsidR="006A5474" w:rsidRPr="001F21FE">
              <w:rPr>
                <w:rFonts w:ascii="Arial" w:eastAsia="Arial Unicode MS" w:hAnsi="Arial" w:cs="Arial"/>
                <w:color w:val="000000" w:themeColor="text1"/>
                <w:kern w:val="0"/>
                <w:szCs w:val="20"/>
              </w:rPr>
              <w:t>95% CI</w:t>
            </w:r>
            <w:r w:rsidR="007C2A64" w:rsidRPr="001F21FE">
              <w:rPr>
                <w:rFonts w:ascii="Arial" w:eastAsia="Arial Unicode MS" w:hAnsi="Arial" w:cs="Arial"/>
                <w:color w:val="000000" w:themeColor="text1"/>
                <w:kern w:val="0"/>
                <w:szCs w:val="20"/>
              </w:rPr>
              <w:t>]</w:t>
            </w:r>
          </w:p>
        </w:tc>
        <w:tc>
          <w:tcPr>
            <w:tcW w:w="289" w:type="pct"/>
            <w:tcBorders>
              <w:top w:val="single" w:sz="4" w:space="0" w:color="auto"/>
              <w:bottom w:val="single" w:sz="4" w:space="0" w:color="auto"/>
            </w:tcBorders>
            <w:shd w:val="clear" w:color="auto" w:fill="auto"/>
            <w:noWrap/>
            <w:vAlign w:val="bottom"/>
            <w:hideMark/>
          </w:tcPr>
          <w:p w14:paraId="2E5A0F69" w14:textId="296C6D93" w:rsidR="006A5474" w:rsidRPr="001F21FE" w:rsidRDefault="001774D2" w:rsidP="001F21FE">
            <w:pPr>
              <w:widowControl/>
              <w:wordWrap/>
              <w:autoSpaceDE/>
              <w:autoSpaceDN/>
              <w:spacing w:after="0" w:line="480" w:lineRule="auto"/>
              <w:jc w:val="left"/>
              <w:rPr>
                <w:rFonts w:ascii="Arial" w:eastAsia="Arial Unicode MS" w:hAnsi="Arial" w:cs="Arial"/>
                <w:color w:val="000000" w:themeColor="text1"/>
                <w:kern w:val="0"/>
                <w:szCs w:val="20"/>
              </w:rPr>
            </w:pPr>
            <w:r w:rsidRPr="001F21FE">
              <w:rPr>
                <w:rFonts w:ascii="Arial" w:eastAsia="Arial Unicode MS" w:hAnsi="Arial" w:cs="Arial"/>
                <w:iCs/>
                <w:color w:val="000000" w:themeColor="text1"/>
                <w:kern w:val="0"/>
                <w:szCs w:val="20"/>
              </w:rPr>
              <w:t xml:space="preserve">P </w:t>
            </w:r>
            <w:r w:rsidRPr="001F21FE">
              <w:rPr>
                <w:rFonts w:ascii="Arial" w:eastAsia="Arial Unicode MS" w:hAnsi="Arial" w:cs="Arial"/>
                <w:color w:val="000000" w:themeColor="text1"/>
                <w:kern w:val="0"/>
                <w:szCs w:val="20"/>
              </w:rPr>
              <w:t>value</w:t>
            </w:r>
          </w:p>
        </w:tc>
        <w:tc>
          <w:tcPr>
            <w:tcW w:w="706" w:type="pct"/>
            <w:tcBorders>
              <w:top w:val="single" w:sz="4" w:space="0" w:color="auto"/>
              <w:bottom w:val="single" w:sz="4" w:space="0" w:color="auto"/>
            </w:tcBorders>
            <w:shd w:val="clear" w:color="auto" w:fill="auto"/>
            <w:noWrap/>
            <w:vAlign w:val="bottom"/>
            <w:hideMark/>
          </w:tcPr>
          <w:p w14:paraId="500E0D2E" w14:textId="50F71DA6" w:rsidR="006A5474" w:rsidRPr="001F21FE" w:rsidRDefault="00D94282" w:rsidP="001F21FE">
            <w:pPr>
              <w:widowControl/>
              <w:wordWrap/>
              <w:autoSpaceDE/>
              <w:autoSpaceDN/>
              <w:spacing w:after="0" w:line="480" w:lineRule="auto"/>
              <w:jc w:val="left"/>
              <w:rPr>
                <w:rFonts w:ascii="Arial" w:eastAsia="Arial Unicode MS" w:hAnsi="Arial" w:cs="Arial"/>
                <w:color w:val="000000" w:themeColor="text1"/>
                <w:kern w:val="0"/>
                <w:szCs w:val="20"/>
              </w:rPr>
            </w:pPr>
            <w:r w:rsidRPr="001F21FE">
              <w:rPr>
                <w:rFonts w:ascii="Arial" w:eastAsia="Arial Unicode MS" w:hAnsi="Arial" w:cs="Arial"/>
                <w:color w:val="000000" w:themeColor="text1"/>
                <w:kern w:val="0"/>
                <w:szCs w:val="20"/>
              </w:rPr>
              <w:t xml:space="preserve">HR </w:t>
            </w:r>
            <w:r w:rsidR="007C2A64" w:rsidRPr="001F21FE">
              <w:rPr>
                <w:rFonts w:ascii="Arial" w:eastAsia="Arial Unicode MS" w:hAnsi="Arial" w:cs="Arial"/>
                <w:color w:val="000000" w:themeColor="text1"/>
                <w:kern w:val="0"/>
                <w:szCs w:val="20"/>
              </w:rPr>
              <w:t>[</w:t>
            </w:r>
            <w:r w:rsidR="006A5474" w:rsidRPr="001F21FE">
              <w:rPr>
                <w:rFonts w:ascii="Arial" w:eastAsia="Arial Unicode MS" w:hAnsi="Arial" w:cs="Arial"/>
                <w:color w:val="000000" w:themeColor="text1"/>
                <w:kern w:val="0"/>
                <w:szCs w:val="20"/>
              </w:rPr>
              <w:t>95% CI</w:t>
            </w:r>
            <w:r w:rsidR="007C2A64" w:rsidRPr="001F21FE">
              <w:rPr>
                <w:rFonts w:ascii="Arial" w:eastAsia="Arial Unicode MS" w:hAnsi="Arial" w:cs="Arial"/>
                <w:color w:val="000000" w:themeColor="text1"/>
                <w:kern w:val="0"/>
                <w:szCs w:val="20"/>
              </w:rPr>
              <w:t>]</w:t>
            </w:r>
          </w:p>
        </w:tc>
        <w:tc>
          <w:tcPr>
            <w:tcW w:w="290" w:type="pct"/>
            <w:tcBorders>
              <w:top w:val="single" w:sz="4" w:space="0" w:color="auto"/>
              <w:bottom w:val="single" w:sz="4" w:space="0" w:color="auto"/>
            </w:tcBorders>
            <w:shd w:val="clear" w:color="auto" w:fill="auto"/>
            <w:noWrap/>
            <w:vAlign w:val="bottom"/>
            <w:hideMark/>
          </w:tcPr>
          <w:p w14:paraId="461C75FA" w14:textId="0988F0C9" w:rsidR="006A5474" w:rsidRPr="001F21FE" w:rsidRDefault="001774D2" w:rsidP="001F21FE">
            <w:pPr>
              <w:widowControl/>
              <w:wordWrap/>
              <w:autoSpaceDE/>
              <w:autoSpaceDN/>
              <w:spacing w:after="0" w:line="480" w:lineRule="auto"/>
              <w:jc w:val="left"/>
              <w:rPr>
                <w:rFonts w:ascii="Arial" w:eastAsia="Arial Unicode MS" w:hAnsi="Arial" w:cs="Arial"/>
                <w:color w:val="000000" w:themeColor="text1"/>
                <w:kern w:val="0"/>
                <w:szCs w:val="20"/>
              </w:rPr>
            </w:pPr>
            <w:r w:rsidRPr="001F21FE">
              <w:rPr>
                <w:rFonts w:ascii="Arial" w:eastAsia="Arial Unicode MS" w:hAnsi="Arial" w:cs="Arial"/>
                <w:iCs/>
                <w:color w:val="000000" w:themeColor="text1"/>
                <w:kern w:val="0"/>
                <w:szCs w:val="20"/>
              </w:rPr>
              <w:t xml:space="preserve">P </w:t>
            </w:r>
            <w:r w:rsidRPr="001F21FE">
              <w:rPr>
                <w:rFonts w:ascii="Arial" w:eastAsia="Arial Unicode MS" w:hAnsi="Arial" w:cs="Arial"/>
                <w:color w:val="000000" w:themeColor="text1"/>
                <w:kern w:val="0"/>
                <w:szCs w:val="20"/>
              </w:rPr>
              <w:t>value</w:t>
            </w:r>
          </w:p>
        </w:tc>
        <w:tc>
          <w:tcPr>
            <w:tcW w:w="547" w:type="pct"/>
            <w:tcBorders>
              <w:top w:val="single" w:sz="4" w:space="0" w:color="auto"/>
              <w:bottom w:val="single" w:sz="4" w:space="0" w:color="auto"/>
            </w:tcBorders>
            <w:shd w:val="clear" w:color="auto" w:fill="auto"/>
            <w:noWrap/>
            <w:vAlign w:val="bottom"/>
            <w:hideMark/>
          </w:tcPr>
          <w:p w14:paraId="4CE6D09C" w14:textId="3339416C" w:rsidR="006A5474" w:rsidRPr="001F21FE" w:rsidRDefault="00D94282" w:rsidP="001F21FE">
            <w:pPr>
              <w:widowControl/>
              <w:wordWrap/>
              <w:autoSpaceDE/>
              <w:autoSpaceDN/>
              <w:spacing w:after="0" w:line="480" w:lineRule="auto"/>
              <w:jc w:val="left"/>
              <w:rPr>
                <w:rFonts w:ascii="Arial" w:eastAsia="Arial Unicode MS" w:hAnsi="Arial" w:cs="Arial"/>
                <w:color w:val="000000" w:themeColor="text1"/>
                <w:kern w:val="0"/>
                <w:szCs w:val="20"/>
              </w:rPr>
            </w:pPr>
            <w:r w:rsidRPr="001F21FE">
              <w:rPr>
                <w:rFonts w:ascii="Arial" w:eastAsia="Arial Unicode MS" w:hAnsi="Arial" w:cs="Arial"/>
                <w:color w:val="000000" w:themeColor="text1"/>
                <w:kern w:val="0"/>
                <w:szCs w:val="20"/>
              </w:rPr>
              <w:t xml:space="preserve">HR </w:t>
            </w:r>
            <w:r w:rsidR="007C2A64" w:rsidRPr="001F21FE">
              <w:rPr>
                <w:rFonts w:ascii="Arial" w:eastAsia="Arial Unicode MS" w:hAnsi="Arial" w:cs="Arial"/>
                <w:color w:val="000000" w:themeColor="text1"/>
                <w:kern w:val="0"/>
                <w:szCs w:val="20"/>
              </w:rPr>
              <w:t>[</w:t>
            </w:r>
            <w:r w:rsidR="006A5474" w:rsidRPr="001F21FE">
              <w:rPr>
                <w:rFonts w:ascii="Arial" w:eastAsia="Arial Unicode MS" w:hAnsi="Arial" w:cs="Arial"/>
                <w:color w:val="000000" w:themeColor="text1"/>
                <w:kern w:val="0"/>
                <w:szCs w:val="20"/>
              </w:rPr>
              <w:t>95% CI</w:t>
            </w:r>
            <w:r w:rsidR="007C2A64" w:rsidRPr="001F21FE">
              <w:rPr>
                <w:rFonts w:ascii="Arial" w:eastAsia="Arial Unicode MS" w:hAnsi="Arial" w:cs="Arial"/>
                <w:color w:val="000000" w:themeColor="text1"/>
                <w:kern w:val="0"/>
                <w:szCs w:val="20"/>
              </w:rPr>
              <w:t>]</w:t>
            </w:r>
          </w:p>
        </w:tc>
        <w:tc>
          <w:tcPr>
            <w:tcW w:w="289" w:type="pct"/>
            <w:tcBorders>
              <w:top w:val="single" w:sz="4" w:space="0" w:color="auto"/>
              <w:bottom w:val="single" w:sz="4" w:space="0" w:color="auto"/>
            </w:tcBorders>
            <w:shd w:val="clear" w:color="auto" w:fill="auto"/>
            <w:noWrap/>
            <w:vAlign w:val="bottom"/>
            <w:hideMark/>
          </w:tcPr>
          <w:p w14:paraId="4DDDD3E0" w14:textId="7B57CAC1" w:rsidR="006A5474" w:rsidRPr="001F21FE" w:rsidRDefault="001774D2" w:rsidP="001F21FE">
            <w:pPr>
              <w:widowControl/>
              <w:wordWrap/>
              <w:autoSpaceDE/>
              <w:autoSpaceDN/>
              <w:spacing w:after="0" w:line="480" w:lineRule="auto"/>
              <w:jc w:val="left"/>
              <w:rPr>
                <w:rFonts w:ascii="Arial" w:eastAsia="Arial Unicode MS" w:hAnsi="Arial" w:cs="Arial"/>
                <w:color w:val="000000" w:themeColor="text1"/>
                <w:kern w:val="0"/>
                <w:szCs w:val="20"/>
              </w:rPr>
            </w:pPr>
            <w:r w:rsidRPr="001F21FE">
              <w:rPr>
                <w:rFonts w:ascii="Arial" w:eastAsia="Arial Unicode MS" w:hAnsi="Arial" w:cs="Arial"/>
                <w:iCs/>
                <w:color w:val="000000" w:themeColor="text1"/>
                <w:kern w:val="0"/>
                <w:szCs w:val="20"/>
              </w:rPr>
              <w:t xml:space="preserve">P </w:t>
            </w:r>
            <w:r w:rsidRPr="001F21FE">
              <w:rPr>
                <w:rFonts w:ascii="Arial" w:eastAsia="Arial Unicode MS" w:hAnsi="Arial" w:cs="Arial"/>
                <w:color w:val="000000" w:themeColor="text1"/>
                <w:kern w:val="0"/>
                <w:szCs w:val="20"/>
              </w:rPr>
              <w:t>value</w:t>
            </w:r>
          </w:p>
        </w:tc>
      </w:tr>
      <w:tr w:rsidR="005723A3" w:rsidRPr="001F21FE" w14:paraId="332E95F2" w14:textId="77777777" w:rsidTr="00A86A27">
        <w:trPr>
          <w:trHeight w:val="300"/>
        </w:trPr>
        <w:tc>
          <w:tcPr>
            <w:tcW w:w="1260" w:type="pct"/>
            <w:shd w:val="clear" w:color="auto" w:fill="auto"/>
            <w:noWrap/>
            <w:vAlign w:val="bottom"/>
          </w:tcPr>
          <w:p w14:paraId="3699F910" w14:textId="3DFC3CA6"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themeColor="text1"/>
                <w:kern w:val="0"/>
                <w:szCs w:val="20"/>
              </w:rPr>
              <w:t>Age, yr</w:t>
            </w:r>
          </w:p>
        </w:tc>
        <w:tc>
          <w:tcPr>
            <w:tcW w:w="760" w:type="pct"/>
            <w:shd w:val="clear" w:color="auto" w:fill="auto"/>
            <w:noWrap/>
            <w:vAlign w:val="bottom"/>
          </w:tcPr>
          <w:p w14:paraId="4BF4B181" w14:textId="039172F2"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1.04 [1.03,</w:t>
            </w:r>
            <w:r w:rsidR="00A86A27" w:rsidRPr="001F21FE">
              <w:rPr>
                <w:rFonts w:ascii="Arial" w:eastAsia="맑은 고딕" w:hAnsi="Arial" w:cs="Arial"/>
                <w:color w:val="000000"/>
                <w:szCs w:val="20"/>
              </w:rPr>
              <w:t xml:space="preserve"> 1.05]</w:t>
            </w:r>
          </w:p>
        </w:tc>
        <w:tc>
          <w:tcPr>
            <w:tcW w:w="289" w:type="pct"/>
            <w:shd w:val="clear" w:color="auto" w:fill="auto"/>
            <w:noWrap/>
            <w:vAlign w:val="bottom"/>
          </w:tcPr>
          <w:p w14:paraId="054A81C7" w14:textId="7DF40E9D"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&lt;0.001</w:t>
            </w:r>
          </w:p>
        </w:tc>
        <w:tc>
          <w:tcPr>
            <w:tcW w:w="570" w:type="pct"/>
            <w:shd w:val="clear" w:color="auto" w:fill="auto"/>
            <w:noWrap/>
            <w:vAlign w:val="bottom"/>
          </w:tcPr>
          <w:p w14:paraId="16614F97" w14:textId="02C129AC"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1.03 [</w:t>
            </w:r>
            <w:r w:rsidR="005723A3" w:rsidRPr="001F21FE">
              <w:rPr>
                <w:rFonts w:ascii="Arial" w:eastAsia="맑은 고딕" w:hAnsi="Arial" w:cs="Arial"/>
                <w:color w:val="000000"/>
                <w:szCs w:val="20"/>
              </w:rPr>
              <w:t>1.01,</w:t>
            </w:r>
            <w:r w:rsidRPr="001F21FE">
              <w:rPr>
                <w:rFonts w:ascii="Arial" w:eastAsia="맑은 고딕" w:hAnsi="Arial" w:cs="Arial"/>
                <w:color w:val="000000"/>
                <w:szCs w:val="20"/>
              </w:rPr>
              <w:t xml:space="preserve"> 1.04]</w:t>
            </w:r>
          </w:p>
        </w:tc>
        <w:tc>
          <w:tcPr>
            <w:tcW w:w="289" w:type="pct"/>
            <w:shd w:val="clear" w:color="auto" w:fill="auto"/>
            <w:noWrap/>
            <w:vAlign w:val="bottom"/>
          </w:tcPr>
          <w:p w14:paraId="2E371259" w14:textId="03992712"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&lt;0.001</w:t>
            </w:r>
          </w:p>
        </w:tc>
        <w:tc>
          <w:tcPr>
            <w:tcW w:w="706" w:type="pct"/>
            <w:shd w:val="clear" w:color="auto" w:fill="auto"/>
            <w:noWrap/>
            <w:vAlign w:val="bottom"/>
          </w:tcPr>
          <w:p w14:paraId="11C7A68B" w14:textId="32FA94F2"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1.04 [1.03</w:t>
            </w:r>
            <w:r w:rsidR="005723A3" w:rsidRPr="001F21FE">
              <w:rPr>
                <w:rFonts w:ascii="Arial" w:eastAsia="맑은 고딕" w:hAnsi="Arial" w:cs="Arial"/>
                <w:color w:val="000000"/>
                <w:szCs w:val="20"/>
              </w:rPr>
              <w:t>,</w:t>
            </w:r>
            <w:r w:rsidRPr="001F21FE">
              <w:rPr>
                <w:rFonts w:ascii="Arial" w:eastAsia="맑은 고딕" w:hAnsi="Arial" w:cs="Arial"/>
                <w:color w:val="000000"/>
                <w:szCs w:val="20"/>
              </w:rPr>
              <w:t xml:space="preserve"> 1.05]</w:t>
            </w:r>
          </w:p>
        </w:tc>
        <w:tc>
          <w:tcPr>
            <w:tcW w:w="290" w:type="pct"/>
            <w:shd w:val="clear" w:color="auto" w:fill="auto"/>
            <w:noWrap/>
            <w:vAlign w:val="bottom"/>
          </w:tcPr>
          <w:p w14:paraId="334CDD8A" w14:textId="1AEFAC6A"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&lt;0.001</w:t>
            </w:r>
          </w:p>
        </w:tc>
        <w:tc>
          <w:tcPr>
            <w:tcW w:w="547" w:type="pct"/>
            <w:shd w:val="clear" w:color="auto" w:fill="auto"/>
            <w:noWrap/>
            <w:vAlign w:val="bottom"/>
          </w:tcPr>
          <w:p w14:paraId="26DBD612" w14:textId="502B6A5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1.03 [</w:t>
            </w:r>
            <w:r w:rsidR="005723A3" w:rsidRPr="001F21FE">
              <w:rPr>
                <w:rFonts w:ascii="Arial" w:eastAsia="맑은 고딕" w:hAnsi="Arial" w:cs="Arial"/>
                <w:color w:val="000000"/>
                <w:szCs w:val="20"/>
              </w:rPr>
              <w:t>1.01,</w:t>
            </w:r>
            <w:r w:rsidRPr="001F21FE">
              <w:rPr>
                <w:rFonts w:ascii="Arial" w:eastAsia="맑은 고딕" w:hAnsi="Arial" w:cs="Arial"/>
                <w:color w:val="000000"/>
                <w:szCs w:val="20"/>
              </w:rPr>
              <w:t xml:space="preserve"> 1.04]</w:t>
            </w:r>
          </w:p>
        </w:tc>
        <w:tc>
          <w:tcPr>
            <w:tcW w:w="289" w:type="pct"/>
            <w:shd w:val="clear" w:color="auto" w:fill="auto"/>
            <w:noWrap/>
            <w:vAlign w:val="bottom"/>
          </w:tcPr>
          <w:p w14:paraId="5AB02955" w14:textId="19B2B1DE"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&lt;0.001</w:t>
            </w:r>
          </w:p>
        </w:tc>
      </w:tr>
      <w:tr w:rsidR="005723A3" w:rsidRPr="001F21FE" w14:paraId="7F91FE80" w14:textId="77777777" w:rsidTr="00A86A27">
        <w:trPr>
          <w:trHeight w:val="300"/>
        </w:trPr>
        <w:tc>
          <w:tcPr>
            <w:tcW w:w="1260" w:type="pct"/>
            <w:shd w:val="clear" w:color="auto" w:fill="auto"/>
            <w:noWrap/>
            <w:vAlign w:val="bottom"/>
          </w:tcPr>
          <w:p w14:paraId="4CE9619F" w14:textId="07E7A8B0"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themeColor="text1"/>
                <w:kern w:val="0"/>
                <w:szCs w:val="20"/>
              </w:rPr>
              <w:t>Weight, kg</w:t>
            </w:r>
          </w:p>
        </w:tc>
        <w:tc>
          <w:tcPr>
            <w:tcW w:w="760" w:type="pct"/>
            <w:shd w:val="clear" w:color="auto" w:fill="auto"/>
            <w:noWrap/>
            <w:vAlign w:val="bottom"/>
          </w:tcPr>
          <w:p w14:paraId="3052E2BC" w14:textId="1F933635"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0.99 [0.98,</w:t>
            </w:r>
            <w:r w:rsidR="00A86A27" w:rsidRPr="001F21FE">
              <w:rPr>
                <w:rFonts w:ascii="Arial" w:eastAsia="맑은 고딕" w:hAnsi="Arial" w:cs="Arial"/>
                <w:color w:val="000000"/>
                <w:szCs w:val="20"/>
              </w:rPr>
              <w:t xml:space="preserve"> 1.01]</w:t>
            </w:r>
          </w:p>
        </w:tc>
        <w:tc>
          <w:tcPr>
            <w:tcW w:w="289" w:type="pct"/>
            <w:shd w:val="clear" w:color="auto" w:fill="auto"/>
            <w:noWrap/>
            <w:vAlign w:val="bottom"/>
          </w:tcPr>
          <w:p w14:paraId="76D11531" w14:textId="73A943A0"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0.349</w:t>
            </w:r>
          </w:p>
        </w:tc>
        <w:tc>
          <w:tcPr>
            <w:tcW w:w="570" w:type="pct"/>
            <w:shd w:val="clear" w:color="auto" w:fill="auto"/>
            <w:noWrap/>
            <w:vAlign w:val="bottom"/>
          </w:tcPr>
          <w:p w14:paraId="4E270345" w14:textId="70F5D052"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49B53B51" w14:textId="003E4BFD"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p>
        </w:tc>
        <w:tc>
          <w:tcPr>
            <w:tcW w:w="706" w:type="pct"/>
            <w:shd w:val="clear" w:color="auto" w:fill="auto"/>
            <w:noWrap/>
            <w:vAlign w:val="bottom"/>
          </w:tcPr>
          <w:p w14:paraId="48B176AE" w14:textId="2D606C4C"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1.00 [0.98,</w:t>
            </w:r>
            <w:r w:rsidR="00A86A27" w:rsidRPr="001F21FE">
              <w:rPr>
                <w:rFonts w:ascii="Arial" w:eastAsia="맑은 고딕" w:hAnsi="Arial" w:cs="Arial"/>
                <w:color w:val="000000"/>
                <w:szCs w:val="20"/>
              </w:rPr>
              <w:t xml:space="preserve"> 1.01]</w:t>
            </w:r>
          </w:p>
        </w:tc>
        <w:tc>
          <w:tcPr>
            <w:tcW w:w="290" w:type="pct"/>
            <w:shd w:val="clear" w:color="auto" w:fill="auto"/>
            <w:noWrap/>
            <w:vAlign w:val="bottom"/>
          </w:tcPr>
          <w:p w14:paraId="5B22CC66" w14:textId="0D2BC3F1"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0.483</w:t>
            </w:r>
          </w:p>
        </w:tc>
        <w:tc>
          <w:tcPr>
            <w:tcW w:w="547" w:type="pct"/>
            <w:shd w:val="clear" w:color="auto" w:fill="auto"/>
            <w:noWrap/>
            <w:vAlign w:val="bottom"/>
          </w:tcPr>
          <w:p w14:paraId="61084111" w14:textId="415E643B"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p>
        </w:tc>
        <w:tc>
          <w:tcPr>
            <w:tcW w:w="289" w:type="pct"/>
            <w:shd w:val="clear" w:color="auto" w:fill="auto"/>
            <w:noWrap/>
            <w:vAlign w:val="bottom"/>
          </w:tcPr>
          <w:p w14:paraId="14B5051E" w14:textId="6FA8FF7D"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p>
        </w:tc>
      </w:tr>
      <w:tr w:rsidR="005723A3" w:rsidRPr="001F21FE" w14:paraId="4571327F" w14:textId="77777777" w:rsidTr="00A86A27">
        <w:trPr>
          <w:trHeight w:val="300"/>
        </w:trPr>
        <w:tc>
          <w:tcPr>
            <w:tcW w:w="1260" w:type="pct"/>
            <w:shd w:val="clear" w:color="auto" w:fill="auto"/>
            <w:noWrap/>
            <w:vAlign w:val="bottom"/>
            <w:hideMark/>
          </w:tcPr>
          <w:p w14:paraId="549D0E51" w14:textId="5F443F00" w:rsidR="00A86A27" w:rsidRPr="001F21FE" w:rsidRDefault="001F21FE"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themeColor="text1"/>
                <w:kern w:val="0"/>
                <w:szCs w:val="20"/>
              </w:rPr>
              <w:t>PNI &lt;</w:t>
            </w:r>
            <w:r w:rsidR="00A86A27" w:rsidRPr="001F21FE">
              <w:rPr>
                <w:rFonts w:ascii="Arial" w:eastAsia="맑은 고딕" w:hAnsi="Arial" w:cs="Arial"/>
                <w:color w:val="000000" w:themeColor="text1"/>
                <w:kern w:val="0"/>
                <w:szCs w:val="20"/>
              </w:rPr>
              <w:t>49.4</w:t>
            </w:r>
          </w:p>
        </w:tc>
        <w:tc>
          <w:tcPr>
            <w:tcW w:w="760" w:type="pct"/>
            <w:shd w:val="clear" w:color="auto" w:fill="auto"/>
            <w:noWrap/>
            <w:vAlign w:val="bottom"/>
          </w:tcPr>
          <w:p w14:paraId="283B2600" w14:textId="7FB8BC46"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kern w:val="0"/>
                <w:szCs w:val="20"/>
                <w:highlight w:val="yellow"/>
              </w:rPr>
            </w:pPr>
            <w:r w:rsidRPr="001F21FE">
              <w:rPr>
                <w:rFonts w:ascii="Arial" w:eastAsia="맑은 고딕" w:hAnsi="Arial" w:cs="Arial"/>
                <w:color w:val="000000"/>
                <w:szCs w:val="20"/>
              </w:rPr>
              <w:t>0.28 [0.21,</w:t>
            </w:r>
            <w:r w:rsidR="00A86A27" w:rsidRPr="001F21FE">
              <w:rPr>
                <w:rFonts w:ascii="Arial" w:eastAsia="맑은 고딕" w:hAnsi="Arial" w:cs="Arial"/>
                <w:color w:val="000000"/>
                <w:szCs w:val="20"/>
              </w:rPr>
              <w:t xml:space="preserve"> 0.37]</w:t>
            </w:r>
          </w:p>
        </w:tc>
        <w:tc>
          <w:tcPr>
            <w:tcW w:w="289" w:type="pct"/>
            <w:shd w:val="clear" w:color="auto" w:fill="auto"/>
            <w:noWrap/>
            <w:vAlign w:val="bottom"/>
          </w:tcPr>
          <w:p w14:paraId="002D890C" w14:textId="0765AB34"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highlight w:val="yellow"/>
              </w:rPr>
            </w:pPr>
            <w:r w:rsidRPr="001F21FE">
              <w:rPr>
                <w:rFonts w:ascii="Arial" w:eastAsia="맑은 고딕" w:hAnsi="Arial" w:cs="Arial"/>
                <w:color w:val="000000"/>
                <w:szCs w:val="20"/>
              </w:rPr>
              <w:t>&lt;0.001</w:t>
            </w:r>
          </w:p>
        </w:tc>
        <w:tc>
          <w:tcPr>
            <w:tcW w:w="570" w:type="pct"/>
            <w:shd w:val="clear" w:color="auto" w:fill="auto"/>
            <w:noWrap/>
            <w:vAlign w:val="bottom"/>
          </w:tcPr>
          <w:p w14:paraId="6DEF49EE" w14:textId="67995B2A"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2.22 [</w:t>
            </w:r>
            <w:r w:rsidR="005723A3" w:rsidRPr="001F21FE">
              <w:rPr>
                <w:rFonts w:ascii="Arial" w:eastAsia="맑은 고딕" w:hAnsi="Arial" w:cs="Arial"/>
                <w:color w:val="000000"/>
                <w:szCs w:val="20"/>
              </w:rPr>
              <w:t>1.63,</w:t>
            </w:r>
            <w:r w:rsidRPr="001F21FE">
              <w:rPr>
                <w:rFonts w:ascii="Arial" w:eastAsia="맑은 고딕" w:hAnsi="Arial" w:cs="Arial"/>
                <w:color w:val="000000"/>
                <w:szCs w:val="20"/>
              </w:rPr>
              <w:t xml:space="preserve"> 3.01]</w:t>
            </w:r>
          </w:p>
        </w:tc>
        <w:tc>
          <w:tcPr>
            <w:tcW w:w="289" w:type="pct"/>
            <w:shd w:val="clear" w:color="auto" w:fill="auto"/>
            <w:noWrap/>
            <w:vAlign w:val="bottom"/>
          </w:tcPr>
          <w:p w14:paraId="0FF40EA0" w14:textId="21A1084C"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&lt;0.001</w:t>
            </w:r>
          </w:p>
        </w:tc>
        <w:tc>
          <w:tcPr>
            <w:tcW w:w="706" w:type="pct"/>
            <w:shd w:val="clear" w:color="auto" w:fill="auto"/>
            <w:noWrap/>
            <w:vAlign w:val="bottom"/>
          </w:tcPr>
          <w:p w14:paraId="20E1C5DA" w14:textId="4FC3CD9D"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0.45 [0.35,</w:t>
            </w:r>
            <w:r w:rsidR="00A86A27" w:rsidRPr="001F21FE">
              <w:rPr>
                <w:rFonts w:ascii="Arial" w:eastAsia="맑은 고딕" w:hAnsi="Arial" w:cs="Arial"/>
                <w:color w:val="000000"/>
                <w:szCs w:val="20"/>
              </w:rPr>
              <w:t xml:space="preserve"> 0.59]</w:t>
            </w:r>
          </w:p>
        </w:tc>
        <w:tc>
          <w:tcPr>
            <w:tcW w:w="290" w:type="pct"/>
            <w:shd w:val="clear" w:color="auto" w:fill="auto"/>
            <w:noWrap/>
            <w:vAlign w:val="bottom"/>
          </w:tcPr>
          <w:p w14:paraId="106FF8BE" w14:textId="09FB070F"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&lt;0.001</w:t>
            </w:r>
          </w:p>
        </w:tc>
        <w:tc>
          <w:tcPr>
            <w:tcW w:w="547" w:type="pct"/>
            <w:shd w:val="clear" w:color="auto" w:fill="auto"/>
            <w:noWrap/>
            <w:vAlign w:val="bottom"/>
          </w:tcPr>
          <w:p w14:paraId="32A63B82" w14:textId="6F7B7B90"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2.22 [</w:t>
            </w:r>
            <w:r w:rsidR="005723A3" w:rsidRPr="001F21FE">
              <w:rPr>
                <w:rFonts w:ascii="Arial" w:eastAsia="맑은 고딕" w:hAnsi="Arial" w:cs="Arial"/>
                <w:color w:val="000000"/>
                <w:szCs w:val="20"/>
              </w:rPr>
              <w:t>1.63,</w:t>
            </w:r>
            <w:r w:rsidRPr="001F21FE">
              <w:rPr>
                <w:rFonts w:ascii="Arial" w:eastAsia="맑은 고딕" w:hAnsi="Arial" w:cs="Arial"/>
                <w:color w:val="000000"/>
                <w:szCs w:val="20"/>
              </w:rPr>
              <w:t xml:space="preserve"> 3.01]</w:t>
            </w:r>
          </w:p>
        </w:tc>
        <w:tc>
          <w:tcPr>
            <w:tcW w:w="289" w:type="pct"/>
            <w:shd w:val="clear" w:color="auto" w:fill="auto"/>
            <w:noWrap/>
            <w:vAlign w:val="bottom"/>
          </w:tcPr>
          <w:p w14:paraId="2E45C3B1" w14:textId="2936DCC0"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&lt;0.001</w:t>
            </w:r>
          </w:p>
        </w:tc>
      </w:tr>
      <w:tr w:rsidR="005723A3" w:rsidRPr="001F21FE" w14:paraId="7B1192D0" w14:textId="77777777" w:rsidTr="00A86A27">
        <w:trPr>
          <w:trHeight w:val="300"/>
        </w:trPr>
        <w:tc>
          <w:tcPr>
            <w:tcW w:w="1260" w:type="pct"/>
            <w:shd w:val="clear" w:color="auto" w:fill="auto"/>
            <w:noWrap/>
            <w:vAlign w:val="bottom"/>
          </w:tcPr>
          <w:p w14:paraId="2980FFF1" w14:textId="3ABBA78B"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themeColor="text1"/>
                <w:kern w:val="0"/>
                <w:szCs w:val="20"/>
              </w:rPr>
              <w:t>FIGO Stage ≥3</w:t>
            </w:r>
          </w:p>
        </w:tc>
        <w:tc>
          <w:tcPr>
            <w:tcW w:w="760" w:type="pct"/>
            <w:shd w:val="clear" w:color="auto" w:fill="auto"/>
            <w:noWrap/>
            <w:vAlign w:val="bottom"/>
          </w:tcPr>
          <w:p w14:paraId="54E78123" w14:textId="702A0F2E"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1.07 [0.83,</w:t>
            </w:r>
            <w:r w:rsidR="00A86A27" w:rsidRPr="001F21FE">
              <w:rPr>
                <w:rFonts w:ascii="Arial" w:eastAsia="맑은 고딕" w:hAnsi="Arial" w:cs="Arial"/>
                <w:color w:val="000000"/>
                <w:szCs w:val="20"/>
              </w:rPr>
              <w:t xml:space="preserve"> 1.39]</w:t>
            </w:r>
          </w:p>
        </w:tc>
        <w:tc>
          <w:tcPr>
            <w:tcW w:w="289" w:type="pct"/>
            <w:shd w:val="clear" w:color="auto" w:fill="auto"/>
            <w:noWrap/>
            <w:vAlign w:val="bottom"/>
          </w:tcPr>
          <w:p w14:paraId="50520B95" w14:textId="38C50522"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0.604</w:t>
            </w:r>
          </w:p>
        </w:tc>
        <w:tc>
          <w:tcPr>
            <w:tcW w:w="570" w:type="pct"/>
            <w:shd w:val="clear" w:color="auto" w:fill="auto"/>
            <w:noWrap/>
            <w:vAlign w:val="bottom"/>
          </w:tcPr>
          <w:p w14:paraId="7693343C" w14:textId="399D623A"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1.30 [</w:t>
            </w:r>
            <w:r w:rsidR="005723A3" w:rsidRPr="001F21FE">
              <w:rPr>
                <w:rFonts w:ascii="Arial" w:eastAsia="맑은 고딕" w:hAnsi="Arial" w:cs="Arial"/>
                <w:color w:val="000000"/>
                <w:szCs w:val="20"/>
              </w:rPr>
              <w:t>0.96,</w:t>
            </w:r>
            <w:r w:rsidRPr="001F21FE">
              <w:rPr>
                <w:rFonts w:ascii="Arial" w:eastAsia="맑은 고딕" w:hAnsi="Arial" w:cs="Arial"/>
                <w:color w:val="000000"/>
                <w:szCs w:val="20"/>
              </w:rPr>
              <w:t xml:space="preserve"> 1.78]</w:t>
            </w:r>
          </w:p>
        </w:tc>
        <w:tc>
          <w:tcPr>
            <w:tcW w:w="289" w:type="pct"/>
            <w:shd w:val="clear" w:color="auto" w:fill="auto"/>
            <w:noWrap/>
            <w:vAlign w:val="bottom"/>
          </w:tcPr>
          <w:p w14:paraId="0847CB3A" w14:textId="15E058F5"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0.095</w:t>
            </w:r>
          </w:p>
        </w:tc>
        <w:tc>
          <w:tcPr>
            <w:tcW w:w="706" w:type="pct"/>
            <w:shd w:val="clear" w:color="auto" w:fill="auto"/>
            <w:noWrap/>
            <w:vAlign w:val="bottom"/>
          </w:tcPr>
          <w:p w14:paraId="454C1310" w14:textId="36842E82"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1.15 [0.88,</w:t>
            </w:r>
            <w:r w:rsidR="00A86A27" w:rsidRPr="001F21FE">
              <w:rPr>
                <w:rFonts w:ascii="Arial" w:eastAsia="맑은 고딕" w:hAnsi="Arial" w:cs="Arial"/>
                <w:color w:val="000000"/>
                <w:szCs w:val="20"/>
              </w:rPr>
              <w:t xml:space="preserve"> 1.49]</w:t>
            </w:r>
          </w:p>
        </w:tc>
        <w:tc>
          <w:tcPr>
            <w:tcW w:w="290" w:type="pct"/>
            <w:shd w:val="clear" w:color="auto" w:fill="auto"/>
            <w:noWrap/>
            <w:vAlign w:val="bottom"/>
          </w:tcPr>
          <w:p w14:paraId="12841FFC" w14:textId="5FC138D2"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0.300</w:t>
            </w:r>
          </w:p>
        </w:tc>
        <w:tc>
          <w:tcPr>
            <w:tcW w:w="547" w:type="pct"/>
            <w:shd w:val="clear" w:color="auto" w:fill="auto"/>
            <w:noWrap/>
            <w:vAlign w:val="bottom"/>
          </w:tcPr>
          <w:p w14:paraId="71CBD1D9" w14:textId="344F5E58"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1.30 [</w:t>
            </w:r>
            <w:r w:rsidR="005723A3" w:rsidRPr="001F21FE">
              <w:rPr>
                <w:rFonts w:ascii="Arial" w:eastAsia="맑은 고딕" w:hAnsi="Arial" w:cs="Arial"/>
                <w:color w:val="000000"/>
                <w:szCs w:val="20"/>
              </w:rPr>
              <w:t>0.96,</w:t>
            </w:r>
            <w:r w:rsidRPr="001F21FE">
              <w:rPr>
                <w:rFonts w:ascii="Arial" w:eastAsia="맑은 고딕" w:hAnsi="Arial" w:cs="Arial"/>
                <w:color w:val="000000"/>
                <w:szCs w:val="20"/>
              </w:rPr>
              <w:t xml:space="preserve"> 1.78]</w:t>
            </w:r>
          </w:p>
        </w:tc>
        <w:tc>
          <w:tcPr>
            <w:tcW w:w="289" w:type="pct"/>
            <w:shd w:val="clear" w:color="auto" w:fill="auto"/>
            <w:noWrap/>
            <w:vAlign w:val="bottom"/>
          </w:tcPr>
          <w:p w14:paraId="333E60BA" w14:textId="175FC771"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0.095</w:t>
            </w:r>
          </w:p>
        </w:tc>
      </w:tr>
      <w:tr w:rsidR="005723A3" w:rsidRPr="001F21FE" w14:paraId="1B22118E" w14:textId="77777777" w:rsidTr="00A86A27">
        <w:trPr>
          <w:trHeight w:val="300"/>
        </w:trPr>
        <w:tc>
          <w:tcPr>
            <w:tcW w:w="1260" w:type="pct"/>
            <w:shd w:val="clear" w:color="auto" w:fill="auto"/>
            <w:noWrap/>
            <w:vAlign w:val="bottom"/>
          </w:tcPr>
          <w:p w14:paraId="37E4DDD0" w14:textId="7C9E825C"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themeColor="text1"/>
                <w:kern w:val="0"/>
                <w:szCs w:val="20"/>
              </w:rPr>
              <w:t>Hypertension</w:t>
            </w:r>
          </w:p>
        </w:tc>
        <w:tc>
          <w:tcPr>
            <w:tcW w:w="760" w:type="pct"/>
            <w:shd w:val="clear" w:color="auto" w:fill="auto"/>
            <w:noWrap/>
            <w:vAlign w:val="bottom"/>
          </w:tcPr>
          <w:p w14:paraId="621E4FC0" w14:textId="40C91B41"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highlight w:val="yellow"/>
              </w:rPr>
            </w:pPr>
            <w:r w:rsidRPr="001F21FE">
              <w:rPr>
                <w:rFonts w:ascii="Arial" w:eastAsia="맑은 고딕" w:hAnsi="Arial" w:cs="Arial"/>
                <w:color w:val="000000"/>
                <w:szCs w:val="20"/>
              </w:rPr>
              <w:t>2.17 [1.63,</w:t>
            </w:r>
            <w:r w:rsidR="00A86A27" w:rsidRPr="001F21FE">
              <w:rPr>
                <w:rFonts w:ascii="Arial" w:eastAsia="맑은 고딕" w:hAnsi="Arial" w:cs="Arial"/>
                <w:color w:val="000000"/>
                <w:szCs w:val="20"/>
              </w:rPr>
              <w:t xml:space="preserve"> 2.88]</w:t>
            </w:r>
          </w:p>
        </w:tc>
        <w:tc>
          <w:tcPr>
            <w:tcW w:w="289" w:type="pct"/>
            <w:shd w:val="clear" w:color="auto" w:fill="auto"/>
            <w:noWrap/>
            <w:vAlign w:val="bottom"/>
          </w:tcPr>
          <w:p w14:paraId="3FE654C3" w14:textId="71935B0A"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highlight w:val="yellow"/>
              </w:rPr>
            </w:pPr>
            <w:r w:rsidRPr="001F21FE">
              <w:rPr>
                <w:rFonts w:ascii="Arial" w:eastAsia="맑은 고딕" w:hAnsi="Arial" w:cs="Arial"/>
                <w:color w:val="000000"/>
                <w:szCs w:val="20"/>
              </w:rPr>
              <w:t>&lt;0.001</w:t>
            </w:r>
          </w:p>
        </w:tc>
        <w:tc>
          <w:tcPr>
            <w:tcW w:w="570" w:type="pct"/>
            <w:shd w:val="clear" w:color="auto" w:fill="auto"/>
            <w:noWrap/>
            <w:vAlign w:val="bottom"/>
          </w:tcPr>
          <w:p w14:paraId="024E98C8" w14:textId="7191F813"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1.52 [</w:t>
            </w:r>
            <w:r w:rsidR="005723A3" w:rsidRPr="001F21FE">
              <w:rPr>
                <w:rFonts w:ascii="Arial" w:eastAsia="맑은 고딕" w:hAnsi="Arial" w:cs="Arial"/>
                <w:color w:val="000000"/>
                <w:szCs w:val="20"/>
              </w:rPr>
              <w:t>1.06,</w:t>
            </w:r>
            <w:r w:rsidRPr="001F21FE">
              <w:rPr>
                <w:rFonts w:ascii="Arial" w:eastAsia="맑은 고딕" w:hAnsi="Arial" w:cs="Arial"/>
                <w:color w:val="000000"/>
                <w:szCs w:val="20"/>
              </w:rPr>
              <w:t xml:space="preserve"> 2.18]</w:t>
            </w:r>
          </w:p>
        </w:tc>
        <w:tc>
          <w:tcPr>
            <w:tcW w:w="289" w:type="pct"/>
            <w:shd w:val="clear" w:color="auto" w:fill="auto"/>
            <w:noWrap/>
            <w:vAlign w:val="bottom"/>
          </w:tcPr>
          <w:p w14:paraId="1C47DF44" w14:textId="1D34A46F"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0.024</w:t>
            </w:r>
          </w:p>
        </w:tc>
        <w:tc>
          <w:tcPr>
            <w:tcW w:w="706" w:type="pct"/>
            <w:shd w:val="clear" w:color="auto" w:fill="auto"/>
            <w:noWrap/>
            <w:vAlign w:val="bottom"/>
          </w:tcPr>
          <w:p w14:paraId="0C4CE66F" w14:textId="08EFDC22"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2.03 [1.53,</w:t>
            </w:r>
            <w:r w:rsidR="00A86A27" w:rsidRPr="001F21FE">
              <w:rPr>
                <w:rFonts w:ascii="Arial" w:eastAsia="맑은 고딕" w:hAnsi="Arial" w:cs="Arial"/>
                <w:color w:val="000000"/>
                <w:szCs w:val="20"/>
              </w:rPr>
              <w:t xml:space="preserve"> 2.70]</w:t>
            </w:r>
          </w:p>
        </w:tc>
        <w:tc>
          <w:tcPr>
            <w:tcW w:w="290" w:type="pct"/>
            <w:shd w:val="clear" w:color="auto" w:fill="auto"/>
            <w:noWrap/>
            <w:vAlign w:val="bottom"/>
          </w:tcPr>
          <w:p w14:paraId="7D30F9AD" w14:textId="08494B01"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&lt;0.001</w:t>
            </w:r>
          </w:p>
        </w:tc>
        <w:tc>
          <w:tcPr>
            <w:tcW w:w="547" w:type="pct"/>
            <w:shd w:val="clear" w:color="auto" w:fill="auto"/>
            <w:noWrap/>
            <w:vAlign w:val="bottom"/>
          </w:tcPr>
          <w:p w14:paraId="5AE75B61" w14:textId="715C0498"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1.52 [</w:t>
            </w:r>
            <w:r w:rsidR="005723A3" w:rsidRPr="001F21FE">
              <w:rPr>
                <w:rFonts w:ascii="Arial" w:eastAsia="맑은 고딕" w:hAnsi="Arial" w:cs="Arial"/>
                <w:color w:val="000000"/>
                <w:szCs w:val="20"/>
              </w:rPr>
              <w:t>1.06,</w:t>
            </w:r>
            <w:r w:rsidRPr="001F21FE">
              <w:rPr>
                <w:rFonts w:ascii="Arial" w:eastAsia="맑은 고딕" w:hAnsi="Arial" w:cs="Arial"/>
                <w:color w:val="000000"/>
                <w:szCs w:val="20"/>
              </w:rPr>
              <w:t xml:space="preserve"> 2.18]</w:t>
            </w:r>
          </w:p>
        </w:tc>
        <w:tc>
          <w:tcPr>
            <w:tcW w:w="289" w:type="pct"/>
            <w:shd w:val="clear" w:color="auto" w:fill="auto"/>
            <w:noWrap/>
            <w:vAlign w:val="bottom"/>
          </w:tcPr>
          <w:p w14:paraId="78A98A0D" w14:textId="482CDDF0"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0.024</w:t>
            </w:r>
          </w:p>
        </w:tc>
      </w:tr>
      <w:tr w:rsidR="005723A3" w:rsidRPr="001F21FE" w14:paraId="52F06AFB" w14:textId="77777777" w:rsidTr="00A86A27">
        <w:trPr>
          <w:trHeight w:val="300"/>
        </w:trPr>
        <w:tc>
          <w:tcPr>
            <w:tcW w:w="1260" w:type="pct"/>
            <w:shd w:val="clear" w:color="auto" w:fill="auto"/>
            <w:noWrap/>
            <w:vAlign w:val="bottom"/>
          </w:tcPr>
          <w:p w14:paraId="1F0F8EAE" w14:textId="4A717F74"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themeColor="text1"/>
                <w:kern w:val="0"/>
                <w:szCs w:val="20"/>
              </w:rPr>
              <w:t>Diabetes mellitus</w:t>
            </w:r>
          </w:p>
        </w:tc>
        <w:tc>
          <w:tcPr>
            <w:tcW w:w="760" w:type="pct"/>
            <w:shd w:val="clear" w:color="auto" w:fill="auto"/>
            <w:noWrap/>
            <w:vAlign w:val="bottom"/>
          </w:tcPr>
          <w:p w14:paraId="32E1612F" w14:textId="64B2823E"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1.55 [1.02,</w:t>
            </w:r>
            <w:r w:rsidR="00A86A27" w:rsidRPr="001F21FE">
              <w:rPr>
                <w:rFonts w:ascii="Arial" w:eastAsia="맑은 고딕" w:hAnsi="Arial" w:cs="Arial"/>
                <w:color w:val="000000"/>
                <w:szCs w:val="20"/>
              </w:rPr>
              <w:t xml:space="preserve"> 2.36]</w:t>
            </w:r>
          </w:p>
        </w:tc>
        <w:tc>
          <w:tcPr>
            <w:tcW w:w="289" w:type="pct"/>
            <w:shd w:val="clear" w:color="auto" w:fill="auto"/>
            <w:noWrap/>
            <w:vAlign w:val="bottom"/>
          </w:tcPr>
          <w:p w14:paraId="0B5A15DA" w14:textId="4496D6D3"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0.040</w:t>
            </w:r>
          </w:p>
        </w:tc>
        <w:tc>
          <w:tcPr>
            <w:tcW w:w="570" w:type="pct"/>
            <w:shd w:val="clear" w:color="auto" w:fill="auto"/>
            <w:noWrap/>
            <w:vAlign w:val="bottom"/>
          </w:tcPr>
          <w:p w14:paraId="1A051481"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4FF05734"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706" w:type="pct"/>
            <w:shd w:val="clear" w:color="auto" w:fill="auto"/>
            <w:noWrap/>
            <w:vAlign w:val="bottom"/>
          </w:tcPr>
          <w:p w14:paraId="524E4486" w14:textId="35D2E549"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1.49 [0.98,</w:t>
            </w:r>
            <w:r w:rsidR="00A86A27" w:rsidRPr="001F21FE">
              <w:rPr>
                <w:rFonts w:ascii="Arial" w:eastAsia="맑은 고딕" w:hAnsi="Arial" w:cs="Arial"/>
                <w:color w:val="000000"/>
                <w:szCs w:val="20"/>
              </w:rPr>
              <w:t xml:space="preserve"> 2.26]</w:t>
            </w:r>
          </w:p>
        </w:tc>
        <w:tc>
          <w:tcPr>
            <w:tcW w:w="290" w:type="pct"/>
            <w:shd w:val="clear" w:color="auto" w:fill="auto"/>
            <w:noWrap/>
            <w:vAlign w:val="bottom"/>
          </w:tcPr>
          <w:p w14:paraId="1FA7B255" w14:textId="62C7AB0B"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0.060</w:t>
            </w:r>
          </w:p>
        </w:tc>
        <w:tc>
          <w:tcPr>
            <w:tcW w:w="547" w:type="pct"/>
            <w:shd w:val="clear" w:color="auto" w:fill="auto"/>
            <w:noWrap/>
            <w:vAlign w:val="bottom"/>
          </w:tcPr>
          <w:p w14:paraId="7F711EB2"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31B39F3B"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r>
      <w:tr w:rsidR="005723A3" w:rsidRPr="001F21FE" w14:paraId="0432CDF3" w14:textId="77777777" w:rsidTr="00A86A27">
        <w:trPr>
          <w:trHeight w:val="300"/>
        </w:trPr>
        <w:tc>
          <w:tcPr>
            <w:tcW w:w="1260" w:type="pct"/>
            <w:shd w:val="clear" w:color="auto" w:fill="auto"/>
            <w:noWrap/>
            <w:vAlign w:val="bottom"/>
          </w:tcPr>
          <w:p w14:paraId="0161FDB7" w14:textId="736796FA"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themeColor="text1"/>
                <w:kern w:val="0"/>
                <w:szCs w:val="20"/>
              </w:rPr>
              <w:t>Heart disease</w:t>
            </w:r>
          </w:p>
        </w:tc>
        <w:tc>
          <w:tcPr>
            <w:tcW w:w="760" w:type="pct"/>
            <w:shd w:val="clear" w:color="auto" w:fill="auto"/>
            <w:noWrap/>
            <w:vAlign w:val="bottom"/>
          </w:tcPr>
          <w:p w14:paraId="274EF5ED" w14:textId="7DFB9E4A"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1.37 [0.83,</w:t>
            </w:r>
            <w:r w:rsidR="00A86A27" w:rsidRPr="001F21FE">
              <w:rPr>
                <w:rFonts w:ascii="Arial" w:eastAsia="맑은 고딕" w:hAnsi="Arial" w:cs="Arial"/>
                <w:color w:val="000000"/>
                <w:szCs w:val="20"/>
              </w:rPr>
              <w:t xml:space="preserve"> 2.25]</w:t>
            </w:r>
          </w:p>
        </w:tc>
        <w:tc>
          <w:tcPr>
            <w:tcW w:w="289" w:type="pct"/>
            <w:shd w:val="clear" w:color="auto" w:fill="auto"/>
            <w:noWrap/>
            <w:vAlign w:val="bottom"/>
          </w:tcPr>
          <w:p w14:paraId="1B3D5187" w14:textId="1C53318A"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0.218</w:t>
            </w:r>
          </w:p>
        </w:tc>
        <w:tc>
          <w:tcPr>
            <w:tcW w:w="570" w:type="pct"/>
            <w:shd w:val="clear" w:color="auto" w:fill="auto"/>
            <w:noWrap/>
            <w:vAlign w:val="bottom"/>
          </w:tcPr>
          <w:p w14:paraId="1A6D7183" w14:textId="31E3214C"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73A87907" w14:textId="5421DB33"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706" w:type="pct"/>
            <w:shd w:val="clear" w:color="auto" w:fill="auto"/>
            <w:noWrap/>
            <w:vAlign w:val="bottom"/>
          </w:tcPr>
          <w:p w14:paraId="21380036" w14:textId="099FD9D2"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 xml:space="preserve">1.20 [0.73, </w:t>
            </w:r>
            <w:r w:rsidR="00A86A27" w:rsidRPr="001F21FE">
              <w:rPr>
                <w:rFonts w:ascii="Arial" w:eastAsia="맑은 고딕" w:hAnsi="Arial" w:cs="Arial"/>
                <w:color w:val="000000"/>
                <w:szCs w:val="20"/>
              </w:rPr>
              <w:t>1.97]</w:t>
            </w:r>
          </w:p>
        </w:tc>
        <w:tc>
          <w:tcPr>
            <w:tcW w:w="290" w:type="pct"/>
            <w:shd w:val="clear" w:color="auto" w:fill="auto"/>
            <w:noWrap/>
            <w:vAlign w:val="bottom"/>
          </w:tcPr>
          <w:p w14:paraId="7C6CE0D2" w14:textId="54ECEB1B"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0.475</w:t>
            </w:r>
          </w:p>
        </w:tc>
        <w:tc>
          <w:tcPr>
            <w:tcW w:w="547" w:type="pct"/>
            <w:shd w:val="clear" w:color="auto" w:fill="auto"/>
            <w:noWrap/>
            <w:vAlign w:val="bottom"/>
          </w:tcPr>
          <w:p w14:paraId="77F9C3E2"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43DCAF03"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r>
      <w:tr w:rsidR="005723A3" w:rsidRPr="001F21FE" w14:paraId="29FD8037" w14:textId="77777777" w:rsidTr="00A86A27">
        <w:trPr>
          <w:trHeight w:val="300"/>
        </w:trPr>
        <w:tc>
          <w:tcPr>
            <w:tcW w:w="1260" w:type="pct"/>
            <w:shd w:val="clear" w:color="auto" w:fill="auto"/>
            <w:noWrap/>
            <w:vAlign w:val="bottom"/>
          </w:tcPr>
          <w:p w14:paraId="373C9BFB" w14:textId="7B226D49"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themeColor="text1"/>
                <w:kern w:val="0"/>
                <w:szCs w:val="20"/>
              </w:rPr>
              <w:t>Liver disease</w:t>
            </w:r>
          </w:p>
        </w:tc>
        <w:tc>
          <w:tcPr>
            <w:tcW w:w="760" w:type="pct"/>
            <w:shd w:val="clear" w:color="auto" w:fill="auto"/>
            <w:noWrap/>
            <w:vAlign w:val="bottom"/>
          </w:tcPr>
          <w:p w14:paraId="2B38BE9B" w14:textId="7C3C36B2"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1.32 [0.89,</w:t>
            </w:r>
            <w:r w:rsidR="00A86A27" w:rsidRPr="001F21FE">
              <w:rPr>
                <w:rFonts w:ascii="Arial" w:eastAsia="맑은 고딕" w:hAnsi="Arial" w:cs="Arial"/>
                <w:color w:val="000000"/>
                <w:szCs w:val="20"/>
              </w:rPr>
              <w:t xml:space="preserve"> 1.96]</w:t>
            </w:r>
          </w:p>
        </w:tc>
        <w:tc>
          <w:tcPr>
            <w:tcW w:w="289" w:type="pct"/>
            <w:shd w:val="clear" w:color="auto" w:fill="auto"/>
            <w:noWrap/>
            <w:vAlign w:val="bottom"/>
          </w:tcPr>
          <w:p w14:paraId="3AF512A8" w14:textId="72D8C4AA"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0.161</w:t>
            </w:r>
          </w:p>
        </w:tc>
        <w:tc>
          <w:tcPr>
            <w:tcW w:w="570" w:type="pct"/>
            <w:shd w:val="clear" w:color="auto" w:fill="auto"/>
            <w:noWrap/>
            <w:vAlign w:val="bottom"/>
          </w:tcPr>
          <w:p w14:paraId="66D98268"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416CC5A5"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706" w:type="pct"/>
            <w:shd w:val="clear" w:color="auto" w:fill="auto"/>
            <w:noWrap/>
            <w:vAlign w:val="bottom"/>
          </w:tcPr>
          <w:p w14:paraId="04E71A12" w14:textId="7946C0AE"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1.28 [0.86,</w:t>
            </w:r>
            <w:r w:rsidR="00A86A27" w:rsidRPr="001F21FE">
              <w:rPr>
                <w:rFonts w:ascii="Arial" w:eastAsia="맑은 고딕" w:hAnsi="Arial" w:cs="Arial"/>
                <w:color w:val="000000"/>
                <w:szCs w:val="20"/>
              </w:rPr>
              <w:t xml:space="preserve"> 1.90]</w:t>
            </w:r>
          </w:p>
        </w:tc>
        <w:tc>
          <w:tcPr>
            <w:tcW w:w="290" w:type="pct"/>
            <w:shd w:val="clear" w:color="auto" w:fill="auto"/>
            <w:noWrap/>
            <w:vAlign w:val="bottom"/>
          </w:tcPr>
          <w:p w14:paraId="30DFD0D3" w14:textId="67D535F0"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0.226</w:t>
            </w:r>
          </w:p>
        </w:tc>
        <w:tc>
          <w:tcPr>
            <w:tcW w:w="547" w:type="pct"/>
            <w:shd w:val="clear" w:color="auto" w:fill="auto"/>
            <w:noWrap/>
            <w:vAlign w:val="bottom"/>
          </w:tcPr>
          <w:p w14:paraId="155AEF8B"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5CA46682"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r>
      <w:tr w:rsidR="005723A3" w:rsidRPr="001F21FE" w14:paraId="68BEC901" w14:textId="77777777" w:rsidTr="00A86A27">
        <w:trPr>
          <w:trHeight w:val="300"/>
        </w:trPr>
        <w:tc>
          <w:tcPr>
            <w:tcW w:w="1260" w:type="pct"/>
            <w:shd w:val="clear" w:color="auto" w:fill="auto"/>
            <w:noWrap/>
            <w:vAlign w:val="bottom"/>
          </w:tcPr>
          <w:p w14:paraId="1E1FE5F8" w14:textId="6E95EAC0"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themeColor="text1"/>
                <w:kern w:val="0"/>
                <w:szCs w:val="20"/>
              </w:rPr>
              <w:t>Asthma</w:t>
            </w:r>
          </w:p>
        </w:tc>
        <w:tc>
          <w:tcPr>
            <w:tcW w:w="760" w:type="pct"/>
            <w:shd w:val="clear" w:color="auto" w:fill="auto"/>
            <w:noWrap/>
            <w:vAlign w:val="bottom"/>
          </w:tcPr>
          <w:p w14:paraId="48C6263F" w14:textId="0FC6F085"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0.65 [0.22,</w:t>
            </w:r>
            <w:r w:rsidR="00A86A27" w:rsidRPr="001F21FE">
              <w:rPr>
                <w:rFonts w:ascii="Arial" w:eastAsia="맑은 고딕" w:hAnsi="Arial" w:cs="Arial"/>
                <w:color w:val="000000"/>
                <w:szCs w:val="20"/>
              </w:rPr>
              <w:t xml:space="preserve"> 1.97]</w:t>
            </w:r>
          </w:p>
        </w:tc>
        <w:tc>
          <w:tcPr>
            <w:tcW w:w="289" w:type="pct"/>
            <w:shd w:val="clear" w:color="auto" w:fill="auto"/>
            <w:noWrap/>
            <w:vAlign w:val="bottom"/>
          </w:tcPr>
          <w:p w14:paraId="74B61FD7" w14:textId="3BD96069"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0.449</w:t>
            </w:r>
          </w:p>
        </w:tc>
        <w:tc>
          <w:tcPr>
            <w:tcW w:w="570" w:type="pct"/>
            <w:shd w:val="clear" w:color="auto" w:fill="auto"/>
            <w:noWrap/>
            <w:vAlign w:val="bottom"/>
          </w:tcPr>
          <w:p w14:paraId="09F07CF6"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69F69499"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706" w:type="pct"/>
            <w:shd w:val="clear" w:color="auto" w:fill="auto"/>
            <w:noWrap/>
            <w:vAlign w:val="bottom"/>
          </w:tcPr>
          <w:p w14:paraId="33AFAA5E" w14:textId="4F02E4B1"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0.60 [0.19,</w:t>
            </w:r>
            <w:r w:rsidR="00A86A27" w:rsidRPr="001F21FE">
              <w:rPr>
                <w:rFonts w:ascii="Arial" w:eastAsia="맑은 고딕" w:hAnsi="Arial" w:cs="Arial"/>
                <w:color w:val="000000"/>
                <w:szCs w:val="20"/>
              </w:rPr>
              <w:t xml:space="preserve"> 1.86]</w:t>
            </w:r>
          </w:p>
        </w:tc>
        <w:tc>
          <w:tcPr>
            <w:tcW w:w="290" w:type="pct"/>
            <w:shd w:val="clear" w:color="auto" w:fill="auto"/>
            <w:noWrap/>
            <w:vAlign w:val="bottom"/>
          </w:tcPr>
          <w:p w14:paraId="7527AA7E" w14:textId="17ED0164"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0.372</w:t>
            </w:r>
          </w:p>
        </w:tc>
        <w:tc>
          <w:tcPr>
            <w:tcW w:w="547" w:type="pct"/>
            <w:shd w:val="clear" w:color="auto" w:fill="auto"/>
            <w:noWrap/>
            <w:vAlign w:val="bottom"/>
          </w:tcPr>
          <w:p w14:paraId="0DC49585"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49A8B89A"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r>
      <w:tr w:rsidR="005723A3" w:rsidRPr="001F21FE" w14:paraId="46662954" w14:textId="77777777" w:rsidTr="00A86A27">
        <w:trPr>
          <w:trHeight w:val="300"/>
        </w:trPr>
        <w:tc>
          <w:tcPr>
            <w:tcW w:w="1260" w:type="pct"/>
            <w:shd w:val="clear" w:color="auto" w:fill="auto"/>
            <w:noWrap/>
            <w:vAlign w:val="bottom"/>
          </w:tcPr>
          <w:p w14:paraId="6F614DF1" w14:textId="1EBBD79C"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themeColor="text1"/>
                <w:kern w:val="0"/>
                <w:szCs w:val="20"/>
              </w:rPr>
              <w:t>Restrictive lung disease</w:t>
            </w:r>
          </w:p>
        </w:tc>
        <w:tc>
          <w:tcPr>
            <w:tcW w:w="760" w:type="pct"/>
            <w:shd w:val="clear" w:color="auto" w:fill="auto"/>
            <w:noWrap/>
            <w:vAlign w:val="bottom"/>
          </w:tcPr>
          <w:p w14:paraId="02F8017A" w14:textId="778A1927"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7.95 [0.82,</w:t>
            </w:r>
            <w:r w:rsidR="00A86A27" w:rsidRPr="001F21FE">
              <w:rPr>
                <w:rFonts w:ascii="Arial" w:eastAsia="맑은 고딕" w:hAnsi="Arial" w:cs="Arial"/>
                <w:color w:val="000000"/>
                <w:szCs w:val="20"/>
              </w:rPr>
              <w:t xml:space="preserve"> 76.66]</w:t>
            </w:r>
          </w:p>
        </w:tc>
        <w:tc>
          <w:tcPr>
            <w:tcW w:w="289" w:type="pct"/>
            <w:shd w:val="clear" w:color="auto" w:fill="auto"/>
            <w:noWrap/>
            <w:vAlign w:val="bottom"/>
          </w:tcPr>
          <w:p w14:paraId="7F5D6096" w14:textId="5A9257B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0.073</w:t>
            </w:r>
          </w:p>
        </w:tc>
        <w:tc>
          <w:tcPr>
            <w:tcW w:w="570" w:type="pct"/>
            <w:shd w:val="clear" w:color="auto" w:fill="auto"/>
            <w:noWrap/>
            <w:vAlign w:val="bottom"/>
          </w:tcPr>
          <w:p w14:paraId="3C4F4E56" w14:textId="0FAD3C23"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2.57 [</w:t>
            </w:r>
            <w:r w:rsidR="005723A3" w:rsidRPr="001F21FE">
              <w:rPr>
                <w:rFonts w:ascii="Arial" w:eastAsia="맑은 고딕" w:hAnsi="Arial" w:cs="Arial"/>
                <w:color w:val="000000"/>
                <w:szCs w:val="20"/>
              </w:rPr>
              <w:t>1.66,</w:t>
            </w:r>
            <w:r w:rsidRPr="001F21FE">
              <w:rPr>
                <w:rFonts w:ascii="Arial" w:eastAsia="맑은 고딕" w:hAnsi="Arial" w:cs="Arial"/>
                <w:color w:val="000000"/>
                <w:szCs w:val="20"/>
              </w:rPr>
              <w:t xml:space="preserve"> 3.97]</w:t>
            </w:r>
          </w:p>
        </w:tc>
        <w:tc>
          <w:tcPr>
            <w:tcW w:w="289" w:type="pct"/>
            <w:shd w:val="clear" w:color="auto" w:fill="auto"/>
            <w:noWrap/>
            <w:vAlign w:val="bottom"/>
          </w:tcPr>
          <w:p w14:paraId="497CFCC1" w14:textId="0E8E15B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&lt;0.001</w:t>
            </w:r>
          </w:p>
        </w:tc>
        <w:tc>
          <w:tcPr>
            <w:tcW w:w="706" w:type="pct"/>
            <w:shd w:val="clear" w:color="auto" w:fill="auto"/>
            <w:noWrap/>
            <w:vAlign w:val="bottom"/>
          </w:tcPr>
          <w:p w14:paraId="5AF944D7" w14:textId="329987FE"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6.93 [0.99,</w:t>
            </w:r>
            <w:r w:rsidR="00A86A27" w:rsidRPr="001F21FE">
              <w:rPr>
                <w:rFonts w:ascii="Arial" w:eastAsia="맑은 고딕" w:hAnsi="Arial" w:cs="Arial"/>
                <w:color w:val="000000"/>
                <w:szCs w:val="20"/>
              </w:rPr>
              <w:t xml:space="preserve"> 48.70]</w:t>
            </w:r>
          </w:p>
        </w:tc>
        <w:tc>
          <w:tcPr>
            <w:tcW w:w="290" w:type="pct"/>
            <w:shd w:val="clear" w:color="auto" w:fill="auto"/>
            <w:noWrap/>
            <w:vAlign w:val="bottom"/>
          </w:tcPr>
          <w:p w14:paraId="27D2C5F2" w14:textId="073A431C"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0.052</w:t>
            </w:r>
          </w:p>
        </w:tc>
        <w:tc>
          <w:tcPr>
            <w:tcW w:w="547" w:type="pct"/>
            <w:shd w:val="clear" w:color="auto" w:fill="auto"/>
            <w:noWrap/>
            <w:vAlign w:val="bottom"/>
          </w:tcPr>
          <w:p w14:paraId="5C00A696" w14:textId="6B6091AD"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2.57 [</w:t>
            </w:r>
            <w:r w:rsidR="005723A3" w:rsidRPr="001F21FE">
              <w:rPr>
                <w:rFonts w:ascii="Arial" w:eastAsia="맑은 고딕" w:hAnsi="Arial" w:cs="Arial"/>
                <w:color w:val="000000"/>
                <w:szCs w:val="20"/>
              </w:rPr>
              <w:t>1.66,</w:t>
            </w:r>
            <w:r w:rsidRPr="001F21FE">
              <w:rPr>
                <w:rFonts w:ascii="Arial" w:eastAsia="맑은 고딕" w:hAnsi="Arial" w:cs="Arial"/>
                <w:color w:val="000000"/>
                <w:szCs w:val="20"/>
              </w:rPr>
              <w:t xml:space="preserve"> 3.97]</w:t>
            </w:r>
          </w:p>
        </w:tc>
        <w:tc>
          <w:tcPr>
            <w:tcW w:w="289" w:type="pct"/>
            <w:shd w:val="clear" w:color="auto" w:fill="auto"/>
            <w:noWrap/>
            <w:vAlign w:val="bottom"/>
          </w:tcPr>
          <w:p w14:paraId="2003A1E2" w14:textId="7D0B2648"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&lt;0.001</w:t>
            </w:r>
          </w:p>
        </w:tc>
      </w:tr>
      <w:tr w:rsidR="005723A3" w:rsidRPr="001F21FE" w14:paraId="142D5D35" w14:textId="77777777" w:rsidTr="00A86A27">
        <w:trPr>
          <w:trHeight w:val="300"/>
        </w:trPr>
        <w:tc>
          <w:tcPr>
            <w:tcW w:w="1260" w:type="pct"/>
            <w:shd w:val="clear" w:color="auto" w:fill="auto"/>
            <w:noWrap/>
            <w:vAlign w:val="bottom"/>
          </w:tcPr>
          <w:p w14:paraId="61F77C28" w14:textId="16DC8B45"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Arial Unicode MS" w:hAnsi="Arial" w:cs="Arial"/>
                <w:color w:val="000000" w:themeColor="text1"/>
                <w:kern w:val="0"/>
                <w:szCs w:val="20"/>
              </w:rPr>
              <w:t>Chronic obstructive pulmonary disease</w:t>
            </w:r>
          </w:p>
        </w:tc>
        <w:tc>
          <w:tcPr>
            <w:tcW w:w="760" w:type="pct"/>
            <w:shd w:val="clear" w:color="auto" w:fill="auto"/>
            <w:noWrap/>
            <w:vAlign w:val="bottom"/>
          </w:tcPr>
          <w:p w14:paraId="6E62E711" w14:textId="1C4A4638"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3.19 [2.21,</w:t>
            </w:r>
            <w:r w:rsidR="00A86A27" w:rsidRPr="001F21FE">
              <w:rPr>
                <w:rFonts w:ascii="Arial" w:eastAsia="맑은 고딕" w:hAnsi="Arial" w:cs="Arial"/>
                <w:color w:val="000000"/>
                <w:szCs w:val="20"/>
              </w:rPr>
              <w:t xml:space="preserve"> 4.60]</w:t>
            </w:r>
          </w:p>
        </w:tc>
        <w:tc>
          <w:tcPr>
            <w:tcW w:w="289" w:type="pct"/>
            <w:shd w:val="clear" w:color="auto" w:fill="auto"/>
            <w:noWrap/>
            <w:vAlign w:val="bottom"/>
          </w:tcPr>
          <w:p w14:paraId="63475D87" w14:textId="328FE7B2"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&lt;0.001</w:t>
            </w:r>
          </w:p>
        </w:tc>
        <w:tc>
          <w:tcPr>
            <w:tcW w:w="570" w:type="pct"/>
            <w:shd w:val="clear" w:color="auto" w:fill="auto"/>
            <w:noWrap/>
            <w:vAlign w:val="bottom"/>
          </w:tcPr>
          <w:p w14:paraId="43DBE2AD"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6593F07F"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706" w:type="pct"/>
            <w:shd w:val="clear" w:color="auto" w:fill="auto"/>
            <w:noWrap/>
            <w:vAlign w:val="bottom"/>
          </w:tcPr>
          <w:p w14:paraId="777E1652" w14:textId="7084DE82"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2.95 [2.03,</w:t>
            </w:r>
            <w:r w:rsidR="00A86A27" w:rsidRPr="001F21FE">
              <w:rPr>
                <w:rFonts w:ascii="Arial" w:eastAsia="맑은 고딕" w:hAnsi="Arial" w:cs="Arial"/>
                <w:color w:val="000000"/>
                <w:szCs w:val="20"/>
              </w:rPr>
              <w:t xml:space="preserve"> 4.29]</w:t>
            </w:r>
          </w:p>
        </w:tc>
        <w:tc>
          <w:tcPr>
            <w:tcW w:w="290" w:type="pct"/>
            <w:shd w:val="clear" w:color="auto" w:fill="auto"/>
            <w:noWrap/>
            <w:vAlign w:val="bottom"/>
          </w:tcPr>
          <w:p w14:paraId="3B2B2DFE" w14:textId="10C96D8A"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&lt;0.001</w:t>
            </w:r>
          </w:p>
        </w:tc>
        <w:tc>
          <w:tcPr>
            <w:tcW w:w="547" w:type="pct"/>
            <w:shd w:val="clear" w:color="auto" w:fill="auto"/>
            <w:noWrap/>
            <w:vAlign w:val="bottom"/>
          </w:tcPr>
          <w:p w14:paraId="029039D3"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7207113E"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r>
      <w:tr w:rsidR="005723A3" w:rsidRPr="001F21FE" w14:paraId="386DC5FD" w14:textId="77777777" w:rsidTr="00A86A27">
        <w:trPr>
          <w:trHeight w:val="300"/>
        </w:trPr>
        <w:tc>
          <w:tcPr>
            <w:tcW w:w="1260" w:type="pct"/>
            <w:shd w:val="clear" w:color="auto" w:fill="auto"/>
            <w:noWrap/>
          </w:tcPr>
          <w:p w14:paraId="2CA179FD" w14:textId="3D90E55C"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themeColor="text1"/>
                <w:kern w:val="0"/>
                <w:szCs w:val="20"/>
              </w:rPr>
              <w:t>Current smoking</w:t>
            </w:r>
          </w:p>
        </w:tc>
        <w:tc>
          <w:tcPr>
            <w:tcW w:w="760" w:type="pct"/>
            <w:shd w:val="clear" w:color="auto" w:fill="auto"/>
            <w:noWrap/>
            <w:vAlign w:val="bottom"/>
          </w:tcPr>
          <w:p w14:paraId="49D19AC7" w14:textId="0EF6906E"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0.97 [0.40,</w:t>
            </w:r>
            <w:r w:rsidR="00A86A27" w:rsidRPr="001F21FE">
              <w:rPr>
                <w:rFonts w:ascii="Arial" w:eastAsia="맑은 고딕" w:hAnsi="Arial" w:cs="Arial"/>
                <w:color w:val="000000"/>
                <w:szCs w:val="20"/>
              </w:rPr>
              <w:t xml:space="preserve"> 2.32]</w:t>
            </w:r>
          </w:p>
        </w:tc>
        <w:tc>
          <w:tcPr>
            <w:tcW w:w="289" w:type="pct"/>
            <w:shd w:val="clear" w:color="auto" w:fill="auto"/>
            <w:noWrap/>
            <w:vAlign w:val="bottom"/>
          </w:tcPr>
          <w:p w14:paraId="092BA328" w14:textId="16783164"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0.941</w:t>
            </w:r>
          </w:p>
        </w:tc>
        <w:tc>
          <w:tcPr>
            <w:tcW w:w="570" w:type="pct"/>
            <w:shd w:val="clear" w:color="auto" w:fill="auto"/>
            <w:noWrap/>
            <w:vAlign w:val="bottom"/>
          </w:tcPr>
          <w:p w14:paraId="6A1EE75B"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3E9E863E"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706" w:type="pct"/>
            <w:shd w:val="clear" w:color="auto" w:fill="auto"/>
            <w:noWrap/>
            <w:vAlign w:val="bottom"/>
          </w:tcPr>
          <w:p w14:paraId="6290DFD9" w14:textId="0CF35655"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0.69 [0.27,</w:t>
            </w:r>
            <w:r w:rsidR="00A86A27" w:rsidRPr="001F21FE">
              <w:rPr>
                <w:rFonts w:ascii="Arial" w:eastAsia="맑은 고딕" w:hAnsi="Arial" w:cs="Arial"/>
                <w:color w:val="000000"/>
                <w:szCs w:val="20"/>
              </w:rPr>
              <w:t xml:space="preserve"> 1.74]</w:t>
            </w:r>
          </w:p>
        </w:tc>
        <w:tc>
          <w:tcPr>
            <w:tcW w:w="290" w:type="pct"/>
            <w:shd w:val="clear" w:color="auto" w:fill="auto"/>
            <w:noWrap/>
            <w:vAlign w:val="bottom"/>
          </w:tcPr>
          <w:p w14:paraId="6AE8742D" w14:textId="7EAC3FCC"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0.431</w:t>
            </w:r>
          </w:p>
        </w:tc>
        <w:tc>
          <w:tcPr>
            <w:tcW w:w="547" w:type="pct"/>
            <w:shd w:val="clear" w:color="auto" w:fill="auto"/>
            <w:noWrap/>
            <w:vAlign w:val="bottom"/>
          </w:tcPr>
          <w:p w14:paraId="72BDD536"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77A963FD"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r>
      <w:tr w:rsidR="005723A3" w:rsidRPr="001F21FE" w14:paraId="6DE4DEDD" w14:textId="77777777" w:rsidTr="00A86A27">
        <w:trPr>
          <w:trHeight w:val="300"/>
        </w:trPr>
        <w:tc>
          <w:tcPr>
            <w:tcW w:w="1260" w:type="pct"/>
            <w:shd w:val="clear" w:color="auto" w:fill="auto"/>
            <w:noWrap/>
            <w:vAlign w:val="bottom"/>
          </w:tcPr>
          <w:p w14:paraId="65637584" w14:textId="62D5C6A4"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themeColor="text1"/>
                <w:kern w:val="0"/>
                <w:szCs w:val="20"/>
              </w:rPr>
              <w:t>ARISCAT risk index ≥26</w:t>
            </w:r>
          </w:p>
        </w:tc>
        <w:tc>
          <w:tcPr>
            <w:tcW w:w="760" w:type="pct"/>
            <w:shd w:val="clear" w:color="auto" w:fill="auto"/>
            <w:noWrap/>
            <w:vAlign w:val="bottom"/>
          </w:tcPr>
          <w:p w14:paraId="33A03AFF" w14:textId="39F4FDA3"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0.09 [0.01,</w:t>
            </w:r>
            <w:r w:rsidR="00A86A27" w:rsidRPr="001F21FE">
              <w:rPr>
                <w:rFonts w:ascii="Arial" w:eastAsia="맑은 고딕" w:hAnsi="Arial" w:cs="Arial"/>
                <w:color w:val="000000"/>
                <w:szCs w:val="20"/>
              </w:rPr>
              <w:t xml:space="preserve"> 0.85]</w:t>
            </w:r>
          </w:p>
        </w:tc>
        <w:tc>
          <w:tcPr>
            <w:tcW w:w="289" w:type="pct"/>
            <w:shd w:val="clear" w:color="auto" w:fill="auto"/>
            <w:noWrap/>
            <w:vAlign w:val="bottom"/>
          </w:tcPr>
          <w:p w14:paraId="25040DA6" w14:textId="23A7DFC2"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0.035</w:t>
            </w:r>
          </w:p>
        </w:tc>
        <w:tc>
          <w:tcPr>
            <w:tcW w:w="570" w:type="pct"/>
            <w:shd w:val="clear" w:color="auto" w:fill="auto"/>
            <w:noWrap/>
            <w:vAlign w:val="bottom"/>
          </w:tcPr>
          <w:p w14:paraId="278C57F2"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4E16B30F"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706" w:type="pct"/>
            <w:shd w:val="clear" w:color="auto" w:fill="auto"/>
            <w:noWrap/>
            <w:vAlign w:val="bottom"/>
          </w:tcPr>
          <w:p w14:paraId="57E01F9D" w14:textId="26AD90B0"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0.16 [0.02,</w:t>
            </w:r>
            <w:r w:rsidR="00A86A27" w:rsidRPr="001F21FE">
              <w:rPr>
                <w:rFonts w:ascii="Arial" w:eastAsia="맑은 고딕" w:hAnsi="Arial" w:cs="Arial"/>
                <w:color w:val="000000"/>
                <w:szCs w:val="20"/>
              </w:rPr>
              <w:t xml:space="preserve"> 1.75]</w:t>
            </w:r>
          </w:p>
        </w:tc>
        <w:tc>
          <w:tcPr>
            <w:tcW w:w="290" w:type="pct"/>
            <w:shd w:val="clear" w:color="auto" w:fill="auto"/>
            <w:noWrap/>
            <w:vAlign w:val="bottom"/>
          </w:tcPr>
          <w:p w14:paraId="4C29A9B8" w14:textId="00CCDC8E"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0.134</w:t>
            </w:r>
          </w:p>
        </w:tc>
        <w:tc>
          <w:tcPr>
            <w:tcW w:w="547" w:type="pct"/>
            <w:shd w:val="clear" w:color="auto" w:fill="auto"/>
            <w:noWrap/>
            <w:vAlign w:val="bottom"/>
          </w:tcPr>
          <w:p w14:paraId="7560CFF5"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1E16DB39"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r>
      <w:tr w:rsidR="005723A3" w:rsidRPr="001F21FE" w14:paraId="131E1204" w14:textId="77777777" w:rsidTr="00A86A27">
        <w:trPr>
          <w:trHeight w:val="300"/>
        </w:trPr>
        <w:tc>
          <w:tcPr>
            <w:tcW w:w="1260" w:type="pct"/>
            <w:shd w:val="clear" w:color="auto" w:fill="auto"/>
            <w:noWrap/>
            <w:vAlign w:val="bottom"/>
          </w:tcPr>
          <w:p w14:paraId="205AAAF9" w14:textId="7F2888E2" w:rsidR="00A86A27" w:rsidRPr="001F21FE" w:rsidRDefault="001F21FE"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themeColor="text1"/>
                <w:kern w:val="0"/>
                <w:szCs w:val="20"/>
              </w:rPr>
              <w:t>WBC</w:t>
            </w:r>
            <w:r w:rsidR="00A86A27" w:rsidRPr="001F21FE">
              <w:rPr>
                <w:rFonts w:ascii="Arial" w:eastAsia="맑은 고딕" w:hAnsi="Arial" w:cs="Arial"/>
                <w:color w:val="000000" w:themeColor="text1"/>
                <w:kern w:val="0"/>
                <w:szCs w:val="20"/>
              </w:rPr>
              <w:t xml:space="preserve">, </w:t>
            </w:r>
            <w:r w:rsidRPr="001F21FE">
              <w:rPr>
                <w:rFonts w:ascii="Arial" w:eastAsia="맑은 고딕" w:hAnsi="Arial" w:cs="Arial"/>
                <w:sz w:val="18"/>
                <w:szCs w:val="18"/>
              </w:rPr>
              <w:t>10</w:t>
            </w:r>
            <w:r w:rsidRPr="001F21FE">
              <w:rPr>
                <w:rFonts w:ascii="Arial" w:eastAsia="맑은 고딕" w:hAnsi="Arial" w:cs="Arial"/>
                <w:sz w:val="18"/>
                <w:szCs w:val="18"/>
                <w:vertAlign w:val="superscript"/>
              </w:rPr>
              <w:t>3</w:t>
            </w:r>
            <w:r w:rsidRPr="001F21FE">
              <w:rPr>
                <w:rFonts w:ascii="Arial" w:eastAsia="맑은 고딕" w:hAnsi="Arial" w:cs="Arial"/>
                <w:sz w:val="18"/>
                <w:szCs w:val="18"/>
              </w:rPr>
              <w:t>/µL</w:t>
            </w:r>
          </w:p>
        </w:tc>
        <w:tc>
          <w:tcPr>
            <w:tcW w:w="760" w:type="pct"/>
            <w:shd w:val="clear" w:color="auto" w:fill="auto"/>
            <w:noWrap/>
            <w:vAlign w:val="bottom"/>
          </w:tcPr>
          <w:p w14:paraId="515DD105" w14:textId="2249ED01"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1.08 [1.03,</w:t>
            </w:r>
            <w:r w:rsidR="00A86A27" w:rsidRPr="001F21FE">
              <w:rPr>
                <w:rFonts w:ascii="Arial" w:eastAsia="맑은 고딕" w:hAnsi="Arial" w:cs="Arial"/>
                <w:color w:val="000000"/>
                <w:szCs w:val="20"/>
              </w:rPr>
              <w:t xml:space="preserve"> 1.13]</w:t>
            </w:r>
          </w:p>
        </w:tc>
        <w:tc>
          <w:tcPr>
            <w:tcW w:w="289" w:type="pct"/>
            <w:shd w:val="clear" w:color="auto" w:fill="auto"/>
            <w:noWrap/>
            <w:vAlign w:val="bottom"/>
          </w:tcPr>
          <w:p w14:paraId="1728A05C" w14:textId="7B423614"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0.002</w:t>
            </w:r>
          </w:p>
        </w:tc>
        <w:tc>
          <w:tcPr>
            <w:tcW w:w="570" w:type="pct"/>
            <w:shd w:val="clear" w:color="auto" w:fill="auto"/>
            <w:noWrap/>
            <w:vAlign w:val="bottom"/>
          </w:tcPr>
          <w:p w14:paraId="0C9CA059" w14:textId="3707B19E"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1.14 [</w:t>
            </w:r>
            <w:r w:rsidR="005723A3" w:rsidRPr="001F21FE">
              <w:rPr>
                <w:rFonts w:ascii="Arial" w:eastAsia="맑은 고딕" w:hAnsi="Arial" w:cs="Arial"/>
                <w:color w:val="000000"/>
                <w:szCs w:val="20"/>
              </w:rPr>
              <w:t>1.08,</w:t>
            </w:r>
            <w:r w:rsidRPr="001F21FE">
              <w:rPr>
                <w:rFonts w:ascii="Arial" w:eastAsia="맑은 고딕" w:hAnsi="Arial" w:cs="Arial"/>
                <w:color w:val="000000"/>
                <w:szCs w:val="20"/>
              </w:rPr>
              <w:t xml:space="preserve"> 1.21]</w:t>
            </w:r>
          </w:p>
        </w:tc>
        <w:tc>
          <w:tcPr>
            <w:tcW w:w="289" w:type="pct"/>
            <w:shd w:val="clear" w:color="auto" w:fill="auto"/>
            <w:noWrap/>
            <w:vAlign w:val="bottom"/>
          </w:tcPr>
          <w:p w14:paraId="6FC02F46" w14:textId="6F5DE2CE"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&lt;0.001</w:t>
            </w:r>
          </w:p>
        </w:tc>
        <w:tc>
          <w:tcPr>
            <w:tcW w:w="706" w:type="pct"/>
            <w:shd w:val="clear" w:color="auto" w:fill="auto"/>
            <w:noWrap/>
            <w:vAlign w:val="bottom"/>
          </w:tcPr>
          <w:p w14:paraId="3AE2926E" w14:textId="682C55D9"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1.14 [1.09,</w:t>
            </w:r>
            <w:r w:rsidR="00A86A27" w:rsidRPr="001F21FE">
              <w:rPr>
                <w:rFonts w:ascii="Arial" w:eastAsia="맑은 고딕" w:hAnsi="Arial" w:cs="Arial"/>
                <w:color w:val="000000"/>
                <w:szCs w:val="20"/>
              </w:rPr>
              <w:t xml:space="preserve"> 1.20]</w:t>
            </w:r>
          </w:p>
        </w:tc>
        <w:tc>
          <w:tcPr>
            <w:tcW w:w="290" w:type="pct"/>
            <w:shd w:val="clear" w:color="auto" w:fill="auto"/>
            <w:noWrap/>
            <w:vAlign w:val="bottom"/>
          </w:tcPr>
          <w:p w14:paraId="2118657F" w14:textId="686476DE"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&lt;0.001</w:t>
            </w:r>
          </w:p>
        </w:tc>
        <w:tc>
          <w:tcPr>
            <w:tcW w:w="547" w:type="pct"/>
            <w:shd w:val="clear" w:color="auto" w:fill="auto"/>
            <w:noWrap/>
            <w:vAlign w:val="bottom"/>
          </w:tcPr>
          <w:p w14:paraId="3FFA8351" w14:textId="4E9977B6"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088C8D86" w14:textId="7E5CF114"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r>
      <w:tr w:rsidR="005723A3" w:rsidRPr="001F21FE" w14:paraId="077DD68E" w14:textId="77777777" w:rsidTr="00A86A27">
        <w:trPr>
          <w:trHeight w:val="300"/>
        </w:trPr>
        <w:tc>
          <w:tcPr>
            <w:tcW w:w="1260" w:type="pct"/>
            <w:shd w:val="clear" w:color="auto" w:fill="auto"/>
            <w:noWrap/>
          </w:tcPr>
          <w:p w14:paraId="3E84D320" w14:textId="4B64D38B"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themeColor="text1"/>
                <w:kern w:val="0"/>
                <w:szCs w:val="20"/>
              </w:rPr>
              <w:t>Hb, g/dL</w:t>
            </w:r>
          </w:p>
        </w:tc>
        <w:tc>
          <w:tcPr>
            <w:tcW w:w="760" w:type="pct"/>
            <w:shd w:val="clear" w:color="auto" w:fill="auto"/>
            <w:noWrap/>
            <w:vAlign w:val="bottom"/>
          </w:tcPr>
          <w:p w14:paraId="08A45070" w14:textId="30D825B5"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0.78 [0.71,</w:t>
            </w:r>
            <w:r w:rsidR="00A86A27" w:rsidRPr="001F21FE">
              <w:rPr>
                <w:rFonts w:ascii="Arial" w:eastAsia="맑은 고딕" w:hAnsi="Arial" w:cs="Arial"/>
                <w:color w:val="000000"/>
                <w:szCs w:val="20"/>
              </w:rPr>
              <w:t xml:space="preserve"> 0.85]</w:t>
            </w:r>
          </w:p>
        </w:tc>
        <w:tc>
          <w:tcPr>
            <w:tcW w:w="289" w:type="pct"/>
            <w:shd w:val="clear" w:color="auto" w:fill="auto"/>
            <w:noWrap/>
            <w:vAlign w:val="bottom"/>
          </w:tcPr>
          <w:p w14:paraId="22AE9C0D" w14:textId="10167554"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&lt;0.001</w:t>
            </w:r>
          </w:p>
        </w:tc>
        <w:tc>
          <w:tcPr>
            <w:tcW w:w="570" w:type="pct"/>
            <w:shd w:val="clear" w:color="auto" w:fill="auto"/>
            <w:noWrap/>
            <w:vAlign w:val="bottom"/>
          </w:tcPr>
          <w:p w14:paraId="1FA55D84"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26014CAC"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706" w:type="pct"/>
            <w:shd w:val="clear" w:color="auto" w:fill="auto"/>
            <w:noWrap/>
            <w:vAlign w:val="bottom"/>
          </w:tcPr>
          <w:p w14:paraId="1AE73369" w14:textId="560E876A"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0.90 [0.82,</w:t>
            </w:r>
            <w:r w:rsidR="00A86A27" w:rsidRPr="001F21FE">
              <w:rPr>
                <w:rFonts w:ascii="Arial" w:eastAsia="맑은 고딕" w:hAnsi="Arial" w:cs="Arial"/>
                <w:color w:val="000000"/>
                <w:szCs w:val="20"/>
              </w:rPr>
              <w:t xml:space="preserve"> 0.98]</w:t>
            </w:r>
          </w:p>
        </w:tc>
        <w:tc>
          <w:tcPr>
            <w:tcW w:w="290" w:type="pct"/>
            <w:shd w:val="clear" w:color="auto" w:fill="auto"/>
            <w:noWrap/>
            <w:vAlign w:val="bottom"/>
          </w:tcPr>
          <w:p w14:paraId="32ABFD37" w14:textId="1B849EC4"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0.018</w:t>
            </w:r>
          </w:p>
        </w:tc>
        <w:tc>
          <w:tcPr>
            <w:tcW w:w="547" w:type="pct"/>
            <w:shd w:val="clear" w:color="auto" w:fill="auto"/>
            <w:noWrap/>
            <w:vAlign w:val="bottom"/>
          </w:tcPr>
          <w:p w14:paraId="0B1DF80E"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17C1F918"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r>
      <w:tr w:rsidR="005723A3" w:rsidRPr="001F21FE" w14:paraId="2D7A9D20" w14:textId="77777777" w:rsidTr="00A86A27">
        <w:trPr>
          <w:trHeight w:val="300"/>
        </w:trPr>
        <w:tc>
          <w:tcPr>
            <w:tcW w:w="1260" w:type="pct"/>
            <w:shd w:val="clear" w:color="auto" w:fill="auto"/>
            <w:noWrap/>
          </w:tcPr>
          <w:p w14:paraId="1621172D" w14:textId="7A0CF8F9"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themeColor="text1"/>
                <w:kern w:val="0"/>
                <w:szCs w:val="20"/>
              </w:rPr>
              <w:t xml:space="preserve">Platelet count, </w:t>
            </w:r>
            <w:r w:rsidRPr="001F21FE">
              <w:rPr>
                <w:rFonts w:ascii="Arial" w:eastAsia="맑은 고딕" w:hAnsi="Arial" w:cs="Arial"/>
                <w:color w:val="000000" w:themeColor="text1"/>
              </w:rPr>
              <w:t>10</w:t>
            </w:r>
            <w:r w:rsidRPr="001F21FE">
              <w:rPr>
                <w:rFonts w:ascii="Arial" w:eastAsia="맑은 고딕" w:hAnsi="Arial" w:cs="Arial"/>
                <w:color w:val="000000" w:themeColor="text1"/>
                <w:vertAlign w:val="superscript"/>
              </w:rPr>
              <w:t>3</w:t>
            </w:r>
            <w:r w:rsidRPr="001F21FE">
              <w:rPr>
                <w:rFonts w:ascii="Arial" w:eastAsia="맑은 고딕" w:hAnsi="Arial" w:cs="Arial"/>
                <w:color w:val="000000" w:themeColor="text1"/>
              </w:rPr>
              <w:t>/uL</w:t>
            </w:r>
          </w:p>
        </w:tc>
        <w:tc>
          <w:tcPr>
            <w:tcW w:w="760" w:type="pct"/>
            <w:shd w:val="clear" w:color="auto" w:fill="auto"/>
            <w:noWrap/>
            <w:vAlign w:val="bottom"/>
          </w:tcPr>
          <w:p w14:paraId="0E82CCD4" w14:textId="48E01E2C"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1.00 [1.00,</w:t>
            </w:r>
            <w:r w:rsidR="00A86A27" w:rsidRPr="001F21FE">
              <w:rPr>
                <w:rFonts w:ascii="Arial" w:eastAsia="맑은 고딕" w:hAnsi="Arial" w:cs="Arial"/>
                <w:color w:val="000000"/>
                <w:szCs w:val="20"/>
              </w:rPr>
              <w:t xml:space="preserve"> 1.01]</w:t>
            </w:r>
          </w:p>
        </w:tc>
        <w:tc>
          <w:tcPr>
            <w:tcW w:w="289" w:type="pct"/>
            <w:shd w:val="clear" w:color="auto" w:fill="auto"/>
            <w:noWrap/>
            <w:vAlign w:val="bottom"/>
          </w:tcPr>
          <w:p w14:paraId="4AF88C53" w14:textId="1092AEB6"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&lt;0.001</w:t>
            </w:r>
          </w:p>
        </w:tc>
        <w:tc>
          <w:tcPr>
            <w:tcW w:w="570" w:type="pct"/>
            <w:shd w:val="clear" w:color="auto" w:fill="auto"/>
            <w:noWrap/>
            <w:vAlign w:val="bottom"/>
          </w:tcPr>
          <w:p w14:paraId="3C2C258B" w14:textId="06447899"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04A913BA" w14:textId="71813E6B"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706" w:type="pct"/>
            <w:shd w:val="clear" w:color="auto" w:fill="auto"/>
            <w:noWrap/>
            <w:vAlign w:val="bottom"/>
          </w:tcPr>
          <w:p w14:paraId="65666BF5" w14:textId="7776238B"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1.00 [1.00,</w:t>
            </w:r>
            <w:r w:rsidR="00A86A27" w:rsidRPr="001F21FE">
              <w:rPr>
                <w:rFonts w:ascii="Arial" w:eastAsia="맑은 고딕" w:hAnsi="Arial" w:cs="Arial"/>
                <w:color w:val="000000"/>
                <w:szCs w:val="20"/>
              </w:rPr>
              <w:t xml:space="preserve"> 1.00]</w:t>
            </w:r>
          </w:p>
        </w:tc>
        <w:tc>
          <w:tcPr>
            <w:tcW w:w="290" w:type="pct"/>
            <w:shd w:val="clear" w:color="auto" w:fill="auto"/>
            <w:noWrap/>
            <w:vAlign w:val="bottom"/>
          </w:tcPr>
          <w:p w14:paraId="25488859" w14:textId="31583C75"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&lt;0.001</w:t>
            </w:r>
          </w:p>
        </w:tc>
        <w:tc>
          <w:tcPr>
            <w:tcW w:w="547" w:type="pct"/>
            <w:shd w:val="clear" w:color="auto" w:fill="auto"/>
            <w:noWrap/>
            <w:vAlign w:val="bottom"/>
          </w:tcPr>
          <w:p w14:paraId="6AA378D9" w14:textId="28B682AE"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1C6017B8" w14:textId="555B401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r>
      <w:tr w:rsidR="005723A3" w:rsidRPr="001F21FE" w14:paraId="7178F47F" w14:textId="77777777" w:rsidTr="00A86A27">
        <w:trPr>
          <w:trHeight w:val="300"/>
        </w:trPr>
        <w:tc>
          <w:tcPr>
            <w:tcW w:w="1260" w:type="pct"/>
            <w:shd w:val="clear" w:color="auto" w:fill="auto"/>
            <w:noWrap/>
          </w:tcPr>
          <w:p w14:paraId="136FC685" w14:textId="41B2723C"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themeColor="text1"/>
                <w:kern w:val="0"/>
                <w:szCs w:val="20"/>
              </w:rPr>
              <w:t>Intraoperative red blood cell transfusion</w:t>
            </w:r>
          </w:p>
        </w:tc>
        <w:tc>
          <w:tcPr>
            <w:tcW w:w="760" w:type="pct"/>
            <w:shd w:val="clear" w:color="auto" w:fill="auto"/>
            <w:noWrap/>
            <w:vAlign w:val="bottom"/>
          </w:tcPr>
          <w:p w14:paraId="421F9D5B" w14:textId="0D487009"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3.09 [2.39,</w:t>
            </w:r>
            <w:r w:rsidR="00A86A27" w:rsidRPr="001F21FE">
              <w:rPr>
                <w:rFonts w:ascii="Arial" w:eastAsia="맑은 고딕" w:hAnsi="Arial" w:cs="Arial"/>
                <w:color w:val="000000"/>
                <w:szCs w:val="20"/>
              </w:rPr>
              <w:t xml:space="preserve"> 4.00]</w:t>
            </w:r>
          </w:p>
        </w:tc>
        <w:tc>
          <w:tcPr>
            <w:tcW w:w="289" w:type="pct"/>
            <w:shd w:val="clear" w:color="auto" w:fill="auto"/>
            <w:noWrap/>
            <w:vAlign w:val="bottom"/>
          </w:tcPr>
          <w:p w14:paraId="51E47902" w14:textId="398660B4"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&lt;0.001</w:t>
            </w:r>
          </w:p>
        </w:tc>
        <w:tc>
          <w:tcPr>
            <w:tcW w:w="570" w:type="pct"/>
            <w:shd w:val="clear" w:color="auto" w:fill="auto"/>
            <w:noWrap/>
            <w:vAlign w:val="bottom"/>
          </w:tcPr>
          <w:p w14:paraId="45033078"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26675745"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706" w:type="pct"/>
            <w:shd w:val="clear" w:color="auto" w:fill="auto"/>
            <w:noWrap/>
            <w:vAlign w:val="bottom"/>
          </w:tcPr>
          <w:p w14:paraId="658BA637" w14:textId="3B1DA625"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2.73 [2.10,</w:t>
            </w:r>
            <w:r w:rsidR="00A86A27" w:rsidRPr="001F21FE">
              <w:rPr>
                <w:rFonts w:ascii="Arial" w:eastAsia="맑은 고딕" w:hAnsi="Arial" w:cs="Arial"/>
                <w:color w:val="000000"/>
                <w:szCs w:val="20"/>
              </w:rPr>
              <w:t xml:space="preserve"> 3.54]</w:t>
            </w:r>
          </w:p>
        </w:tc>
        <w:tc>
          <w:tcPr>
            <w:tcW w:w="290" w:type="pct"/>
            <w:shd w:val="clear" w:color="auto" w:fill="auto"/>
            <w:noWrap/>
            <w:vAlign w:val="bottom"/>
          </w:tcPr>
          <w:p w14:paraId="39747601" w14:textId="27AFA5AE"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&lt;0.001</w:t>
            </w:r>
          </w:p>
        </w:tc>
        <w:tc>
          <w:tcPr>
            <w:tcW w:w="547" w:type="pct"/>
            <w:shd w:val="clear" w:color="auto" w:fill="auto"/>
            <w:noWrap/>
            <w:vAlign w:val="bottom"/>
          </w:tcPr>
          <w:p w14:paraId="43DFDF07" w14:textId="6D64CECA"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c>
          <w:tcPr>
            <w:tcW w:w="289" w:type="pct"/>
            <w:shd w:val="clear" w:color="auto" w:fill="auto"/>
            <w:noWrap/>
            <w:vAlign w:val="bottom"/>
          </w:tcPr>
          <w:p w14:paraId="7E7BE123" w14:textId="3712F599"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p>
        </w:tc>
      </w:tr>
      <w:tr w:rsidR="005723A3" w:rsidRPr="001F21FE" w14:paraId="6218E2C8" w14:textId="77777777" w:rsidTr="00A86A27">
        <w:trPr>
          <w:trHeight w:val="300"/>
        </w:trPr>
        <w:tc>
          <w:tcPr>
            <w:tcW w:w="1260" w:type="pct"/>
            <w:shd w:val="clear" w:color="auto" w:fill="auto"/>
            <w:noWrap/>
            <w:vAlign w:val="bottom"/>
          </w:tcPr>
          <w:p w14:paraId="22F37E34" w14:textId="142C9CDB"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themeColor="text1"/>
                <w:kern w:val="0"/>
                <w:szCs w:val="20"/>
              </w:rPr>
              <w:t>Robot or laparoscopic surgery</w:t>
            </w:r>
          </w:p>
        </w:tc>
        <w:tc>
          <w:tcPr>
            <w:tcW w:w="760" w:type="pct"/>
            <w:shd w:val="clear" w:color="auto" w:fill="auto"/>
            <w:noWrap/>
            <w:vAlign w:val="bottom"/>
          </w:tcPr>
          <w:p w14:paraId="723D4DA8" w14:textId="16AFC8A5"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highlight w:val="yellow"/>
              </w:rPr>
            </w:pPr>
            <w:r w:rsidRPr="001F21FE">
              <w:rPr>
                <w:rFonts w:ascii="Arial" w:eastAsia="맑은 고딕" w:hAnsi="Arial" w:cs="Arial"/>
                <w:color w:val="000000"/>
                <w:szCs w:val="20"/>
              </w:rPr>
              <w:t>0.21 [0.12,</w:t>
            </w:r>
            <w:r w:rsidR="00A86A27" w:rsidRPr="001F21FE">
              <w:rPr>
                <w:rFonts w:ascii="Arial" w:eastAsia="맑은 고딕" w:hAnsi="Arial" w:cs="Arial"/>
                <w:color w:val="000000"/>
                <w:szCs w:val="20"/>
              </w:rPr>
              <w:t xml:space="preserve"> 0.36]</w:t>
            </w:r>
          </w:p>
        </w:tc>
        <w:tc>
          <w:tcPr>
            <w:tcW w:w="289" w:type="pct"/>
            <w:shd w:val="clear" w:color="auto" w:fill="auto"/>
            <w:noWrap/>
            <w:vAlign w:val="bottom"/>
          </w:tcPr>
          <w:p w14:paraId="34D90BC9" w14:textId="52213AE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highlight w:val="yellow"/>
              </w:rPr>
            </w:pPr>
            <w:r w:rsidRPr="001F21FE">
              <w:rPr>
                <w:rFonts w:ascii="Arial" w:eastAsia="맑은 고딕" w:hAnsi="Arial" w:cs="Arial"/>
                <w:color w:val="000000"/>
                <w:szCs w:val="20"/>
              </w:rPr>
              <w:t>&lt;0.001</w:t>
            </w:r>
          </w:p>
        </w:tc>
        <w:tc>
          <w:tcPr>
            <w:tcW w:w="570" w:type="pct"/>
            <w:shd w:val="clear" w:color="auto" w:fill="auto"/>
            <w:noWrap/>
            <w:vAlign w:val="bottom"/>
          </w:tcPr>
          <w:p w14:paraId="05A5EB46" w14:textId="5FB0D0E2"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0.33 [</w:t>
            </w:r>
            <w:r w:rsidR="005723A3" w:rsidRPr="001F21FE">
              <w:rPr>
                <w:rFonts w:ascii="Arial" w:eastAsia="맑은 고딕" w:hAnsi="Arial" w:cs="Arial"/>
                <w:color w:val="000000"/>
                <w:szCs w:val="20"/>
              </w:rPr>
              <w:t>0.18,</w:t>
            </w:r>
            <w:r w:rsidRPr="001F21FE">
              <w:rPr>
                <w:rFonts w:ascii="Arial" w:eastAsia="맑은 고딕" w:hAnsi="Arial" w:cs="Arial"/>
                <w:color w:val="000000"/>
                <w:szCs w:val="20"/>
              </w:rPr>
              <w:t xml:space="preserve"> 0.59]</w:t>
            </w:r>
          </w:p>
        </w:tc>
        <w:tc>
          <w:tcPr>
            <w:tcW w:w="289" w:type="pct"/>
            <w:shd w:val="clear" w:color="auto" w:fill="auto"/>
            <w:noWrap/>
            <w:vAlign w:val="bottom"/>
          </w:tcPr>
          <w:p w14:paraId="493F9A52" w14:textId="69BB40B8"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&lt;0.001</w:t>
            </w:r>
          </w:p>
        </w:tc>
        <w:tc>
          <w:tcPr>
            <w:tcW w:w="706" w:type="pct"/>
            <w:shd w:val="clear" w:color="auto" w:fill="auto"/>
            <w:noWrap/>
            <w:vAlign w:val="bottom"/>
          </w:tcPr>
          <w:p w14:paraId="281016FB" w14:textId="30620EE2"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0.23 [0.14,</w:t>
            </w:r>
            <w:r w:rsidR="00A86A27" w:rsidRPr="001F21FE">
              <w:rPr>
                <w:rFonts w:ascii="Arial" w:eastAsia="맑은 고딕" w:hAnsi="Arial" w:cs="Arial"/>
                <w:color w:val="000000"/>
                <w:szCs w:val="20"/>
              </w:rPr>
              <w:t xml:space="preserve"> 0.39]</w:t>
            </w:r>
          </w:p>
        </w:tc>
        <w:tc>
          <w:tcPr>
            <w:tcW w:w="290" w:type="pct"/>
            <w:shd w:val="clear" w:color="auto" w:fill="auto"/>
            <w:noWrap/>
            <w:vAlign w:val="bottom"/>
          </w:tcPr>
          <w:p w14:paraId="0C4E50D6" w14:textId="6C47CA00"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&lt;0.001</w:t>
            </w:r>
          </w:p>
        </w:tc>
        <w:tc>
          <w:tcPr>
            <w:tcW w:w="547" w:type="pct"/>
            <w:shd w:val="clear" w:color="auto" w:fill="auto"/>
            <w:noWrap/>
            <w:vAlign w:val="bottom"/>
          </w:tcPr>
          <w:p w14:paraId="337FD751" w14:textId="01BAC303"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0.33 [</w:t>
            </w:r>
            <w:r w:rsidR="005723A3" w:rsidRPr="001F21FE">
              <w:rPr>
                <w:rFonts w:ascii="Arial" w:eastAsia="맑은 고딕" w:hAnsi="Arial" w:cs="Arial"/>
                <w:color w:val="000000"/>
                <w:szCs w:val="20"/>
              </w:rPr>
              <w:t>0.18,</w:t>
            </w:r>
            <w:r w:rsidRPr="001F21FE">
              <w:rPr>
                <w:rFonts w:ascii="Arial" w:eastAsia="맑은 고딕" w:hAnsi="Arial" w:cs="Arial"/>
                <w:color w:val="000000"/>
                <w:szCs w:val="20"/>
              </w:rPr>
              <w:t xml:space="preserve"> 0.59]</w:t>
            </w:r>
          </w:p>
        </w:tc>
        <w:tc>
          <w:tcPr>
            <w:tcW w:w="289" w:type="pct"/>
            <w:shd w:val="clear" w:color="auto" w:fill="auto"/>
            <w:noWrap/>
            <w:vAlign w:val="bottom"/>
          </w:tcPr>
          <w:p w14:paraId="4A741365" w14:textId="37E31AAE"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&lt;0.001</w:t>
            </w:r>
          </w:p>
        </w:tc>
      </w:tr>
      <w:tr w:rsidR="005723A3" w:rsidRPr="001F21FE" w14:paraId="4AC96E0C" w14:textId="77777777" w:rsidTr="00A86A27">
        <w:trPr>
          <w:trHeight w:val="300"/>
        </w:trPr>
        <w:tc>
          <w:tcPr>
            <w:tcW w:w="1260" w:type="pct"/>
            <w:shd w:val="clear" w:color="auto" w:fill="auto"/>
            <w:noWrap/>
            <w:vAlign w:val="bottom"/>
          </w:tcPr>
          <w:p w14:paraId="68429E32" w14:textId="08AD4431"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themeColor="text1"/>
                <w:kern w:val="0"/>
                <w:szCs w:val="20"/>
              </w:rPr>
              <w:lastRenderedPageBreak/>
              <w:t>O</w:t>
            </w:r>
            <w:r w:rsidR="001F21FE" w:rsidRPr="001F21FE">
              <w:rPr>
                <w:rFonts w:ascii="Arial" w:eastAsia="맑은 고딕" w:hAnsi="Arial" w:cs="Arial"/>
                <w:color w:val="000000" w:themeColor="text1"/>
                <w:kern w:val="0"/>
                <w:szCs w:val="20"/>
              </w:rPr>
              <w:t>peration duration, hr</w:t>
            </w:r>
          </w:p>
        </w:tc>
        <w:tc>
          <w:tcPr>
            <w:tcW w:w="760" w:type="pct"/>
            <w:shd w:val="clear" w:color="auto" w:fill="auto"/>
            <w:noWrap/>
            <w:vAlign w:val="bottom"/>
          </w:tcPr>
          <w:p w14:paraId="5EBBD707" w14:textId="1D6C97CC"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highlight w:val="yellow"/>
              </w:rPr>
            </w:pPr>
            <w:r w:rsidRPr="001F21FE">
              <w:rPr>
                <w:rFonts w:ascii="Arial" w:eastAsia="맑은 고딕" w:hAnsi="Arial" w:cs="Arial"/>
                <w:color w:val="000000"/>
                <w:szCs w:val="20"/>
              </w:rPr>
              <w:t>1.52 [1.42,</w:t>
            </w:r>
            <w:r w:rsidR="00A86A27" w:rsidRPr="001F21FE">
              <w:rPr>
                <w:rFonts w:ascii="Arial" w:eastAsia="맑은 고딕" w:hAnsi="Arial" w:cs="Arial"/>
                <w:color w:val="000000"/>
                <w:szCs w:val="20"/>
              </w:rPr>
              <w:t xml:space="preserve"> 1.63]</w:t>
            </w:r>
          </w:p>
        </w:tc>
        <w:tc>
          <w:tcPr>
            <w:tcW w:w="289" w:type="pct"/>
            <w:shd w:val="clear" w:color="auto" w:fill="auto"/>
            <w:noWrap/>
            <w:vAlign w:val="bottom"/>
          </w:tcPr>
          <w:p w14:paraId="673512D7" w14:textId="0A2A4D76"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highlight w:val="yellow"/>
              </w:rPr>
            </w:pPr>
            <w:r w:rsidRPr="001F21FE">
              <w:rPr>
                <w:rFonts w:ascii="Arial" w:eastAsia="맑은 고딕" w:hAnsi="Arial" w:cs="Arial"/>
                <w:color w:val="000000"/>
                <w:szCs w:val="20"/>
              </w:rPr>
              <w:t>&lt;0.001</w:t>
            </w:r>
          </w:p>
        </w:tc>
        <w:tc>
          <w:tcPr>
            <w:tcW w:w="570" w:type="pct"/>
            <w:shd w:val="clear" w:color="auto" w:fill="auto"/>
            <w:noWrap/>
            <w:vAlign w:val="bottom"/>
          </w:tcPr>
          <w:p w14:paraId="7A20A023" w14:textId="6FF61168"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1.30 [</w:t>
            </w:r>
            <w:r w:rsidR="005723A3" w:rsidRPr="001F21FE">
              <w:rPr>
                <w:rFonts w:ascii="Arial" w:eastAsia="맑은 고딕" w:hAnsi="Arial" w:cs="Arial"/>
                <w:color w:val="000000"/>
                <w:szCs w:val="20"/>
              </w:rPr>
              <w:t>1.17,</w:t>
            </w:r>
            <w:r w:rsidRPr="001F21FE">
              <w:rPr>
                <w:rFonts w:ascii="Arial" w:eastAsia="맑은 고딕" w:hAnsi="Arial" w:cs="Arial"/>
                <w:color w:val="000000"/>
                <w:szCs w:val="20"/>
              </w:rPr>
              <w:t xml:space="preserve"> 1.44]</w:t>
            </w:r>
          </w:p>
        </w:tc>
        <w:tc>
          <w:tcPr>
            <w:tcW w:w="289" w:type="pct"/>
            <w:shd w:val="clear" w:color="auto" w:fill="auto"/>
            <w:noWrap/>
            <w:vAlign w:val="bottom"/>
          </w:tcPr>
          <w:p w14:paraId="50AC5D58" w14:textId="190E467D"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&lt;0.001</w:t>
            </w:r>
          </w:p>
        </w:tc>
        <w:tc>
          <w:tcPr>
            <w:tcW w:w="706" w:type="pct"/>
            <w:shd w:val="clear" w:color="auto" w:fill="auto"/>
            <w:noWrap/>
            <w:vAlign w:val="bottom"/>
          </w:tcPr>
          <w:p w14:paraId="7F85D1E8" w14:textId="2E0DC537"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rPr>
            </w:pPr>
            <w:r w:rsidRPr="001F21FE">
              <w:rPr>
                <w:rFonts w:ascii="Arial" w:eastAsia="맑은 고딕" w:hAnsi="Arial" w:cs="Arial"/>
                <w:color w:val="000000"/>
                <w:szCs w:val="20"/>
              </w:rPr>
              <w:t>1.53 [1.42,</w:t>
            </w:r>
            <w:r w:rsidR="00A86A27" w:rsidRPr="001F21FE">
              <w:rPr>
                <w:rFonts w:ascii="Arial" w:eastAsia="맑은 고딕" w:hAnsi="Arial" w:cs="Arial"/>
                <w:color w:val="000000"/>
                <w:szCs w:val="20"/>
              </w:rPr>
              <w:t xml:space="preserve"> 1.64]</w:t>
            </w:r>
          </w:p>
        </w:tc>
        <w:tc>
          <w:tcPr>
            <w:tcW w:w="290" w:type="pct"/>
            <w:shd w:val="clear" w:color="auto" w:fill="auto"/>
            <w:noWrap/>
            <w:vAlign w:val="bottom"/>
          </w:tcPr>
          <w:p w14:paraId="4BD2A26C" w14:textId="744A6782"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&lt;0.001</w:t>
            </w:r>
          </w:p>
        </w:tc>
        <w:tc>
          <w:tcPr>
            <w:tcW w:w="547" w:type="pct"/>
            <w:shd w:val="clear" w:color="auto" w:fill="auto"/>
            <w:noWrap/>
            <w:vAlign w:val="bottom"/>
          </w:tcPr>
          <w:p w14:paraId="6AADEDDC" w14:textId="6353939E"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1.30 [</w:t>
            </w:r>
            <w:r w:rsidR="005723A3" w:rsidRPr="001F21FE">
              <w:rPr>
                <w:rFonts w:ascii="Arial" w:eastAsia="맑은 고딕" w:hAnsi="Arial" w:cs="Arial"/>
                <w:color w:val="000000"/>
                <w:szCs w:val="20"/>
              </w:rPr>
              <w:t>1.17,</w:t>
            </w:r>
            <w:r w:rsidRPr="001F21FE">
              <w:rPr>
                <w:rFonts w:ascii="Arial" w:eastAsia="맑은 고딕" w:hAnsi="Arial" w:cs="Arial"/>
                <w:color w:val="000000"/>
                <w:szCs w:val="20"/>
              </w:rPr>
              <w:t xml:space="preserve"> 1.44]</w:t>
            </w:r>
          </w:p>
        </w:tc>
        <w:tc>
          <w:tcPr>
            <w:tcW w:w="289" w:type="pct"/>
            <w:shd w:val="clear" w:color="auto" w:fill="auto"/>
            <w:noWrap/>
            <w:vAlign w:val="bottom"/>
          </w:tcPr>
          <w:p w14:paraId="2D8B0EF4" w14:textId="69CDD16B"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&lt;0.001</w:t>
            </w:r>
          </w:p>
        </w:tc>
      </w:tr>
      <w:tr w:rsidR="005723A3" w:rsidRPr="001F21FE" w14:paraId="7318EB6B" w14:textId="77777777" w:rsidTr="00A86A27">
        <w:trPr>
          <w:trHeight w:val="300"/>
        </w:trPr>
        <w:tc>
          <w:tcPr>
            <w:tcW w:w="1260" w:type="pct"/>
            <w:shd w:val="clear" w:color="auto" w:fill="auto"/>
            <w:noWrap/>
            <w:vAlign w:val="bottom"/>
          </w:tcPr>
          <w:p w14:paraId="1758CD92" w14:textId="646D7F60"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themeColor="text1"/>
                <w:kern w:val="0"/>
                <w:szCs w:val="20"/>
              </w:rPr>
              <w:t>Estimated blood loss</w:t>
            </w:r>
            <w:r w:rsidR="001F21FE" w:rsidRPr="001F21FE">
              <w:rPr>
                <w:rFonts w:ascii="Arial" w:eastAsia="맑은 고딕" w:hAnsi="Arial" w:cs="Arial"/>
                <w:color w:val="000000" w:themeColor="text1"/>
                <w:kern w:val="0"/>
                <w:szCs w:val="20"/>
              </w:rPr>
              <w:t>, mL</w:t>
            </w:r>
          </w:p>
        </w:tc>
        <w:tc>
          <w:tcPr>
            <w:tcW w:w="760" w:type="pct"/>
            <w:shd w:val="clear" w:color="auto" w:fill="auto"/>
            <w:noWrap/>
            <w:vAlign w:val="bottom"/>
          </w:tcPr>
          <w:p w14:paraId="44D30918" w14:textId="25169D35"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1.00 [1.00,</w:t>
            </w:r>
            <w:r w:rsidR="00A86A27" w:rsidRPr="001F21FE">
              <w:rPr>
                <w:rFonts w:ascii="Arial" w:eastAsia="맑은 고딕" w:hAnsi="Arial" w:cs="Arial"/>
                <w:color w:val="000000"/>
                <w:szCs w:val="20"/>
              </w:rPr>
              <w:t xml:space="preserve"> 1.00]</w:t>
            </w:r>
          </w:p>
        </w:tc>
        <w:tc>
          <w:tcPr>
            <w:tcW w:w="289" w:type="pct"/>
            <w:shd w:val="clear" w:color="auto" w:fill="auto"/>
            <w:noWrap/>
            <w:vAlign w:val="bottom"/>
          </w:tcPr>
          <w:p w14:paraId="6F10BA41" w14:textId="0309701F"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&lt;0.001</w:t>
            </w:r>
          </w:p>
        </w:tc>
        <w:tc>
          <w:tcPr>
            <w:tcW w:w="570" w:type="pct"/>
            <w:shd w:val="clear" w:color="auto" w:fill="auto"/>
            <w:noWrap/>
            <w:vAlign w:val="bottom"/>
          </w:tcPr>
          <w:p w14:paraId="6FC635F6"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p>
        </w:tc>
        <w:tc>
          <w:tcPr>
            <w:tcW w:w="289" w:type="pct"/>
            <w:shd w:val="clear" w:color="auto" w:fill="auto"/>
            <w:noWrap/>
            <w:vAlign w:val="bottom"/>
          </w:tcPr>
          <w:p w14:paraId="2211235E"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p>
        </w:tc>
        <w:tc>
          <w:tcPr>
            <w:tcW w:w="706" w:type="pct"/>
            <w:shd w:val="clear" w:color="auto" w:fill="auto"/>
            <w:noWrap/>
            <w:vAlign w:val="bottom"/>
          </w:tcPr>
          <w:p w14:paraId="06869083" w14:textId="679D34DC"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1.00 [1.00,</w:t>
            </w:r>
            <w:r w:rsidR="00A86A27" w:rsidRPr="001F21FE">
              <w:rPr>
                <w:rFonts w:ascii="Arial" w:eastAsia="맑은 고딕" w:hAnsi="Arial" w:cs="Arial"/>
                <w:color w:val="000000"/>
                <w:szCs w:val="20"/>
              </w:rPr>
              <w:t xml:space="preserve"> 1.00]</w:t>
            </w:r>
          </w:p>
        </w:tc>
        <w:tc>
          <w:tcPr>
            <w:tcW w:w="290" w:type="pct"/>
            <w:shd w:val="clear" w:color="auto" w:fill="auto"/>
            <w:noWrap/>
            <w:vAlign w:val="bottom"/>
          </w:tcPr>
          <w:p w14:paraId="7362B060" w14:textId="4743959A"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&lt;0.001</w:t>
            </w:r>
          </w:p>
        </w:tc>
        <w:tc>
          <w:tcPr>
            <w:tcW w:w="547" w:type="pct"/>
            <w:shd w:val="clear" w:color="auto" w:fill="auto"/>
            <w:noWrap/>
            <w:vAlign w:val="bottom"/>
          </w:tcPr>
          <w:p w14:paraId="2C155B52"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p>
        </w:tc>
        <w:tc>
          <w:tcPr>
            <w:tcW w:w="289" w:type="pct"/>
            <w:shd w:val="clear" w:color="auto" w:fill="auto"/>
            <w:noWrap/>
            <w:vAlign w:val="bottom"/>
          </w:tcPr>
          <w:p w14:paraId="4A5D29C9"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p>
        </w:tc>
      </w:tr>
      <w:tr w:rsidR="005723A3" w:rsidRPr="001F21FE" w14:paraId="5CEA5C56" w14:textId="77777777" w:rsidTr="00A86A27">
        <w:trPr>
          <w:trHeight w:val="300"/>
        </w:trPr>
        <w:tc>
          <w:tcPr>
            <w:tcW w:w="1260" w:type="pct"/>
            <w:shd w:val="clear" w:color="auto" w:fill="auto"/>
            <w:noWrap/>
            <w:vAlign w:val="bottom"/>
          </w:tcPr>
          <w:p w14:paraId="34D978BE" w14:textId="718B3752"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themeColor="text1"/>
                <w:kern w:val="0"/>
                <w:szCs w:val="20"/>
              </w:rPr>
              <w:t>Infused crystalloid amount</w:t>
            </w:r>
            <w:r w:rsidR="001F21FE" w:rsidRPr="001F21FE">
              <w:rPr>
                <w:rFonts w:ascii="Arial" w:eastAsia="맑은 고딕" w:hAnsi="Arial" w:cs="Arial"/>
                <w:color w:val="000000" w:themeColor="text1"/>
                <w:kern w:val="0"/>
                <w:szCs w:val="20"/>
              </w:rPr>
              <w:t>, mL</w:t>
            </w:r>
          </w:p>
        </w:tc>
        <w:tc>
          <w:tcPr>
            <w:tcW w:w="760" w:type="pct"/>
            <w:shd w:val="clear" w:color="auto" w:fill="auto"/>
            <w:noWrap/>
            <w:vAlign w:val="bottom"/>
          </w:tcPr>
          <w:p w14:paraId="15F9ED7D" w14:textId="2370F9B1"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1.00 [1.00,</w:t>
            </w:r>
            <w:r w:rsidR="00A86A27" w:rsidRPr="001F21FE">
              <w:rPr>
                <w:rFonts w:ascii="Arial" w:eastAsia="맑은 고딕" w:hAnsi="Arial" w:cs="Arial"/>
                <w:color w:val="000000"/>
                <w:szCs w:val="20"/>
              </w:rPr>
              <w:t xml:space="preserve"> 1.00]</w:t>
            </w:r>
          </w:p>
        </w:tc>
        <w:tc>
          <w:tcPr>
            <w:tcW w:w="289" w:type="pct"/>
            <w:shd w:val="clear" w:color="auto" w:fill="auto"/>
            <w:noWrap/>
            <w:vAlign w:val="bottom"/>
          </w:tcPr>
          <w:p w14:paraId="30188D6F" w14:textId="6B06334F"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&lt;0.001</w:t>
            </w:r>
          </w:p>
        </w:tc>
        <w:tc>
          <w:tcPr>
            <w:tcW w:w="570" w:type="pct"/>
            <w:shd w:val="clear" w:color="auto" w:fill="auto"/>
            <w:noWrap/>
            <w:vAlign w:val="bottom"/>
          </w:tcPr>
          <w:p w14:paraId="38F69791" w14:textId="611F7A44"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1.00 [</w:t>
            </w:r>
            <w:r w:rsidR="005723A3" w:rsidRPr="001F21FE">
              <w:rPr>
                <w:rFonts w:ascii="Arial" w:eastAsia="맑은 고딕" w:hAnsi="Arial" w:cs="Arial"/>
                <w:color w:val="000000"/>
                <w:szCs w:val="20"/>
              </w:rPr>
              <w:t>1.00,</w:t>
            </w:r>
            <w:r w:rsidRPr="001F21FE">
              <w:rPr>
                <w:rFonts w:ascii="Arial" w:eastAsia="맑은 고딕" w:hAnsi="Arial" w:cs="Arial"/>
                <w:color w:val="000000"/>
                <w:szCs w:val="20"/>
              </w:rPr>
              <w:t xml:space="preserve"> 1.00]</w:t>
            </w:r>
          </w:p>
        </w:tc>
        <w:tc>
          <w:tcPr>
            <w:tcW w:w="289" w:type="pct"/>
            <w:shd w:val="clear" w:color="auto" w:fill="auto"/>
            <w:noWrap/>
            <w:vAlign w:val="bottom"/>
          </w:tcPr>
          <w:p w14:paraId="67217103" w14:textId="59A1048A"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0.000</w:t>
            </w:r>
          </w:p>
        </w:tc>
        <w:tc>
          <w:tcPr>
            <w:tcW w:w="706" w:type="pct"/>
            <w:shd w:val="clear" w:color="auto" w:fill="auto"/>
            <w:noWrap/>
            <w:vAlign w:val="bottom"/>
          </w:tcPr>
          <w:p w14:paraId="08F96A0B" w14:textId="170A5FB7"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1.00 [1.00,</w:t>
            </w:r>
            <w:r w:rsidR="00A86A27" w:rsidRPr="001F21FE">
              <w:rPr>
                <w:rFonts w:ascii="Arial" w:eastAsia="맑은 고딕" w:hAnsi="Arial" w:cs="Arial"/>
                <w:color w:val="000000"/>
                <w:szCs w:val="20"/>
              </w:rPr>
              <w:t xml:space="preserve"> 1.00]</w:t>
            </w:r>
          </w:p>
        </w:tc>
        <w:tc>
          <w:tcPr>
            <w:tcW w:w="290" w:type="pct"/>
            <w:shd w:val="clear" w:color="auto" w:fill="auto"/>
            <w:noWrap/>
            <w:vAlign w:val="bottom"/>
          </w:tcPr>
          <w:p w14:paraId="6365D553" w14:textId="4ECC0CBC"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&lt;0.001</w:t>
            </w:r>
          </w:p>
        </w:tc>
        <w:tc>
          <w:tcPr>
            <w:tcW w:w="547" w:type="pct"/>
            <w:shd w:val="clear" w:color="auto" w:fill="auto"/>
            <w:noWrap/>
            <w:vAlign w:val="bottom"/>
          </w:tcPr>
          <w:p w14:paraId="54B5CD3C" w14:textId="3CFD0119"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1.00 [</w:t>
            </w:r>
            <w:r w:rsidR="005723A3" w:rsidRPr="001F21FE">
              <w:rPr>
                <w:rFonts w:ascii="Arial" w:eastAsia="맑은 고딕" w:hAnsi="Arial" w:cs="Arial"/>
                <w:color w:val="000000"/>
                <w:szCs w:val="20"/>
              </w:rPr>
              <w:t>1.00,</w:t>
            </w:r>
            <w:r w:rsidRPr="001F21FE">
              <w:rPr>
                <w:rFonts w:ascii="Arial" w:eastAsia="맑은 고딕" w:hAnsi="Arial" w:cs="Arial"/>
                <w:color w:val="000000"/>
                <w:szCs w:val="20"/>
              </w:rPr>
              <w:t xml:space="preserve"> 1.00]</w:t>
            </w:r>
          </w:p>
        </w:tc>
        <w:tc>
          <w:tcPr>
            <w:tcW w:w="289" w:type="pct"/>
            <w:shd w:val="clear" w:color="auto" w:fill="auto"/>
            <w:noWrap/>
            <w:vAlign w:val="bottom"/>
          </w:tcPr>
          <w:p w14:paraId="5D8F48D8" w14:textId="5FDA9C1D"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szCs w:val="20"/>
              </w:rPr>
              <w:t>&lt;0.001</w:t>
            </w:r>
          </w:p>
        </w:tc>
      </w:tr>
      <w:tr w:rsidR="005723A3" w:rsidRPr="001F21FE" w14:paraId="03B27FB5" w14:textId="77777777" w:rsidTr="00A86A27">
        <w:trPr>
          <w:trHeight w:val="300"/>
        </w:trPr>
        <w:tc>
          <w:tcPr>
            <w:tcW w:w="1260" w:type="pct"/>
            <w:shd w:val="clear" w:color="auto" w:fill="auto"/>
            <w:noWrap/>
            <w:vAlign w:val="bottom"/>
          </w:tcPr>
          <w:p w14:paraId="2E59CC60" w14:textId="2A1EE1A9"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r w:rsidRPr="001F21FE">
              <w:rPr>
                <w:rFonts w:ascii="Arial" w:eastAsia="맑은 고딕" w:hAnsi="Arial" w:cs="Arial"/>
                <w:color w:val="000000" w:themeColor="text1"/>
                <w:kern w:val="0"/>
                <w:szCs w:val="20"/>
              </w:rPr>
              <w:t>Infused colloid amount</w:t>
            </w:r>
            <w:r w:rsidR="001F21FE" w:rsidRPr="001F21FE">
              <w:rPr>
                <w:rFonts w:ascii="Arial" w:eastAsia="맑은 고딕" w:hAnsi="Arial" w:cs="Arial"/>
                <w:color w:val="000000" w:themeColor="text1"/>
                <w:kern w:val="0"/>
                <w:szCs w:val="20"/>
              </w:rPr>
              <w:t>, mL</w:t>
            </w:r>
          </w:p>
        </w:tc>
        <w:tc>
          <w:tcPr>
            <w:tcW w:w="760" w:type="pct"/>
            <w:shd w:val="clear" w:color="auto" w:fill="auto"/>
            <w:noWrap/>
            <w:vAlign w:val="bottom"/>
          </w:tcPr>
          <w:p w14:paraId="46024B60" w14:textId="2E92E750"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1.00 [1.00,</w:t>
            </w:r>
            <w:r w:rsidR="00A86A27" w:rsidRPr="001F21FE">
              <w:rPr>
                <w:rFonts w:ascii="Arial" w:eastAsia="맑은 고딕" w:hAnsi="Arial" w:cs="Arial"/>
                <w:color w:val="000000"/>
                <w:szCs w:val="20"/>
              </w:rPr>
              <w:t xml:space="preserve"> 1.00]</w:t>
            </w:r>
          </w:p>
        </w:tc>
        <w:tc>
          <w:tcPr>
            <w:tcW w:w="289" w:type="pct"/>
            <w:shd w:val="clear" w:color="auto" w:fill="auto"/>
            <w:noWrap/>
            <w:vAlign w:val="bottom"/>
          </w:tcPr>
          <w:p w14:paraId="61128D2C" w14:textId="51C3A1F8"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&lt;0.001</w:t>
            </w:r>
          </w:p>
        </w:tc>
        <w:tc>
          <w:tcPr>
            <w:tcW w:w="570" w:type="pct"/>
            <w:shd w:val="clear" w:color="auto" w:fill="auto"/>
            <w:noWrap/>
            <w:vAlign w:val="bottom"/>
          </w:tcPr>
          <w:p w14:paraId="1FBEAF06"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p>
        </w:tc>
        <w:tc>
          <w:tcPr>
            <w:tcW w:w="289" w:type="pct"/>
            <w:shd w:val="clear" w:color="auto" w:fill="auto"/>
            <w:noWrap/>
            <w:vAlign w:val="bottom"/>
          </w:tcPr>
          <w:p w14:paraId="714D2B14" w14:textId="77777777"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p>
        </w:tc>
        <w:tc>
          <w:tcPr>
            <w:tcW w:w="706" w:type="pct"/>
            <w:shd w:val="clear" w:color="auto" w:fill="auto"/>
            <w:noWrap/>
            <w:vAlign w:val="bottom"/>
          </w:tcPr>
          <w:p w14:paraId="387A9D6B" w14:textId="7D433BB6" w:rsidR="00A86A27" w:rsidRPr="001F21FE" w:rsidRDefault="005723A3"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1.00 [1.00,</w:t>
            </w:r>
            <w:r w:rsidR="00A86A27" w:rsidRPr="001F21FE">
              <w:rPr>
                <w:rFonts w:ascii="Arial" w:eastAsia="맑은 고딕" w:hAnsi="Arial" w:cs="Arial"/>
                <w:color w:val="000000"/>
                <w:szCs w:val="20"/>
              </w:rPr>
              <w:t xml:space="preserve"> 1.00]</w:t>
            </w:r>
          </w:p>
        </w:tc>
        <w:tc>
          <w:tcPr>
            <w:tcW w:w="290" w:type="pct"/>
            <w:shd w:val="clear" w:color="auto" w:fill="auto"/>
            <w:noWrap/>
            <w:vAlign w:val="bottom"/>
          </w:tcPr>
          <w:p w14:paraId="52F5F526" w14:textId="61941420"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szCs w:val="20"/>
              </w:rPr>
            </w:pPr>
            <w:r w:rsidRPr="001F21FE">
              <w:rPr>
                <w:rFonts w:ascii="Arial" w:eastAsia="맑은 고딕" w:hAnsi="Arial" w:cs="Arial"/>
                <w:color w:val="000000"/>
                <w:szCs w:val="20"/>
              </w:rPr>
              <w:t>&lt;0.001</w:t>
            </w:r>
          </w:p>
        </w:tc>
        <w:tc>
          <w:tcPr>
            <w:tcW w:w="547" w:type="pct"/>
            <w:shd w:val="clear" w:color="auto" w:fill="auto"/>
            <w:noWrap/>
          </w:tcPr>
          <w:p w14:paraId="40CAA67F" w14:textId="787AD4E8"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p>
        </w:tc>
        <w:tc>
          <w:tcPr>
            <w:tcW w:w="289" w:type="pct"/>
            <w:shd w:val="clear" w:color="auto" w:fill="auto"/>
            <w:noWrap/>
            <w:vAlign w:val="bottom"/>
          </w:tcPr>
          <w:p w14:paraId="39621AFF" w14:textId="2E5B1D2B" w:rsidR="00A86A27" w:rsidRPr="001F21FE" w:rsidRDefault="00A86A27" w:rsidP="001F21FE">
            <w:pPr>
              <w:widowControl/>
              <w:wordWrap/>
              <w:autoSpaceDE/>
              <w:autoSpaceDN/>
              <w:spacing w:after="0" w:line="480" w:lineRule="auto"/>
              <w:jc w:val="left"/>
              <w:rPr>
                <w:rFonts w:ascii="Arial" w:eastAsia="맑은 고딕" w:hAnsi="Arial" w:cs="Arial"/>
                <w:color w:val="000000" w:themeColor="text1"/>
                <w:kern w:val="0"/>
                <w:szCs w:val="20"/>
              </w:rPr>
            </w:pPr>
          </w:p>
        </w:tc>
      </w:tr>
    </w:tbl>
    <w:p w14:paraId="44FAF439" w14:textId="3B85956E" w:rsidR="00B72D10" w:rsidRPr="001F21FE" w:rsidRDefault="003A1F35" w:rsidP="001F21FE">
      <w:pPr>
        <w:wordWrap/>
        <w:snapToGrid w:val="0"/>
        <w:spacing w:after="0" w:line="480" w:lineRule="auto"/>
        <w:rPr>
          <w:rFonts w:ascii="Arial" w:eastAsia="Arial Unicode MS" w:hAnsi="Arial" w:cs="Arial"/>
          <w:color w:val="000000" w:themeColor="text1"/>
          <w:kern w:val="0"/>
          <w:szCs w:val="20"/>
        </w:rPr>
      </w:pPr>
      <w:r w:rsidRPr="001F21FE">
        <w:rPr>
          <w:rFonts w:ascii="Arial" w:eastAsia="Arial Unicode MS" w:hAnsi="Arial" w:cs="Arial"/>
          <w:color w:val="000000" w:themeColor="text1"/>
          <w:kern w:val="0"/>
        </w:rPr>
        <w:lastRenderedPageBreak/>
        <w:t xml:space="preserve">IPTW, inverse probability of treatment weighting; HR, hazard ratio; CI, confidence interval; </w:t>
      </w:r>
      <w:r w:rsidR="00B67807" w:rsidRPr="001F21FE">
        <w:rPr>
          <w:rFonts w:ascii="Arial" w:eastAsia="Arial Unicode MS" w:hAnsi="Arial" w:cs="Arial"/>
          <w:color w:val="000000" w:themeColor="text1"/>
          <w:kern w:val="0"/>
        </w:rPr>
        <w:t xml:space="preserve">PNI, prognostic nutritional index; </w:t>
      </w:r>
      <w:r w:rsidRPr="001F21FE">
        <w:rPr>
          <w:rFonts w:ascii="Arial" w:eastAsia="Arial Unicode MS" w:hAnsi="Arial" w:cs="Arial"/>
          <w:color w:val="000000" w:themeColor="text1"/>
          <w:kern w:val="0"/>
        </w:rPr>
        <w:t xml:space="preserve">FIGO, </w:t>
      </w:r>
      <w:r w:rsidR="0C425ECC" w:rsidRPr="001F21FE">
        <w:rPr>
          <w:rFonts w:ascii="Arial" w:eastAsia="Arial Unicode MS" w:hAnsi="Arial" w:cs="Arial"/>
          <w:color w:val="000000" w:themeColor="text1"/>
        </w:rPr>
        <w:t xml:space="preserve">International Federation of Gynecology and Obstetrics; </w:t>
      </w:r>
      <w:r w:rsidRPr="001F21FE">
        <w:rPr>
          <w:rFonts w:ascii="Arial" w:eastAsia="Arial Unicode MS" w:hAnsi="Arial" w:cs="Arial"/>
          <w:color w:val="000000" w:themeColor="text1"/>
          <w:kern w:val="0"/>
        </w:rPr>
        <w:t>ARISCAT,</w:t>
      </w:r>
      <w:r w:rsidRPr="001F21FE">
        <w:rPr>
          <w:rFonts w:ascii="Arial" w:hAnsi="Arial" w:cs="Arial"/>
          <w:color w:val="000000" w:themeColor="text1"/>
        </w:rPr>
        <w:t xml:space="preserve"> </w:t>
      </w:r>
      <w:r w:rsidRPr="001F21FE">
        <w:rPr>
          <w:rFonts w:ascii="Arial" w:eastAsia="Arial Unicode MS" w:hAnsi="Arial" w:cs="Arial"/>
          <w:color w:val="000000" w:themeColor="text1"/>
          <w:kern w:val="0"/>
        </w:rPr>
        <w:t>assess respiratory risk in surgical patients in Catalonia;</w:t>
      </w:r>
      <w:r w:rsidR="0012096D" w:rsidRPr="001F21FE">
        <w:rPr>
          <w:rFonts w:ascii="Arial" w:eastAsia="Arial Unicode MS" w:hAnsi="Arial" w:cs="Arial"/>
          <w:color w:val="000000" w:themeColor="text1"/>
          <w:kern w:val="0"/>
        </w:rPr>
        <w:t xml:space="preserve"> WBC, white blood cell; Hb, hemoglobin;</w:t>
      </w:r>
      <w:r w:rsidR="007A0D4B" w:rsidRPr="001F21FE">
        <w:rPr>
          <w:rFonts w:ascii="Arial" w:eastAsia="Arial Unicode MS" w:hAnsi="Arial" w:cs="Arial"/>
          <w:color w:val="000000" w:themeColor="text1"/>
          <w:kern w:val="0"/>
        </w:rPr>
        <w:t xml:space="preserve"> </w:t>
      </w:r>
      <w:r w:rsidRPr="001F21FE">
        <w:rPr>
          <w:rFonts w:ascii="Arial" w:eastAsia="Arial Unicode MS" w:hAnsi="Arial" w:cs="Arial"/>
          <w:color w:val="000000" w:themeColor="text1"/>
          <w:kern w:val="0"/>
        </w:rPr>
        <w:t>*: In multivariate</w:t>
      </w:r>
      <w:r w:rsidR="004B54D3" w:rsidRPr="001F21FE">
        <w:rPr>
          <w:rFonts w:ascii="Arial" w:eastAsia="Arial Unicode MS" w:hAnsi="Arial" w:cs="Arial"/>
          <w:color w:val="000000" w:themeColor="text1"/>
          <w:kern w:val="0"/>
        </w:rPr>
        <w:t xml:space="preserve"> logistic</w:t>
      </w:r>
      <w:r w:rsidRPr="001F21FE">
        <w:rPr>
          <w:rFonts w:ascii="Arial" w:eastAsia="Arial Unicode MS" w:hAnsi="Arial" w:cs="Arial"/>
          <w:color w:val="000000" w:themeColor="text1"/>
          <w:kern w:val="0"/>
        </w:rPr>
        <w:t xml:space="preserve"> regression analysis with stepwise forward conditional method</w:t>
      </w:r>
      <w:r w:rsidR="00D73C7C" w:rsidRPr="001F21FE">
        <w:rPr>
          <w:rFonts w:ascii="Arial" w:eastAsia="Arial Unicode MS" w:hAnsi="Arial" w:cs="Arial"/>
          <w:color w:val="000000" w:themeColor="text1"/>
          <w:kern w:val="0"/>
        </w:rPr>
        <w:t>.</w:t>
      </w:r>
      <w:r w:rsidRPr="001F21FE">
        <w:rPr>
          <w:rFonts w:ascii="Arial" w:eastAsia="Arial Unicode MS" w:hAnsi="Arial" w:cs="Arial"/>
          <w:color w:val="000000" w:themeColor="text1"/>
          <w:kern w:val="0"/>
        </w:rPr>
        <w:t xml:space="preserve"> </w:t>
      </w:r>
      <w:r w:rsidRPr="001F21FE">
        <w:rPr>
          <w:rFonts w:ascii="Arial" w:eastAsia="Arial Unicode MS" w:hAnsi="Arial" w:cs="Arial"/>
          <w:color w:val="000000" w:themeColor="text1"/>
          <w:kern w:val="0"/>
          <w:vertAlign w:val="superscript"/>
        </w:rPr>
        <w:t>†</w:t>
      </w:r>
      <w:r w:rsidRPr="001F21FE">
        <w:rPr>
          <w:rFonts w:ascii="Arial" w:eastAsia="Arial Unicode MS" w:hAnsi="Arial" w:cs="Arial"/>
          <w:color w:val="000000" w:themeColor="text1"/>
          <w:kern w:val="0"/>
        </w:rPr>
        <w:t xml:space="preserve">: In multivariate </w:t>
      </w:r>
      <w:r w:rsidR="00D73C7C" w:rsidRPr="001F21FE">
        <w:rPr>
          <w:rFonts w:ascii="Arial" w:eastAsia="Arial Unicode MS" w:hAnsi="Arial" w:cs="Arial"/>
          <w:color w:val="000000" w:themeColor="text1"/>
          <w:kern w:val="0"/>
        </w:rPr>
        <w:t>logistic</w:t>
      </w:r>
      <w:r w:rsidRPr="001F21FE">
        <w:rPr>
          <w:rFonts w:ascii="Arial" w:eastAsia="Arial Unicode MS" w:hAnsi="Arial" w:cs="Arial"/>
          <w:color w:val="000000" w:themeColor="text1"/>
          <w:kern w:val="0"/>
        </w:rPr>
        <w:t xml:space="preserve"> regression analysis with stepwise forward conditional method. </w:t>
      </w:r>
    </w:p>
    <w:sectPr w:rsidR="00B72D10" w:rsidRPr="001F21FE" w:rsidSect="00967D3F">
      <w:pgSz w:w="16838" w:h="11906" w:orient="landscape"/>
      <w:pgMar w:top="720" w:right="720" w:bottom="720" w:left="72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7CE54A" w14:textId="77777777" w:rsidR="00FA3018" w:rsidRDefault="00FA3018" w:rsidP="00B01450">
      <w:pPr>
        <w:spacing w:after="0" w:line="240" w:lineRule="auto"/>
      </w:pPr>
      <w:r>
        <w:separator/>
      </w:r>
    </w:p>
  </w:endnote>
  <w:endnote w:type="continuationSeparator" w:id="0">
    <w:p w14:paraId="1F94C328" w14:textId="77777777" w:rsidR="00FA3018" w:rsidRDefault="00FA3018" w:rsidP="00B014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1"/>
    <w:family w:val="modern"/>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1ABF1A" w14:textId="77777777" w:rsidR="00FA3018" w:rsidRDefault="00FA3018" w:rsidP="00B01450">
      <w:pPr>
        <w:spacing w:after="0" w:line="240" w:lineRule="auto"/>
      </w:pPr>
      <w:r>
        <w:separator/>
      </w:r>
    </w:p>
  </w:footnote>
  <w:footnote w:type="continuationSeparator" w:id="0">
    <w:p w14:paraId="26002267" w14:textId="77777777" w:rsidR="00FA3018" w:rsidRDefault="00FA3018" w:rsidP="00B0145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64215E"/>
    <w:multiLevelType w:val="hybridMultilevel"/>
    <w:tmpl w:val="659A1AD4"/>
    <w:lvl w:ilvl="0" w:tplc="9EEC3CC2">
      <w:start w:val="35"/>
      <w:numFmt w:val="bullet"/>
      <w:lvlText w:val=""/>
      <w:lvlJc w:val="left"/>
      <w:pPr>
        <w:ind w:left="720" w:hanging="360"/>
      </w:pPr>
      <w:rPr>
        <w:rFonts w:ascii="Wingdings" w:eastAsiaTheme="minorEastAsia"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1FA"/>
    <w:rsid w:val="00000C41"/>
    <w:rsid w:val="000032FA"/>
    <w:rsid w:val="000071AA"/>
    <w:rsid w:val="000079AB"/>
    <w:rsid w:val="00020412"/>
    <w:rsid w:val="00020CDE"/>
    <w:rsid w:val="0002522C"/>
    <w:rsid w:val="000360CE"/>
    <w:rsid w:val="00036286"/>
    <w:rsid w:val="00043314"/>
    <w:rsid w:val="000500E5"/>
    <w:rsid w:val="00051398"/>
    <w:rsid w:val="000521EF"/>
    <w:rsid w:val="00052C2D"/>
    <w:rsid w:val="00053DF6"/>
    <w:rsid w:val="000545C6"/>
    <w:rsid w:val="00054F40"/>
    <w:rsid w:val="00056CC4"/>
    <w:rsid w:val="00057D44"/>
    <w:rsid w:val="000602AD"/>
    <w:rsid w:val="000613C7"/>
    <w:rsid w:val="0006217A"/>
    <w:rsid w:val="00065E18"/>
    <w:rsid w:val="000718B3"/>
    <w:rsid w:val="00083005"/>
    <w:rsid w:val="0008531D"/>
    <w:rsid w:val="00097381"/>
    <w:rsid w:val="000A5661"/>
    <w:rsid w:val="000A6433"/>
    <w:rsid w:val="000B08C1"/>
    <w:rsid w:val="000B1395"/>
    <w:rsid w:val="000B2533"/>
    <w:rsid w:val="000B6A4D"/>
    <w:rsid w:val="000C0377"/>
    <w:rsid w:val="000D1D64"/>
    <w:rsid w:val="000D26A7"/>
    <w:rsid w:val="000D5A35"/>
    <w:rsid w:val="000D6969"/>
    <w:rsid w:val="000E406E"/>
    <w:rsid w:val="000F75A4"/>
    <w:rsid w:val="000F7DD1"/>
    <w:rsid w:val="001008AC"/>
    <w:rsid w:val="00101D36"/>
    <w:rsid w:val="00102194"/>
    <w:rsid w:val="001041A3"/>
    <w:rsid w:val="001101B1"/>
    <w:rsid w:val="0012096D"/>
    <w:rsid w:val="0012349C"/>
    <w:rsid w:val="00133772"/>
    <w:rsid w:val="00137046"/>
    <w:rsid w:val="00142536"/>
    <w:rsid w:val="00142942"/>
    <w:rsid w:val="00144087"/>
    <w:rsid w:val="00145748"/>
    <w:rsid w:val="00146C52"/>
    <w:rsid w:val="001523AD"/>
    <w:rsid w:val="00153A4E"/>
    <w:rsid w:val="00153B18"/>
    <w:rsid w:val="001638DF"/>
    <w:rsid w:val="001657A6"/>
    <w:rsid w:val="00172E53"/>
    <w:rsid w:val="00174214"/>
    <w:rsid w:val="001774D2"/>
    <w:rsid w:val="001842DB"/>
    <w:rsid w:val="001866E7"/>
    <w:rsid w:val="00187E23"/>
    <w:rsid w:val="00192B81"/>
    <w:rsid w:val="00194572"/>
    <w:rsid w:val="001A0CD6"/>
    <w:rsid w:val="001A17A9"/>
    <w:rsid w:val="001A4457"/>
    <w:rsid w:val="001A48EB"/>
    <w:rsid w:val="001A7757"/>
    <w:rsid w:val="001B5E64"/>
    <w:rsid w:val="001C0AB9"/>
    <w:rsid w:val="001C1AE1"/>
    <w:rsid w:val="001C3072"/>
    <w:rsid w:val="001D3E5C"/>
    <w:rsid w:val="001E4C6D"/>
    <w:rsid w:val="001E56F3"/>
    <w:rsid w:val="001E595E"/>
    <w:rsid w:val="001F21FE"/>
    <w:rsid w:val="001F438C"/>
    <w:rsid w:val="00203BB9"/>
    <w:rsid w:val="00203D36"/>
    <w:rsid w:val="002077F2"/>
    <w:rsid w:val="00210A9D"/>
    <w:rsid w:val="0021295B"/>
    <w:rsid w:val="00215750"/>
    <w:rsid w:val="002303C1"/>
    <w:rsid w:val="0023224E"/>
    <w:rsid w:val="00240C88"/>
    <w:rsid w:val="00241E11"/>
    <w:rsid w:val="0024287A"/>
    <w:rsid w:val="002460E3"/>
    <w:rsid w:val="002471F8"/>
    <w:rsid w:val="00251480"/>
    <w:rsid w:val="00251FDC"/>
    <w:rsid w:val="002575A7"/>
    <w:rsid w:val="00260D95"/>
    <w:rsid w:val="00267658"/>
    <w:rsid w:val="00272E56"/>
    <w:rsid w:val="00275BBA"/>
    <w:rsid w:val="002810DC"/>
    <w:rsid w:val="00282BD2"/>
    <w:rsid w:val="00286664"/>
    <w:rsid w:val="00295BD5"/>
    <w:rsid w:val="00297AEB"/>
    <w:rsid w:val="00297E95"/>
    <w:rsid w:val="002A302C"/>
    <w:rsid w:val="002B1288"/>
    <w:rsid w:val="002B14A0"/>
    <w:rsid w:val="002B19B3"/>
    <w:rsid w:val="002B2457"/>
    <w:rsid w:val="002B2A06"/>
    <w:rsid w:val="002B3C17"/>
    <w:rsid w:val="002B4218"/>
    <w:rsid w:val="002B4871"/>
    <w:rsid w:val="002C4230"/>
    <w:rsid w:val="002C435B"/>
    <w:rsid w:val="002D62CB"/>
    <w:rsid w:val="002D7373"/>
    <w:rsid w:val="002D779F"/>
    <w:rsid w:val="002E2696"/>
    <w:rsid w:val="002F0487"/>
    <w:rsid w:val="002F08E9"/>
    <w:rsid w:val="002F284F"/>
    <w:rsid w:val="002F4A30"/>
    <w:rsid w:val="002F51DB"/>
    <w:rsid w:val="002F58F6"/>
    <w:rsid w:val="00301814"/>
    <w:rsid w:val="00306451"/>
    <w:rsid w:val="0030713E"/>
    <w:rsid w:val="00313442"/>
    <w:rsid w:val="00315FEF"/>
    <w:rsid w:val="00317147"/>
    <w:rsid w:val="003321F2"/>
    <w:rsid w:val="003341BE"/>
    <w:rsid w:val="003473D3"/>
    <w:rsid w:val="003543D0"/>
    <w:rsid w:val="003579FE"/>
    <w:rsid w:val="0036098B"/>
    <w:rsid w:val="003612E1"/>
    <w:rsid w:val="00362689"/>
    <w:rsid w:val="00385574"/>
    <w:rsid w:val="00385C36"/>
    <w:rsid w:val="00386989"/>
    <w:rsid w:val="00386AF4"/>
    <w:rsid w:val="00392201"/>
    <w:rsid w:val="003945A3"/>
    <w:rsid w:val="003A1F35"/>
    <w:rsid w:val="003B3366"/>
    <w:rsid w:val="003C0C95"/>
    <w:rsid w:val="003C7DE5"/>
    <w:rsid w:val="003D063B"/>
    <w:rsid w:val="003D075C"/>
    <w:rsid w:val="003D21F5"/>
    <w:rsid w:val="003D580E"/>
    <w:rsid w:val="003D6B00"/>
    <w:rsid w:val="003E0382"/>
    <w:rsid w:val="003E0A76"/>
    <w:rsid w:val="003E0C34"/>
    <w:rsid w:val="003F087D"/>
    <w:rsid w:val="003F69FE"/>
    <w:rsid w:val="004029FA"/>
    <w:rsid w:val="00402A29"/>
    <w:rsid w:val="00403491"/>
    <w:rsid w:val="0041087C"/>
    <w:rsid w:val="004125D5"/>
    <w:rsid w:val="00421202"/>
    <w:rsid w:val="004232AF"/>
    <w:rsid w:val="00425C29"/>
    <w:rsid w:val="004326CC"/>
    <w:rsid w:val="00432EBB"/>
    <w:rsid w:val="00436DC2"/>
    <w:rsid w:val="004430A6"/>
    <w:rsid w:val="00445333"/>
    <w:rsid w:val="00447C70"/>
    <w:rsid w:val="00454A85"/>
    <w:rsid w:val="00454B4E"/>
    <w:rsid w:val="004662E2"/>
    <w:rsid w:val="00472054"/>
    <w:rsid w:val="0048450A"/>
    <w:rsid w:val="004874EB"/>
    <w:rsid w:val="0049235A"/>
    <w:rsid w:val="00492803"/>
    <w:rsid w:val="0049583F"/>
    <w:rsid w:val="004A57F6"/>
    <w:rsid w:val="004A6FF8"/>
    <w:rsid w:val="004A774B"/>
    <w:rsid w:val="004B4353"/>
    <w:rsid w:val="004B5133"/>
    <w:rsid w:val="004B54D3"/>
    <w:rsid w:val="004B5EC1"/>
    <w:rsid w:val="004C1861"/>
    <w:rsid w:val="004C43BD"/>
    <w:rsid w:val="004D0BEA"/>
    <w:rsid w:val="004D49BC"/>
    <w:rsid w:val="004D6BD7"/>
    <w:rsid w:val="004E1499"/>
    <w:rsid w:val="004E1527"/>
    <w:rsid w:val="004E3469"/>
    <w:rsid w:val="004E5DA2"/>
    <w:rsid w:val="004F722E"/>
    <w:rsid w:val="00505B07"/>
    <w:rsid w:val="00505C48"/>
    <w:rsid w:val="00510334"/>
    <w:rsid w:val="005133E3"/>
    <w:rsid w:val="00514B29"/>
    <w:rsid w:val="00516CD1"/>
    <w:rsid w:val="0052192A"/>
    <w:rsid w:val="00524EC6"/>
    <w:rsid w:val="00525688"/>
    <w:rsid w:val="00540143"/>
    <w:rsid w:val="00547C1E"/>
    <w:rsid w:val="00547DD7"/>
    <w:rsid w:val="00554D7A"/>
    <w:rsid w:val="00563585"/>
    <w:rsid w:val="0056395C"/>
    <w:rsid w:val="00564E89"/>
    <w:rsid w:val="00565738"/>
    <w:rsid w:val="0056605B"/>
    <w:rsid w:val="005713F9"/>
    <w:rsid w:val="005723A3"/>
    <w:rsid w:val="00572C77"/>
    <w:rsid w:val="0057397B"/>
    <w:rsid w:val="00574620"/>
    <w:rsid w:val="00581DC2"/>
    <w:rsid w:val="00582B50"/>
    <w:rsid w:val="00582BB0"/>
    <w:rsid w:val="005857B9"/>
    <w:rsid w:val="005918FA"/>
    <w:rsid w:val="0059311D"/>
    <w:rsid w:val="005956E3"/>
    <w:rsid w:val="00596466"/>
    <w:rsid w:val="00596625"/>
    <w:rsid w:val="005A0B39"/>
    <w:rsid w:val="005A12DC"/>
    <w:rsid w:val="005A253D"/>
    <w:rsid w:val="005A3855"/>
    <w:rsid w:val="005A39D2"/>
    <w:rsid w:val="005A4D53"/>
    <w:rsid w:val="005C1C1E"/>
    <w:rsid w:val="005C237B"/>
    <w:rsid w:val="005C3A84"/>
    <w:rsid w:val="005C4FF8"/>
    <w:rsid w:val="005D0778"/>
    <w:rsid w:val="005D0C93"/>
    <w:rsid w:val="005D0F11"/>
    <w:rsid w:val="005D338E"/>
    <w:rsid w:val="005D752E"/>
    <w:rsid w:val="005F1ABB"/>
    <w:rsid w:val="00603AB6"/>
    <w:rsid w:val="006052E5"/>
    <w:rsid w:val="006073B0"/>
    <w:rsid w:val="00607AA4"/>
    <w:rsid w:val="0061398C"/>
    <w:rsid w:val="00614962"/>
    <w:rsid w:val="00615020"/>
    <w:rsid w:val="00616E90"/>
    <w:rsid w:val="00621AF3"/>
    <w:rsid w:val="00623803"/>
    <w:rsid w:val="006252CF"/>
    <w:rsid w:val="00630F33"/>
    <w:rsid w:val="00641BA6"/>
    <w:rsid w:val="00642877"/>
    <w:rsid w:val="00643577"/>
    <w:rsid w:val="006509A0"/>
    <w:rsid w:val="006555CF"/>
    <w:rsid w:val="006562A8"/>
    <w:rsid w:val="006617E0"/>
    <w:rsid w:val="00661966"/>
    <w:rsid w:val="00661BF8"/>
    <w:rsid w:val="0067187F"/>
    <w:rsid w:val="00685222"/>
    <w:rsid w:val="00686FE7"/>
    <w:rsid w:val="00694486"/>
    <w:rsid w:val="00694E60"/>
    <w:rsid w:val="006959E3"/>
    <w:rsid w:val="006A5474"/>
    <w:rsid w:val="006B40D0"/>
    <w:rsid w:val="006B6371"/>
    <w:rsid w:val="006C1582"/>
    <w:rsid w:val="006C19B0"/>
    <w:rsid w:val="006C26BF"/>
    <w:rsid w:val="006C33B1"/>
    <w:rsid w:val="006C7AD2"/>
    <w:rsid w:val="006D2B89"/>
    <w:rsid w:val="006D44FB"/>
    <w:rsid w:val="006D622A"/>
    <w:rsid w:val="006E0B8B"/>
    <w:rsid w:val="006E2EB8"/>
    <w:rsid w:val="006E759C"/>
    <w:rsid w:val="006F023E"/>
    <w:rsid w:val="006F588F"/>
    <w:rsid w:val="006F5E85"/>
    <w:rsid w:val="006F65DB"/>
    <w:rsid w:val="006F673E"/>
    <w:rsid w:val="00703C98"/>
    <w:rsid w:val="00705791"/>
    <w:rsid w:val="007073DC"/>
    <w:rsid w:val="007074B7"/>
    <w:rsid w:val="007077B2"/>
    <w:rsid w:val="00712259"/>
    <w:rsid w:val="00717B5F"/>
    <w:rsid w:val="00717ED3"/>
    <w:rsid w:val="007278F9"/>
    <w:rsid w:val="00727D4A"/>
    <w:rsid w:val="0073092B"/>
    <w:rsid w:val="00730AB1"/>
    <w:rsid w:val="0073165C"/>
    <w:rsid w:val="00733A42"/>
    <w:rsid w:val="00734A1E"/>
    <w:rsid w:val="007362A7"/>
    <w:rsid w:val="00737FC4"/>
    <w:rsid w:val="00744769"/>
    <w:rsid w:val="00746618"/>
    <w:rsid w:val="0075004A"/>
    <w:rsid w:val="00751035"/>
    <w:rsid w:val="007558D7"/>
    <w:rsid w:val="00755E97"/>
    <w:rsid w:val="00756D64"/>
    <w:rsid w:val="00760207"/>
    <w:rsid w:val="0076263F"/>
    <w:rsid w:val="00765B1A"/>
    <w:rsid w:val="007717DD"/>
    <w:rsid w:val="00772C5F"/>
    <w:rsid w:val="007748B3"/>
    <w:rsid w:val="00791B12"/>
    <w:rsid w:val="00791EFA"/>
    <w:rsid w:val="00793976"/>
    <w:rsid w:val="0079480B"/>
    <w:rsid w:val="007A0C81"/>
    <w:rsid w:val="007A0D4B"/>
    <w:rsid w:val="007A1EEC"/>
    <w:rsid w:val="007A339C"/>
    <w:rsid w:val="007A6BAF"/>
    <w:rsid w:val="007B2E1F"/>
    <w:rsid w:val="007B5462"/>
    <w:rsid w:val="007B5BDD"/>
    <w:rsid w:val="007C01C9"/>
    <w:rsid w:val="007C2551"/>
    <w:rsid w:val="007C2902"/>
    <w:rsid w:val="007C2A64"/>
    <w:rsid w:val="007C33A7"/>
    <w:rsid w:val="007D3649"/>
    <w:rsid w:val="007E1671"/>
    <w:rsid w:val="007E4447"/>
    <w:rsid w:val="007F1601"/>
    <w:rsid w:val="007F593E"/>
    <w:rsid w:val="0081071B"/>
    <w:rsid w:val="00812431"/>
    <w:rsid w:val="00812D84"/>
    <w:rsid w:val="00814A0F"/>
    <w:rsid w:val="008176FC"/>
    <w:rsid w:val="0082056A"/>
    <w:rsid w:val="00820C56"/>
    <w:rsid w:val="0082185B"/>
    <w:rsid w:val="008273E1"/>
    <w:rsid w:val="00830D8F"/>
    <w:rsid w:val="00833E7B"/>
    <w:rsid w:val="008345C2"/>
    <w:rsid w:val="00836956"/>
    <w:rsid w:val="00842582"/>
    <w:rsid w:val="00843976"/>
    <w:rsid w:val="00851174"/>
    <w:rsid w:val="0085319A"/>
    <w:rsid w:val="00853CF8"/>
    <w:rsid w:val="00854A49"/>
    <w:rsid w:val="00861A96"/>
    <w:rsid w:val="008622AA"/>
    <w:rsid w:val="00866661"/>
    <w:rsid w:val="00867D9B"/>
    <w:rsid w:val="00872411"/>
    <w:rsid w:val="00877CB4"/>
    <w:rsid w:val="008801C9"/>
    <w:rsid w:val="0088483D"/>
    <w:rsid w:val="0089664D"/>
    <w:rsid w:val="008A3A74"/>
    <w:rsid w:val="008B0BC1"/>
    <w:rsid w:val="008B2E65"/>
    <w:rsid w:val="008B7A73"/>
    <w:rsid w:val="008C4476"/>
    <w:rsid w:val="008C6869"/>
    <w:rsid w:val="008C6E5D"/>
    <w:rsid w:val="008D2C7D"/>
    <w:rsid w:val="008D55D4"/>
    <w:rsid w:val="008E2DE9"/>
    <w:rsid w:val="008E6BBD"/>
    <w:rsid w:val="008F0C26"/>
    <w:rsid w:val="008F3971"/>
    <w:rsid w:val="008F5729"/>
    <w:rsid w:val="008F5AE6"/>
    <w:rsid w:val="00901E79"/>
    <w:rsid w:val="009048DC"/>
    <w:rsid w:val="00916905"/>
    <w:rsid w:val="00922B11"/>
    <w:rsid w:val="00924A9C"/>
    <w:rsid w:val="00932327"/>
    <w:rsid w:val="00933EBA"/>
    <w:rsid w:val="00935411"/>
    <w:rsid w:val="00935C13"/>
    <w:rsid w:val="00943320"/>
    <w:rsid w:val="009508D2"/>
    <w:rsid w:val="0095156B"/>
    <w:rsid w:val="009547A1"/>
    <w:rsid w:val="00955112"/>
    <w:rsid w:val="009560BF"/>
    <w:rsid w:val="0095734E"/>
    <w:rsid w:val="00960BE8"/>
    <w:rsid w:val="00962735"/>
    <w:rsid w:val="00967D3F"/>
    <w:rsid w:val="00977756"/>
    <w:rsid w:val="00981B91"/>
    <w:rsid w:val="00992116"/>
    <w:rsid w:val="009A429F"/>
    <w:rsid w:val="009B129D"/>
    <w:rsid w:val="009B1D1D"/>
    <w:rsid w:val="009B594D"/>
    <w:rsid w:val="009C096C"/>
    <w:rsid w:val="009D15E9"/>
    <w:rsid w:val="009D282C"/>
    <w:rsid w:val="009D5D9D"/>
    <w:rsid w:val="009E164E"/>
    <w:rsid w:val="009E17A7"/>
    <w:rsid w:val="009E2FB4"/>
    <w:rsid w:val="009E7820"/>
    <w:rsid w:val="009F03C3"/>
    <w:rsid w:val="009F24DB"/>
    <w:rsid w:val="009F4C3B"/>
    <w:rsid w:val="009F6DDD"/>
    <w:rsid w:val="00A04B6A"/>
    <w:rsid w:val="00A113E3"/>
    <w:rsid w:val="00A179B9"/>
    <w:rsid w:val="00A25E88"/>
    <w:rsid w:val="00A302C5"/>
    <w:rsid w:val="00A315AA"/>
    <w:rsid w:val="00A32B3F"/>
    <w:rsid w:val="00A33B4A"/>
    <w:rsid w:val="00A33F3B"/>
    <w:rsid w:val="00A35C4A"/>
    <w:rsid w:val="00A366E9"/>
    <w:rsid w:val="00A658C0"/>
    <w:rsid w:val="00A75278"/>
    <w:rsid w:val="00A83418"/>
    <w:rsid w:val="00A848EB"/>
    <w:rsid w:val="00A86A27"/>
    <w:rsid w:val="00A87BCE"/>
    <w:rsid w:val="00A90BDC"/>
    <w:rsid w:val="00A9351A"/>
    <w:rsid w:val="00A95184"/>
    <w:rsid w:val="00AA1E7E"/>
    <w:rsid w:val="00AA2C5F"/>
    <w:rsid w:val="00AA51EC"/>
    <w:rsid w:val="00AB178B"/>
    <w:rsid w:val="00AB17D2"/>
    <w:rsid w:val="00AB34DB"/>
    <w:rsid w:val="00AB4826"/>
    <w:rsid w:val="00AC3888"/>
    <w:rsid w:val="00AC5286"/>
    <w:rsid w:val="00AD0641"/>
    <w:rsid w:val="00AD1D31"/>
    <w:rsid w:val="00AD240D"/>
    <w:rsid w:val="00AD493D"/>
    <w:rsid w:val="00AE15B3"/>
    <w:rsid w:val="00AE30A5"/>
    <w:rsid w:val="00AE34C1"/>
    <w:rsid w:val="00AE42B0"/>
    <w:rsid w:val="00AE55F7"/>
    <w:rsid w:val="00B01450"/>
    <w:rsid w:val="00B0294D"/>
    <w:rsid w:val="00B0746B"/>
    <w:rsid w:val="00B128D2"/>
    <w:rsid w:val="00B13D8B"/>
    <w:rsid w:val="00B157D3"/>
    <w:rsid w:val="00B1643D"/>
    <w:rsid w:val="00B16A67"/>
    <w:rsid w:val="00B215BE"/>
    <w:rsid w:val="00B21878"/>
    <w:rsid w:val="00B22CBF"/>
    <w:rsid w:val="00B24889"/>
    <w:rsid w:val="00B27542"/>
    <w:rsid w:val="00B308D5"/>
    <w:rsid w:val="00B32375"/>
    <w:rsid w:val="00B427A9"/>
    <w:rsid w:val="00B44683"/>
    <w:rsid w:val="00B52F0F"/>
    <w:rsid w:val="00B5339A"/>
    <w:rsid w:val="00B54932"/>
    <w:rsid w:val="00B56B44"/>
    <w:rsid w:val="00B613CE"/>
    <w:rsid w:val="00B62920"/>
    <w:rsid w:val="00B6301A"/>
    <w:rsid w:val="00B6480B"/>
    <w:rsid w:val="00B64D4F"/>
    <w:rsid w:val="00B67807"/>
    <w:rsid w:val="00B72D10"/>
    <w:rsid w:val="00B75356"/>
    <w:rsid w:val="00B759B9"/>
    <w:rsid w:val="00B8128F"/>
    <w:rsid w:val="00B81D72"/>
    <w:rsid w:val="00B85D15"/>
    <w:rsid w:val="00B86E14"/>
    <w:rsid w:val="00B90DB2"/>
    <w:rsid w:val="00B9274B"/>
    <w:rsid w:val="00BA1931"/>
    <w:rsid w:val="00BA3CB7"/>
    <w:rsid w:val="00BA4C5D"/>
    <w:rsid w:val="00BA5DD8"/>
    <w:rsid w:val="00BC1BF7"/>
    <w:rsid w:val="00BC58BC"/>
    <w:rsid w:val="00BC6D7D"/>
    <w:rsid w:val="00BD1618"/>
    <w:rsid w:val="00BD219B"/>
    <w:rsid w:val="00BD43A8"/>
    <w:rsid w:val="00BD51A4"/>
    <w:rsid w:val="00BD5D20"/>
    <w:rsid w:val="00BD722E"/>
    <w:rsid w:val="00BE1E36"/>
    <w:rsid w:val="00BE2DFB"/>
    <w:rsid w:val="00BE49C3"/>
    <w:rsid w:val="00BF0FFA"/>
    <w:rsid w:val="00BF14FC"/>
    <w:rsid w:val="00C029C9"/>
    <w:rsid w:val="00C03922"/>
    <w:rsid w:val="00C126C5"/>
    <w:rsid w:val="00C12C91"/>
    <w:rsid w:val="00C16F88"/>
    <w:rsid w:val="00C20A81"/>
    <w:rsid w:val="00C33235"/>
    <w:rsid w:val="00C378E6"/>
    <w:rsid w:val="00C40933"/>
    <w:rsid w:val="00C462C1"/>
    <w:rsid w:val="00C52A6B"/>
    <w:rsid w:val="00C60829"/>
    <w:rsid w:val="00C73A5A"/>
    <w:rsid w:val="00C77497"/>
    <w:rsid w:val="00C7785A"/>
    <w:rsid w:val="00C77F52"/>
    <w:rsid w:val="00C849F2"/>
    <w:rsid w:val="00C855E6"/>
    <w:rsid w:val="00C85C03"/>
    <w:rsid w:val="00C901FA"/>
    <w:rsid w:val="00C93F07"/>
    <w:rsid w:val="00CA2B6B"/>
    <w:rsid w:val="00CA70DB"/>
    <w:rsid w:val="00CB2F60"/>
    <w:rsid w:val="00CB4EBE"/>
    <w:rsid w:val="00CC0C37"/>
    <w:rsid w:val="00CC75C8"/>
    <w:rsid w:val="00CD3F64"/>
    <w:rsid w:val="00CD44E3"/>
    <w:rsid w:val="00CE1F9C"/>
    <w:rsid w:val="00CE2ECA"/>
    <w:rsid w:val="00CE4441"/>
    <w:rsid w:val="00CE4B09"/>
    <w:rsid w:val="00CE5DBD"/>
    <w:rsid w:val="00CF6161"/>
    <w:rsid w:val="00D0112E"/>
    <w:rsid w:val="00D029AC"/>
    <w:rsid w:val="00D0515B"/>
    <w:rsid w:val="00D0553B"/>
    <w:rsid w:val="00D05E16"/>
    <w:rsid w:val="00D11A3C"/>
    <w:rsid w:val="00D136F8"/>
    <w:rsid w:val="00D139BA"/>
    <w:rsid w:val="00D17E2D"/>
    <w:rsid w:val="00D24BAD"/>
    <w:rsid w:val="00D3010D"/>
    <w:rsid w:val="00D327BB"/>
    <w:rsid w:val="00D36539"/>
    <w:rsid w:val="00D441FC"/>
    <w:rsid w:val="00D52771"/>
    <w:rsid w:val="00D55B3D"/>
    <w:rsid w:val="00D55E35"/>
    <w:rsid w:val="00D63880"/>
    <w:rsid w:val="00D64B1C"/>
    <w:rsid w:val="00D66A6B"/>
    <w:rsid w:val="00D73C7C"/>
    <w:rsid w:val="00D82068"/>
    <w:rsid w:val="00D82E1C"/>
    <w:rsid w:val="00D83712"/>
    <w:rsid w:val="00D84003"/>
    <w:rsid w:val="00D84FD1"/>
    <w:rsid w:val="00D852C4"/>
    <w:rsid w:val="00D94282"/>
    <w:rsid w:val="00D94D3C"/>
    <w:rsid w:val="00DB15AD"/>
    <w:rsid w:val="00DB222D"/>
    <w:rsid w:val="00DB5194"/>
    <w:rsid w:val="00DB6590"/>
    <w:rsid w:val="00DB7B0E"/>
    <w:rsid w:val="00DC5CDC"/>
    <w:rsid w:val="00DD60DE"/>
    <w:rsid w:val="00DE1EA4"/>
    <w:rsid w:val="00DE65FB"/>
    <w:rsid w:val="00DF2C54"/>
    <w:rsid w:val="00DF33F3"/>
    <w:rsid w:val="00DF439A"/>
    <w:rsid w:val="00E0044F"/>
    <w:rsid w:val="00E00FE0"/>
    <w:rsid w:val="00E01BE7"/>
    <w:rsid w:val="00E06131"/>
    <w:rsid w:val="00E07213"/>
    <w:rsid w:val="00E11ADF"/>
    <w:rsid w:val="00E21E06"/>
    <w:rsid w:val="00E23CFA"/>
    <w:rsid w:val="00E3379A"/>
    <w:rsid w:val="00E37058"/>
    <w:rsid w:val="00E401BF"/>
    <w:rsid w:val="00E42CE8"/>
    <w:rsid w:val="00E44B92"/>
    <w:rsid w:val="00E539EB"/>
    <w:rsid w:val="00E6329E"/>
    <w:rsid w:val="00E63C3E"/>
    <w:rsid w:val="00E67D83"/>
    <w:rsid w:val="00E719A9"/>
    <w:rsid w:val="00E747B2"/>
    <w:rsid w:val="00E81267"/>
    <w:rsid w:val="00E825DD"/>
    <w:rsid w:val="00E86059"/>
    <w:rsid w:val="00E94AAF"/>
    <w:rsid w:val="00E970F6"/>
    <w:rsid w:val="00EA7865"/>
    <w:rsid w:val="00EB1C90"/>
    <w:rsid w:val="00EB29B9"/>
    <w:rsid w:val="00EB31FA"/>
    <w:rsid w:val="00EB6D73"/>
    <w:rsid w:val="00ED1B5F"/>
    <w:rsid w:val="00ED78B1"/>
    <w:rsid w:val="00EE1E79"/>
    <w:rsid w:val="00EE3761"/>
    <w:rsid w:val="00EE39CF"/>
    <w:rsid w:val="00EE48ED"/>
    <w:rsid w:val="00EF166A"/>
    <w:rsid w:val="00EF318C"/>
    <w:rsid w:val="00EF3A9C"/>
    <w:rsid w:val="00EF4D4B"/>
    <w:rsid w:val="00F00229"/>
    <w:rsid w:val="00F0041B"/>
    <w:rsid w:val="00F00989"/>
    <w:rsid w:val="00F04DD8"/>
    <w:rsid w:val="00F05568"/>
    <w:rsid w:val="00F07ED1"/>
    <w:rsid w:val="00F10B6C"/>
    <w:rsid w:val="00F15923"/>
    <w:rsid w:val="00F175CB"/>
    <w:rsid w:val="00F247C2"/>
    <w:rsid w:val="00F26BC8"/>
    <w:rsid w:val="00F274B5"/>
    <w:rsid w:val="00F326A9"/>
    <w:rsid w:val="00F328C8"/>
    <w:rsid w:val="00F33C75"/>
    <w:rsid w:val="00F34FBB"/>
    <w:rsid w:val="00F37B42"/>
    <w:rsid w:val="00F403EF"/>
    <w:rsid w:val="00F40D72"/>
    <w:rsid w:val="00F415D0"/>
    <w:rsid w:val="00F43594"/>
    <w:rsid w:val="00F4565F"/>
    <w:rsid w:val="00F46CC6"/>
    <w:rsid w:val="00F474C2"/>
    <w:rsid w:val="00F50B61"/>
    <w:rsid w:val="00F53696"/>
    <w:rsid w:val="00F53FF1"/>
    <w:rsid w:val="00F55126"/>
    <w:rsid w:val="00F55D9F"/>
    <w:rsid w:val="00F57136"/>
    <w:rsid w:val="00F62630"/>
    <w:rsid w:val="00F677E8"/>
    <w:rsid w:val="00F81844"/>
    <w:rsid w:val="00F84025"/>
    <w:rsid w:val="00F86452"/>
    <w:rsid w:val="00FA1830"/>
    <w:rsid w:val="00FA3018"/>
    <w:rsid w:val="00FA53A1"/>
    <w:rsid w:val="00FA5FFC"/>
    <w:rsid w:val="00FB241D"/>
    <w:rsid w:val="00FB486E"/>
    <w:rsid w:val="00FC6F81"/>
    <w:rsid w:val="00FD1250"/>
    <w:rsid w:val="00FD40E9"/>
    <w:rsid w:val="00FD4631"/>
    <w:rsid w:val="00FD5D5F"/>
    <w:rsid w:val="00FE161E"/>
    <w:rsid w:val="00FE3D22"/>
    <w:rsid w:val="00FE4AD0"/>
    <w:rsid w:val="00FF2F4A"/>
    <w:rsid w:val="00FF52AF"/>
    <w:rsid w:val="0C425ECC"/>
    <w:rsid w:val="71D623C6"/>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077448"/>
  <w15:chartTrackingRefBased/>
  <w15:docId w15:val="{1515B1E6-08CE-4F96-BE18-217385ED0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EastAsia" w:eastAsiaTheme="minorEastAsia" w:hAnsiTheme="minorHAnsi" w:cstheme="minorBidi"/>
        <w:kern w:val="2"/>
        <w:szCs w:val="22"/>
        <w:lang w:val="en-US" w:eastAsia="ko-KR" w:bidi="ar-SA"/>
      </w:rPr>
    </w:rPrDefault>
    <w:pPrDefault>
      <w:pPr>
        <w:widowControl w:val="0"/>
        <w:wordWrap w:val="0"/>
        <w:autoSpaceDE w:val="0"/>
        <w:autoSpaceDN w:val="0"/>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72D1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B14A0"/>
    <w:pPr>
      <w:spacing w:after="0" w:line="240" w:lineRule="auto"/>
    </w:pPr>
  </w:style>
  <w:style w:type="paragraph" w:styleId="a4">
    <w:name w:val="header"/>
    <w:basedOn w:val="a"/>
    <w:link w:val="Char"/>
    <w:uiPriority w:val="99"/>
    <w:unhideWhenUsed/>
    <w:rsid w:val="00B01450"/>
    <w:pPr>
      <w:tabs>
        <w:tab w:val="center" w:pos="4680"/>
        <w:tab w:val="right" w:pos="9360"/>
      </w:tabs>
      <w:spacing w:after="0" w:line="240" w:lineRule="auto"/>
    </w:pPr>
  </w:style>
  <w:style w:type="character" w:customStyle="1" w:styleId="Char">
    <w:name w:val="머리글 Char"/>
    <w:basedOn w:val="a0"/>
    <w:link w:val="a4"/>
    <w:uiPriority w:val="99"/>
    <w:rsid w:val="00B01450"/>
  </w:style>
  <w:style w:type="paragraph" w:styleId="a5">
    <w:name w:val="footer"/>
    <w:basedOn w:val="a"/>
    <w:link w:val="Char0"/>
    <w:uiPriority w:val="99"/>
    <w:unhideWhenUsed/>
    <w:rsid w:val="00B01450"/>
    <w:pPr>
      <w:tabs>
        <w:tab w:val="center" w:pos="4680"/>
        <w:tab w:val="right" w:pos="9360"/>
      </w:tabs>
      <w:spacing w:after="0" w:line="240" w:lineRule="auto"/>
    </w:pPr>
  </w:style>
  <w:style w:type="character" w:customStyle="1" w:styleId="Char0">
    <w:name w:val="바닥글 Char"/>
    <w:basedOn w:val="a0"/>
    <w:link w:val="a5"/>
    <w:uiPriority w:val="99"/>
    <w:rsid w:val="00B01450"/>
  </w:style>
  <w:style w:type="paragraph" w:styleId="a6">
    <w:name w:val="List Paragraph"/>
    <w:basedOn w:val="a"/>
    <w:uiPriority w:val="34"/>
    <w:qFormat/>
    <w:rsid w:val="00D64B1C"/>
    <w:pPr>
      <w:ind w:left="720"/>
      <w:contextualSpacing/>
    </w:pPr>
  </w:style>
  <w:style w:type="character" w:styleId="a7">
    <w:name w:val="Placeholder Text"/>
    <w:basedOn w:val="a0"/>
    <w:uiPriority w:val="99"/>
    <w:semiHidden/>
    <w:rsid w:val="002D779F"/>
    <w:rPr>
      <w:color w:val="808080"/>
    </w:rPr>
  </w:style>
  <w:style w:type="paragraph" w:styleId="a8">
    <w:name w:val="Balloon Text"/>
    <w:basedOn w:val="a"/>
    <w:link w:val="Char1"/>
    <w:uiPriority w:val="99"/>
    <w:semiHidden/>
    <w:unhideWhenUsed/>
    <w:rsid w:val="00BD5D20"/>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8"/>
    <w:uiPriority w:val="99"/>
    <w:semiHidden/>
    <w:rsid w:val="00BD5D20"/>
    <w:rPr>
      <w:rFonts w:asciiTheme="majorHAnsi" w:eastAsiaTheme="majorEastAsia" w:hAnsiTheme="majorHAnsi" w:cstheme="majorBidi"/>
      <w:sz w:val="18"/>
      <w:szCs w:val="18"/>
    </w:rPr>
  </w:style>
  <w:style w:type="character" w:styleId="a9">
    <w:name w:val="annotation reference"/>
    <w:basedOn w:val="a0"/>
    <w:uiPriority w:val="99"/>
    <w:semiHidden/>
    <w:unhideWhenUsed/>
    <w:rsid w:val="007C33A7"/>
    <w:rPr>
      <w:sz w:val="18"/>
      <w:szCs w:val="18"/>
    </w:rPr>
  </w:style>
  <w:style w:type="paragraph" w:styleId="aa">
    <w:name w:val="annotation text"/>
    <w:basedOn w:val="a"/>
    <w:link w:val="Char2"/>
    <w:uiPriority w:val="99"/>
    <w:unhideWhenUsed/>
    <w:rsid w:val="007C33A7"/>
    <w:pPr>
      <w:jc w:val="left"/>
    </w:pPr>
  </w:style>
  <w:style w:type="character" w:customStyle="1" w:styleId="Char2">
    <w:name w:val="메모 텍스트 Char"/>
    <w:basedOn w:val="a0"/>
    <w:link w:val="aa"/>
    <w:uiPriority w:val="99"/>
    <w:rsid w:val="007C33A7"/>
  </w:style>
  <w:style w:type="paragraph" w:styleId="ab">
    <w:name w:val="annotation subject"/>
    <w:basedOn w:val="aa"/>
    <w:next w:val="aa"/>
    <w:link w:val="Char3"/>
    <w:uiPriority w:val="99"/>
    <w:semiHidden/>
    <w:unhideWhenUsed/>
    <w:rsid w:val="007C33A7"/>
    <w:rPr>
      <w:b/>
      <w:bCs/>
    </w:rPr>
  </w:style>
  <w:style w:type="character" w:customStyle="1" w:styleId="Char3">
    <w:name w:val="메모 주제 Char"/>
    <w:basedOn w:val="Char2"/>
    <w:link w:val="ab"/>
    <w:uiPriority w:val="99"/>
    <w:semiHidden/>
    <w:rsid w:val="007C33A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16678">
      <w:bodyDiv w:val="1"/>
      <w:marLeft w:val="0"/>
      <w:marRight w:val="0"/>
      <w:marTop w:val="0"/>
      <w:marBottom w:val="0"/>
      <w:divBdr>
        <w:top w:val="none" w:sz="0" w:space="0" w:color="auto"/>
        <w:left w:val="none" w:sz="0" w:space="0" w:color="auto"/>
        <w:bottom w:val="none" w:sz="0" w:space="0" w:color="auto"/>
        <w:right w:val="none" w:sz="0" w:space="0" w:color="auto"/>
      </w:divBdr>
    </w:div>
    <w:div w:id="25302505">
      <w:bodyDiv w:val="1"/>
      <w:marLeft w:val="0"/>
      <w:marRight w:val="0"/>
      <w:marTop w:val="0"/>
      <w:marBottom w:val="0"/>
      <w:divBdr>
        <w:top w:val="none" w:sz="0" w:space="0" w:color="auto"/>
        <w:left w:val="none" w:sz="0" w:space="0" w:color="auto"/>
        <w:bottom w:val="none" w:sz="0" w:space="0" w:color="auto"/>
        <w:right w:val="none" w:sz="0" w:space="0" w:color="auto"/>
      </w:divBdr>
    </w:div>
    <w:div w:id="309138925">
      <w:bodyDiv w:val="1"/>
      <w:marLeft w:val="0"/>
      <w:marRight w:val="0"/>
      <w:marTop w:val="0"/>
      <w:marBottom w:val="0"/>
      <w:divBdr>
        <w:top w:val="none" w:sz="0" w:space="0" w:color="auto"/>
        <w:left w:val="none" w:sz="0" w:space="0" w:color="auto"/>
        <w:bottom w:val="none" w:sz="0" w:space="0" w:color="auto"/>
        <w:right w:val="none" w:sz="0" w:space="0" w:color="auto"/>
      </w:divBdr>
    </w:div>
    <w:div w:id="352265933">
      <w:bodyDiv w:val="1"/>
      <w:marLeft w:val="0"/>
      <w:marRight w:val="0"/>
      <w:marTop w:val="0"/>
      <w:marBottom w:val="0"/>
      <w:divBdr>
        <w:top w:val="none" w:sz="0" w:space="0" w:color="auto"/>
        <w:left w:val="none" w:sz="0" w:space="0" w:color="auto"/>
        <w:bottom w:val="none" w:sz="0" w:space="0" w:color="auto"/>
        <w:right w:val="none" w:sz="0" w:space="0" w:color="auto"/>
      </w:divBdr>
    </w:div>
    <w:div w:id="429396362">
      <w:bodyDiv w:val="1"/>
      <w:marLeft w:val="0"/>
      <w:marRight w:val="0"/>
      <w:marTop w:val="0"/>
      <w:marBottom w:val="0"/>
      <w:divBdr>
        <w:top w:val="none" w:sz="0" w:space="0" w:color="auto"/>
        <w:left w:val="none" w:sz="0" w:space="0" w:color="auto"/>
        <w:bottom w:val="none" w:sz="0" w:space="0" w:color="auto"/>
        <w:right w:val="none" w:sz="0" w:space="0" w:color="auto"/>
      </w:divBdr>
    </w:div>
    <w:div w:id="507602209">
      <w:bodyDiv w:val="1"/>
      <w:marLeft w:val="0"/>
      <w:marRight w:val="0"/>
      <w:marTop w:val="0"/>
      <w:marBottom w:val="0"/>
      <w:divBdr>
        <w:top w:val="none" w:sz="0" w:space="0" w:color="auto"/>
        <w:left w:val="none" w:sz="0" w:space="0" w:color="auto"/>
        <w:bottom w:val="none" w:sz="0" w:space="0" w:color="auto"/>
        <w:right w:val="none" w:sz="0" w:space="0" w:color="auto"/>
      </w:divBdr>
    </w:div>
    <w:div w:id="556478948">
      <w:bodyDiv w:val="1"/>
      <w:marLeft w:val="0"/>
      <w:marRight w:val="0"/>
      <w:marTop w:val="0"/>
      <w:marBottom w:val="0"/>
      <w:divBdr>
        <w:top w:val="none" w:sz="0" w:space="0" w:color="auto"/>
        <w:left w:val="none" w:sz="0" w:space="0" w:color="auto"/>
        <w:bottom w:val="none" w:sz="0" w:space="0" w:color="auto"/>
        <w:right w:val="none" w:sz="0" w:space="0" w:color="auto"/>
      </w:divBdr>
    </w:div>
    <w:div w:id="566065633">
      <w:bodyDiv w:val="1"/>
      <w:marLeft w:val="0"/>
      <w:marRight w:val="0"/>
      <w:marTop w:val="0"/>
      <w:marBottom w:val="0"/>
      <w:divBdr>
        <w:top w:val="none" w:sz="0" w:space="0" w:color="auto"/>
        <w:left w:val="none" w:sz="0" w:space="0" w:color="auto"/>
        <w:bottom w:val="none" w:sz="0" w:space="0" w:color="auto"/>
        <w:right w:val="none" w:sz="0" w:space="0" w:color="auto"/>
      </w:divBdr>
    </w:div>
    <w:div w:id="613635450">
      <w:bodyDiv w:val="1"/>
      <w:marLeft w:val="0"/>
      <w:marRight w:val="0"/>
      <w:marTop w:val="0"/>
      <w:marBottom w:val="0"/>
      <w:divBdr>
        <w:top w:val="none" w:sz="0" w:space="0" w:color="auto"/>
        <w:left w:val="none" w:sz="0" w:space="0" w:color="auto"/>
        <w:bottom w:val="none" w:sz="0" w:space="0" w:color="auto"/>
        <w:right w:val="none" w:sz="0" w:space="0" w:color="auto"/>
      </w:divBdr>
    </w:div>
    <w:div w:id="622884964">
      <w:bodyDiv w:val="1"/>
      <w:marLeft w:val="0"/>
      <w:marRight w:val="0"/>
      <w:marTop w:val="0"/>
      <w:marBottom w:val="0"/>
      <w:divBdr>
        <w:top w:val="none" w:sz="0" w:space="0" w:color="auto"/>
        <w:left w:val="none" w:sz="0" w:space="0" w:color="auto"/>
        <w:bottom w:val="none" w:sz="0" w:space="0" w:color="auto"/>
        <w:right w:val="none" w:sz="0" w:space="0" w:color="auto"/>
      </w:divBdr>
    </w:div>
    <w:div w:id="658315873">
      <w:bodyDiv w:val="1"/>
      <w:marLeft w:val="0"/>
      <w:marRight w:val="0"/>
      <w:marTop w:val="0"/>
      <w:marBottom w:val="0"/>
      <w:divBdr>
        <w:top w:val="none" w:sz="0" w:space="0" w:color="auto"/>
        <w:left w:val="none" w:sz="0" w:space="0" w:color="auto"/>
        <w:bottom w:val="none" w:sz="0" w:space="0" w:color="auto"/>
        <w:right w:val="none" w:sz="0" w:space="0" w:color="auto"/>
      </w:divBdr>
    </w:div>
    <w:div w:id="756558277">
      <w:bodyDiv w:val="1"/>
      <w:marLeft w:val="0"/>
      <w:marRight w:val="0"/>
      <w:marTop w:val="0"/>
      <w:marBottom w:val="0"/>
      <w:divBdr>
        <w:top w:val="none" w:sz="0" w:space="0" w:color="auto"/>
        <w:left w:val="none" w:sz="0" w:space="0" w:color="auto"/>
        <w:bottom w:val="none" w:sz="0" w:space="0" w:color="auto"/>
        <w:right w:val="none" w:sz="0" w:space="0" w:color="auto"/>
      </w:divBdr>
    </w:div>
    <w:div w:id="811289699">
      <w:bodyDiv w:val="1"/>
      <w:marLeft w:val="0"/>
      <w:marRight w:val="0"/>
      <w:marTop w:val="0"/>
      <w:marBottom w:val="0"/>
      <w:divBdr>
        <w:top w:val="none" w:sz="0" w:space="0" w:color="auto"/>
        <w:left w:val="none" w:sz="0" w:space="0" w:color="auto"/>
        <w:bottom w:val="none" w:sz="0" w:space="0" w:color="auto"/>
        <w:right w:val="none" w:sz="0" w:space="0" w:color="auto"/>
      </w:divBdr>
    </w:div>
    <w:div w:id="857234723">
      <w:bodyDiv w:val="1"/>
      <w:marLeft w:val="0"/>
      <w:marRight w:val="0"/>
      <w:marTop w:val="0"/>
      <w:marBottom w:val="0"/>
      <w:divBdr>
        <w:top w:val="none" w:sz="0" w:space="0" w:color="auto"/>
        <w:left w:val="none" w:sz="0" w:space="0" w:color="auto"/>
        <w:bottom w:val="none" w:sz="0" w:space="0" w:color="auto"/>
        <w:right w:val="none" w:sz="0" w:space="0" w:color="auto"/>
      </w:divBdr>
    </w:div>
    <w:div w:id="926621329">
      <w:bodyDiv w:val="1"/>
      <w:marLeft w:val="0"/>
      <w:marRight w:val="0"/>
      <w:marTop w:val="0"/>
      <w:marBottom w:val="0"/>
      <w:divBdr>
        <w:top w:val="none" w:sz="0" w:space="0" w:color="auto"/>
        <w:left w:val="none" w:sz="0" w:space="0" w:color="auto"/>
        <w:bottom w:val="none" w:sz="0" w:space="0" w:color="auto"/>
        <w:right w:val="none" w:sz="0" w:space="0" w:color="auto"/>
      </w:divBdr>
    </w:div>
    <w:div w:id="930159518">
      <w:bodyDiv w:val="1"/>
      <w:marLeft w:val="0"/>
      <w:marRight w:val="0"/>
      <w:marTop w:val="0"/>
      <w:marBottom w:val="0"/>
      <w:divBdr>
        <w:top w:val="none" w:sz="0" w:space="0" w:color="auto"/>
        <w:left w:val="none" w:sz="0" w:space="0" w:color="auto"/>
        <w:bottom w:val="none" w:sz="0" w:space="0" w:color="auto"/>
        <w:right w:val="none" w:sz="0" w:space="0" w:color="auto"/>
      </w:divBdr>
    </w:div>
    <w:div w:id="957029335">
      <w:bodyDiv w:val="1"/>
      <w:marLeft w:val="0"/>
      <w:marRight w:val="0"/>
      <w:marTop w:val="0"/>
      <w:marBottom w:val="0"/>
      <w:divBdr>
        <w:top w:val="none" w:sz="0" w:space="0" w:color="auto"/>
        <w:left w:val="none" w:sz="0" w:space="0" w:color="auto"/>
        <w:bottom w:val="none" w:sz="0" w:space="0" w:color="auto"/>
        <w:right w:val="none" w:sz="0" w:space="0" w:color="auto"/>
      </w:divBdr>
    </w:div>
    <w:div w:id="962464423">
      <w:bodyDiv w:val="1"/>
      <w:marLeft w:val="0"/>
      <w:marRight w:val="0"/>
      <w:marTop w:val="0"/>
      <w:marBottom w:val="0"/>
      <w:divBdr>
        <w:top w:val="none" w:sz="0" w:space="0" w:color="auto"/>
        <w:left w:val="none" w:sz="0" w:space="0" w:color="auto"/>
        <w:bottom w:val="none" w:sz="0" w:space="0" w:color="auto"/>
        <w:right w:val="none" w:sz="0" w:space="0" w:color="auto"/>
      </w:divBdr>
    </w:div>
    <w:div w:id="982344144">
      <w:bodyDiv w:val="1"/>
      <w:marLeft w:val="0"/>
      <w:marRight w:val="0"/>
      <w:marTop w:val="0"/>
      <w:marBottom w:val="0"/>
      <w:divBdr>
        <w:top w:val="none" w:sz="0" w:space="0" w:color="auto"/>
        <w:left w:val="none" w:sz="0" w:space="0" w:color="auto"/>
        <w:bottom w:val="none" w:sz="0" w:space="0" w:color="auto"/>
        <w:right w:val="none" w:sz="0" w:space="0" w:color="auto"/>
      </w:divBdr>
    </w:div>
    <w:div w:id="985360536">
      <w:bodyDiv w:val="1"/>
      <w:marLeft w:val="0"/>
      <w:marRight w:val="0"/>
      <w:marTop w:val="0"/>
      <w:marBottom w:val="0"/>
      <w:divBdr>
        <w:top w:val="none" w:sz="0" w:space="0" w:color="auto"/>
        <w:left w:val="none" w:sz="0" w:space="0" w:color="auto"/>
        <w:bottom w:val="none" w:sz="0" w:space="0" w:color="auto"/>
        <w:right w:val="none" w:sz="0" w:space="0" w:color="auto"/>
      </w:divBdr>
    </w:div>
    <w:div w:id="1018194271">
      <w:bodyDiv w:val="1"/>
      <w:marLeft w:val="0"/>
      <w:marRight w:val="0"/>
      <w:marTop w:val="0"/>
      <w:marBottom w:val="0"/>
      <w:divBdr>
        <w:top w:val="none" w:sz="0" w:space="0" w:color="auto"/>
        <w:left w:val="none" w:sz="0" w:space="0" w:color="auto"/>
        <w:bottom w:val="none" w:sz="0" w:space="0" w:color="auto"/>
        <w:right w:val="none" w:sz="0" w:space="0" w:color="auto"/>
      </w:divBdr>
    </w:div>
    <w:div w:id="1186675657">
      <w:bodyDiv w:val="1"/>
      <w:marLeft w:val="0"/>
      <w:marRight w:val="0"/>
      <w:marTop w:val="0"/>
      <w:marBottom w:val="0"/>
      <w:divBdr>
        <w:top w:val="none" w:sz="0" w:space="0" w:color="auto"/>
        <w:left w:val="none" w:sz="0" w:space="0" w:color="auto"/>
        <w:bottom w:val="none" w:sz="0" w:space="0" w:color="auto"/>
        <w:right w:val="none" w:sz="0" w:space="0" w:color="auto"/>
      </w:divBdr>
    </w:div>
    <w:div w:id="1237664064">
      <w:bodyDiv w:val="1"/>
      <w:marLeft w:val="0"/>
      <w:marRight w:val="0"/>
      <w:marTop w:val="0"/>
      <w:marBottom w:val="0"/>
      <w:divBdr>
        <w:top w:val="none" w:sz="0" w:space="0" w:color="auto"/>
        <w:left w:val="none" w:sz="0" w:space="0" w:color="auto"/>
        <w:bottom w:val="none" w:sz="0" w:space="0" w:color="auto"/>
        <w:right w:val="none" w:sz="0" w:space="0" w:color="auto"/>
      </w:divBdr>
    </w:div>
    <w:div w:id="1309434311">
      <w:bodyDiv w:val="1"/>
      <w:marLeft w:val="0"/>
      <w:marRight w:val="0"/>
      <w:marTop w:val="0"/>
      <w:marBottom w:val="0"/>
      <w:divBdr>
        <w:top w:val="none" w:sz="0" w:space="0" w:color="auto"/>
        <w:left w:val="none" w:sz="0" w:space="0" w:color="auto"/>
        <w:bottom w:val="none" w:sz="0" w:space="0" w:color="auto"/>
        <w:right w:val="none" w:sz="0" w:space="0" w:color="auto"/>
      </w:divBdr>
    </w:div>
    <w:div w:id="1349287560">
      <w:bodyDiv w:val="1"/>
      <w:marLeft w:val="0"/>
      <w:marRight w:val="0"/>
      <w:marTop w:val="0"/>
      <w:marBottom w:val="0"/>
      <w:divBdr>
        <w:top w:val="none" w:sz="0" w:space="0" w:color="auto"/>
        <w:left w:val="none" w:sz="0" w:space="0" w:color="auto"/>
        <w:bottom w:val="none" w:sz="0" w:space="0" w:color="auto"/>
        <w:right w:val="none" w:sz="0" w:space="0" w:color="auto"/>
      </w:divBdr>
    </w:div>
    <w:div w:id="1400783708">
      <w:bodyDiv w:val="1"/>
      <w:marLeft w:val="0"/>
      <w:marRight w:val="0"/>
      <w:marTop w:val="0"/>
      <w:marBottom w:val="0"/>
      <w:divBdr>
        <w:top w:val="none" w:sz="0" w:space="0" w:color="auto"/>
        <w:left w:val="none" w:sz="0" w:space="0" w:color="auto"/>
        <w:bottom w:val="none" w:sz="0" w:space="0" w:color="auto"/>
        <w:right w:val="none" w:sz="0" w:space="0" w:color="auto"/>
      </w:divBdr>
    </w:div>
    <w:div w:id="1593860056">
      <w:bodyDiv w:val="1"/>
      <w:marLeft w:val="0"/>
      <w:marRight w:val="0"/>
      <w:marTop w:val="0"/>
      <w:marBottom w:val="0"/>
      <w:divBdr>
        <w:top w:val="none" w:sz="0" w:space="0" w:color="auto"/>
        <w:left w:val="none" w:sz="0" w:space="0" w:color="auto"/>
        <w:bottom w:val="none" w:sz="0" w:space="0" w:color="auto"/>
        <w:right w:val="none" w:sz="0" w:space="0" w:color="auto"/>
      </w:divBdr>
    </w:div>
    <w:div w:id="1659772265">
      <w:bodyDiv w:val="1"/>
      <w:marLeft w:val="0"/>
      <w:marRight w:val="0"/>
      <w:marTop w:val="0"/>
      <w:marBottom w:val="0"/>
      <w:divBdr>
        <w:top w:val="none" w:sz="0" w:space="0" w:color="auto"/>
        <w:left w:val="none" w:sz="0" w:space="0" w:color="auto"/>
        <w:bottom w:val="none" w:sz="0" w:space="0" w:color="auto"/>
        <w:right w:val="none" w:sz="0" w:space="0" w:color="auto"/>
      </w:divBdr>
    </w:div>
    <w:div w:id="1660617499">
      <w:bodyDiv w:val="1"/>
      <w:marLeft w:val="0"/>
      <w:marRight w:val="0"/>
      <w:marTop w:val="0"/>
      <w:marBottom w:val="0"/>
      <w:divBdr>
        <w:top w:val="none" w:sz="0" w:space="0" w:color="auto"/>
        <w:left w:val="none" w:sz="0" w:space="0" w:color="auto"/>
        <w:bottom w:val="none" w:sz="0" w:space="0" w:color="auto"/>
        <w:right w:val="none" w:sz="0" w:space="0" w:color="auto"/>
      </w:divBdr>
    </w:div>
    <w:div w:id="1720665124">
      <w:bodyDiv w:val="1"/>
      <w:marLeft w:val="0"/>
      <w:marRight w:val="0"/>
      <w:marTop w:val="0"/>
      <w:marBottom w:val="0"/>
      <w:divBdr>
        <w:top w:val="none" w:sz="0" w:space="0" w:color="auto"/>
        <w:left w:val="none" w:sz="0" w:space="0" w:color="auto"/>
        <w:bottom w:val="none" w:sz="0" w:space="0" w:color="auto"/>
        <w:right w:val="none" w:sz="0" w:space="0" w:color="auto"/>
      </w:divBdr>
    </w:div>
    <w:div w:id="1762407526">
      <w:bodyDiv w:val="1"/>
      <w:marLeft w:val="0"/>
      <w:marRight w:val="0"/>
      <w:marTop w:val="0"/>
      <w:marBottom w:val="0"/>
      <w:divBdr>
        <w:top w:val="none" w:sz="0" w:space="0" w:color="auto"/>
        <w:left w:val="none" w:sz="0" w:space="0" w:color="auto"/>
        <w:bottom w:val="none" w:sz="0" w:space="0" w:color="auto"/>
        <w:right w:val="none" w:sz="0" w:space="0" w:color="auto"/>
      </w:divBdr>
    </w:div>
    <w:div w:id="1824157847">
      <w:bodyDiv w:val="1"/>
      <w:marLeft w:val="0"/>
      <w:marRight w:val="0"/>
      <w:marTop w:val="0"/>
      <w:marBottom w:val="0"/>
      <w:divBdr>
        <w:top w:val="none" w:sz="0" w:space="0" w:color="auto"/>
        <w:left w:val="none" w:sz="0" w:space="0" w:color="auto"/>
        <w:bottom w:val="none" w:sz="0" w:space="0" w:color="auto"/>
        <w:right w:val="none" w:sz="0" w:space="0" w:color="auto"/>
      </w:divBdr>
    </w:div>
    <w:div w:id="1926527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68EEE0E-73AB-4AE8-95E2-8943BDA1CF3A}">
  <we:reference id="wa104382081" version="1.46.0.0" store="ko-KR" storeType="OMEX"/>
  <we:alternateReferences>
    <we:reference id="WA104382081" version="1.46.0.0" store="" storeType="OMEX"/>
  </we:alternateReferences>
  <we:properties>
    <we:property name="MENDELEY_CITATIONS" value="[{&quot;citationID&quot;:&quot;MENDELEY_CITATION_c5f07696-f5a6-4521-9a35-f637fed374d6&quot;,&quot;properties&quot;:{&quot;noteIndex&quot;:0},&quot;isEdited&quot;:false,&quot;manualOverride&quot;:{&quot;isManuallyOverridden&quot;:false,&quot;citeprocText&quot;:&quot;(Secord et al., 2016)&quot;,&quot;manualOverrideText&quot;:&quot;&quot;},&quot;citationTag&quot;:&quot;MENDELEY_CITATION_v3_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&quot;,&quot;citationItems&quot;:[{&quot;id&quot;:&quot;4d99de0c-aebf-363a-abff-7cfaf85850b0&quot;,&quot;itemData&quot;:{&quot;type&quot;:&quot;article-journal&quot;,&quot;id&quot;:&quot;4d99de0c-aebf-363a-abff-7cfaf85850b0&quot;,&quot;title&quot;:&quot;Body mass index and mortality in endometrial cancer: A systematic review and meta-analysis&quot;,&quot;author&quot;:[{&quot;family&quot;:&quot;Secord&quot;,&quot;given&quot;:&quot;Angeles Alvarez&quot;,&quot;parse-names&quot;:false,&quot;dropping-particle&quot;:&quot;&quot;,&quot;non-dropping-particle&quot;:&quot;&quot;},{&quot;family&quot;:&quot;Hasselblad&quot;,&quot;given&quot;:&quot;Vic&quot;,&quot;parse-names&quot;:false,&quot;dropping-particle&quot;:&quot;&quot;,&quot;non-dropping-particle&quot;:&quot;&quot;},{&quot;family&quot;:&quot;Gruenigen&quot;,&quot;given&quot;:&quot;Vivian E&quot;,&quot;parse-names&quot;:false,&quot;dropping-particle&quot;:&quot;&quot;,&quot;non-dropping-particle&quot;:&quot;von&quot;},{&quot;family&quot;:&quot;Gehrig&quot;,&quot;given&quot;:&quot;Paola A&quot;,&quot;parse-names&quot;:false,&quot;dropping-particle&quot;:&quot;&quot;,&quot;non-dropping-particle&quot;:&quot;&quot;},{&quot;family&quot;:&quot;Modesitt&quot;,&quot;given&quot;:&quot;Susan C&quot;,&quot;parse-names&quot;:false,&quot;dropping-particle&quot;:&quot;&quot;,&quot;non-dropping-particle&quot;:&quot;&quot;},{&quot;family&quot;:&quot;Bae-Jump&quot;,&quot;given&quot;:&quot;Victoria&quot;,&quot;parse-names&quot;:false,&quot;dropping-particle&quot;:&quot;&quot;,&quot;non-dropping-particle&quot;:&quot;&quot;},{&quot;family&quot;:&quot;Havrilesky&quot;,&quot;given&quot;:&quot;Laura J&quot;,&quot;parse-names&quot;:false,&quot;dropping-particle&quot;:&quot;&quot;,&quot;non-dropping-particle&quot;:&quot;&quot;}],&quot;container-title&quot;:&quot;Gynecologic oncology&quot;,&quot;container-title-short&quot;:&quot;Gynecol Oncol&quot;,&quot;DOI&quot;:&quot;10.1016/j.ygyno.2015.10.020&quot;,&quot;ISSN&quot;:&quot;1095-6859&quot;,&quot;URL&quot;:&quot;https://pubmed.ncbi.nlm.nih.gov/26524722&quot;,&quot;issued&quot;:{&quot;date-parts&quot;:[[2016,1]]},&quot;page&quot;:&quot;184-190&quot;,&quot;language&quot;:&quot;eng&quot;,&quot;abstract&quot;:&quot;OBJECTIVE: To evaluate the association between body mass index (BMI) and mortality in women with endometrial cancer. METHODS: A systematic review was performed utilizing a Medline search with Mesh keywords 'endometrial neoplasms' and ('body mass index' or 'obesity') and ('survival analysis' or 'mortality' or 'survivor' or 'survival') for studies published prior to June 2013. Inclusion criteria included studies that assessed associations between BMI and survival in endometrial cancer patients. Two investigators independently reviewed the title and abstract and full-text of articles for inclusion or exclusion decision; discordant decisions were adjudicated by a third reviewer. A random-effects model was constructed that was comparable to the standard random-effects models used in the meta-analysis of odds ratios. The model was fitted using SAS PROC NLMIXED. RESULTS: 1451 studies were identified and reviewed in duplicate, 18 met inclusion criteria. A random-effects meta-analysis demonstrated significantly higher odds of mortality with increasing BMI in endometrial cancer patients. Specifically the odds ratios were 1.01, 1.17, 1.26, and 1.66 for BMI categories of 25-29.9, 30-34.9, 35-39.9, and 40+, respectively. The odds ratio for all-cause mortality in endometrial cancer patients with a BMI≥40 compared to those with a BMI&lt;25 was 1.66 (CI: 1.10-2.51, p=0.02). A single dose-response model indicated that a 10% increase in BMI resulted in a 9.2% increase in the odds of all-cause mortality (p=0.007). CONCLUSION: Increased BMI is significantly associated with increased all-cause mortality in women with endometrial cancer, with the highest risk for those with a BMI≥40.&quot;,&quot;edition&quot;:&quot;2015/10/31&quot;,&quot;issue&quot;:&quot;1&quot;,&quot;volume&quot;:&quot;140&quot;},&quot;isTemporary&quot;:false}]},{&quot;citationID&quot;:&quot;MENDELEY_CITATION_107db060-4220-49b8-9d64-2908beb313d2&quot;,&quot;properties&quot;:{&quot;noteIndex&quot;:0},&quot;isEdited&quot;:false,&quot;manualOverride&quot;:{&quot;isManuallyOverridden&quot;:false,&quot;citeprocText&quot;:&quot;(Ekici et al., 2015)&quot;,&quot;manualOverrideText&quot;:&quot;&quot;},&quot;citationTag&quot;:&quot;MENDELEY_CITATION_v3_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&quot;,&quot;citationItems&quot;:[{&quot;id&quot;:&quot;018815c3-b789-34ca-8d52-e2b6b13ecceb&quot;,&quot;itemData&quot;:{&quot;type&quot;:&quot;article-journal&quot;,&quot;id&quot;:&quot;018815c3-b789-34ca-8d52-e2b6b13ecceb&quot;,&quot;title&quot;:&quot;Do Leukocyte and Platelet Counts Have Benefit for \\Preoperative Evaluation of Endometrial Cancer?&quot;,&quot;author&quot;:[{&quot;family&quot;:&quot;Ekici&quot;,&quot;given&quot;:&quot;Huseyin&quot;,&quot;parse-names&quot;:false,&quot;dropping-particle&quot;:&quot;&quot;,&quot;non-dropping-particle&quot;:&quot;&quot;},{&quot;family&quot;:&quot;Malatyalioglu&quot;,&quot;given&quot;:&quot;Erdal&quot;,&quot;parse-names&quot;:false,&quot;dropping-particle&quot;:&quot;&quot;,&quot;non-dropping-particle&quot;:&quot;&quot;},{&quot;family&quot;:&quot;Kokcu&quot;,&quot;given&quot;:&quot;Arif&quot;,&quot;parse-names&quot;:false,&quot;dropping-particle&quot;:&quot;&quot;,&quot;non-dropping-particle&quot;:&quot;&quot;},{&quot;family&quot;:&quot;Kurtoglu&quot;,&quot;given&quot;:&quot;Emel&quot;,&quot;parse-names&quot;:false,&quot;dropping-particle&quot;:&quot;&quot;,&quot;non-dropping-particle&quot;:&quot;&quot;},{&quot;family&quot;:&quot;Tosun&quot;,&quot;given&quot;:&quot;Migraci&quot;,&quot;parse-names&quot;:false,&quot;dropping-particle&quot;:&quot;&quot;,&quot;non-dropping-particle&quot;:&quot;&quot;},{&quot;family&quot;:&quot;Celik&quot;,&quot;given&quot;:&quot;Handan&quot;,&quot;parse-names&quot;:false,&quot;dropping-particle&quot;:&quot;&quot;,&quot;non-dropping-particle&quot;:&quot;&quot;}],&quot;container-title&quot;:&quot;Asian Pacific journal of cancer prevention : APJCP&quot;,&quot;container-title-short&quot;:&quot;Asian Pac J Cancer Prev&quot;,&quot;DOI&quot;:&quot;10.7314/apjcp.2015.16.13.5305&quot;,&quot;ISSN&quot;:&quot;2476-762X (Electronic)&quot;,&quot;PMID&quot;:&quot;26225670&quot;,&quot;issued&quot;:{&quot;date-parts&quot;:[[2015]]},&quot;publisher-place&quot;:&quot;Thailand&quot;,&quot;page&quot;:&quot;5305-5310&quot;,&quot;language&quot;:&quot;eng&quot;,&quot;abstract&quot;:&quot;PURPOSE: The aim of this study was to investigate the association between preoperative leukocyte and platelet counts and the stage of the disease in patients with endometrial cancer. MATERIALS AND METHODS: Data for 100 patients undergoing total abdominal hysterectomy and bilateral salpingoophorectomy for benign uterine diseases and 177 patients surgically staged for endometrial cancer at Ondokuz Mayis University, Department of Gynecology and Obstetrics between 2005 and 2013, with preoperative complete blood count in the week prior to surgery including WBC, platelet count, pathologic evaluation for both benign and malign endometrium lesions, tumor stage and presence of lymphovascular space invasion (LVI), were retrospectively analyzed. RESULTS: The preoperative leukocyte count was significantly higher in patients with endometrial cancer when compared to the patients with benign diseases. However, there were no significant differences in platelet counts between the groups. Patients with advanced stage endometrial cancer had higher preoperative leukocyte counts when compared to the early stage disease whereas there was no difference in platelet count. Multivariate regression analysis identified preoperative leukocytosis as an independent prognostic factor for endometrial cancer. The optimal cut-off point for WBC was calculated as 10,500 to differentiate stage 1-2-3 and 4 with 88.9% sensitivity and 86.3% specificity (AUC: 0.901, 95% CI: 0.829-0.973, p&lt;0.001, PPV: 25.8%, NPV: 99.3%). CONCLUSIONS: Preoperative leukocytosis is independently associated with advanced endometrial cancer.&quot;,&quot;issue&quot;:&quot;13&quot;,&quot;volume&quot;:&quot;16&quot;},&quot;isTemporary&quot;:false}]},{&quot;citationID&quot;:&quot;MENDELEY_CITATION_64b8b260-7aaa-4d3b-bdb9-9dfd00175022&quot;,&quot;properties&quot;:{&quot;noteIndex&quot;:0},&quot;isEdited&quot;:false,&quot;manualOverride&quot;:{&quot;isManuallyOverridden&quot;:false,&quot;citeprocText&quot;:&quot;(Ni et al., 2020)&quot;,&quot;manualOverrideText&quot;:&quot;&quot;},&quot;citationTag&quot;:&quot;MENDELEY_CITATION_v3_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&quot;,&quot;citationItems&quot;:[{&quot;id&quot;:&quot;459a33cc-d82a-3d55-83c2-79647d09f407&quot;,&quot;itemData&quot;:{&quot;type&quot;:&quot;article-journal&quot;,&quot;id&quot;:&quot;459a33cc-d82a-3d55-83c2-79647d09f407&quot;,&quot;title&quot;:&quot;Prognostic values of pretreatment neutrophil-to-lymphocyte and platelet-to-lymphocyte ratios in endometrial cancer: a systematic review and meta-analysis&quot;,&quot;author&quot;:[{&quot;family&quot;:&quot;Ni&quot;,&quot;given&quot;:&quot;Liwei&quot;,&quot;parse-names&quot;:false,&quot;dropping-particle&quot;:&quot;&quot;,&quot;non-dropping-particle&quot;:&quot;&quot;},{&quot;family&quot;:&quot;Tao&quot;,&quot;given&quot;:&quot;Jialong&quot;,&quot;parse-names&quot;:false,&quot;dropping-particle&quot;:&quot;&quot;,&quot;non-dropping-particle&quot;:&quot;&quot;},{&quot;family&quot;:&quot;Xu&quot;,&quot;given&quot;:&quot;Jianhao&quot;,&quot;parse-names&quot;:false,&quot;dropping-particle&quot;:&quot;&quot;,&quot;non-dropping-particle&quot;:&quot;&quot;},{&quot;family&quot;:&quot;Yuan&quot;,&quot;given&quot;:&quot;Xuya&quot;,&quot;parse-names&quot;:false,&quot;dropping-particle&quot;:&quot;&quot;,&quot;non-dropping-particle&quot;:&quot;&quot;},{&quot;family&quot;:&quot;Long&quot;,&quot;given&quot;:&quot;Yuming&quot;,&quot;parse-names&quot;:false,&quot;dropping-particle&quot;:&quot;&quot;,&quot;non-dropping-particle&quot;:&quot;&quot;},{&quot;family&quot;:&quot;Yu&quot;,&quot;given&quot;:&quot;Na&quot;,&quot;parse-names&quot;:false,&quot;dropping-particle&quot;:&quot;&quot;,&quot;non-dropping-particle&quot;:&quot;&quot;},{&quot;family&quot;:&quot;Wu&quot;,&quot;given&quot;:&quot;Runhong&quot;,&quot;parse-names&quot;:false,&quot;dropping-particle&quot;:&quot;&quot;,&quot;non-dropping-particle&quot;:&quot;&quot;},{&quot;family&quot;:&quot;Zhang&quot;,&quot;given&quot;:&quot;Yusong&quot;,&quot;parse-names&quot;:false,&quot;dropping-particle&quot;:&quot;&quot;,&quot;non-dropping-particle&quot;:&quot;&quot;}],&quot;container-title&quot;:&quot;Archives of Gynecology and Obstetrics&quot;,&quot;DOI&quot;:&quot;10.1007/s00404-019-05372-w&quot;,&quot;ISSN&quot;:&quot;1432-0711&quot;,&quot;URL&quot;:&quot;https://doi.org/10.1007/s00404-019-05372-w&quot;,&quot;issued&quot;:{&quot;date-parts&quot;:[[2020]]},&quot;page&quot;:&quot;251-261&quot;,&quot;abstract&quot;:&quot;Elevated inflammatory markers, including neutrophil-to-lymphocyte ratio (NLR) and platelet-to-lymphocyte ratio (PLR), have been identified as poor predictors of survival in several malignancies. This meta-analysis was performed to quantify the effect of pretreatment NLR and PLR on the survival of patients with endometrial cancer (EC).&quot;,&quot;issue&quot;:&quot;1&quot;,&quot;volume&quot;:&quot;301&quot;,&quot;container-title-short&quot;:&quot;&quot;},&quot;isTemporary&quot;:false}]},{&quot;citationID&quot;:&quot;MENDELEY_CITATION_8af9ea46-769a-4376-8c15-07ba66241084&quot;,&quot;properties&quot;:{&quot;noteIndex&quot;:0},&quot;isEdited&quot;:false,&quot;manualOverride&quot;:{&quot;isManuallyOverridden&quot;:false,&quot;citeprocText&quot;:&quot;(Huang et al., 2021)&quot;,&quot;manualOverrideText&quot;:&quot;&quot;},&quot;citationTag&quot;:&quot;MENDELEY_CITATION_v3_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&quot;,&quot;citationItems&quot;:[{&quot;id&quot;:&quot;10c19837-cbc2-3748-827e-d379844b24ff&quot;,&quot;itemData&quot;:{&quot;type&quot;:&quot;article&quot;,&quot;id&quot;:&quot;10c19837-cbc2-3748-827e-d379844b24ff&quot;,&quot;title&quot;:&quot;Postoperative Systemic Immune-Inflammation Index (SII): A Superior Prognostic Factor of Endometrial Cancer&quot;,&quot;author&quot;:[{&quot;family&quot;:&quot;Huang&quot;,&quot;given&quot;:&quot;Yihong&quot;,&quot;parse-names&quot;:false,&quot;dropping-particle&quot;:&quot;&quot;,&quot;non-dropping-particle&quot;:&quot;&quot;},{&quot;family&quot;:&quot;Chen&quot;,&quot;given&quot;:&quot;Yu&quot;,&quot;parse-names&quot;:false,&quot;dropping-particle&quot;:&quot;&quot;,&quot;non-dropping-particle&quot;:&quot;&quot;},{&quot;family&quot;:&quot;Zhu&quot;,&quot;given&quot;:&quot;Yan&quot;,&quot;parse-names&quot;:false,&quot;dropping-particle&quot;:&quot;&quot;,&quot;non-dropping-particle&quot;:&quot;&quot;},{&quot;family&quot;:&quot;Wu&quot;,&quot;given&quot;:&quot;Qing&quot;,&quot;parse-names&quot;:false,&quot;dropping-particle&quot;:&quot;&quot;,&quot;non-dropping-particle&quot;:&quot;&quot;},{&quot;family&quot;:&quot;Yao&quot;,&quot;given&quot;:&quot;Chengyun&quot;,&quot;parse-names&quot;:false,&quot;dropping-particle&quot;:&quot;&quot;,&quot;non-dropping-particle&quot;:&quot;&quot;},{&quot;family&quot;:&quot;Xia&quot;,&quot;given&quot;:&quot;Hongping&quot;,&quot;parse-names&quot;:false,&quot;dropping-particle&quot;:&quot;&quot;,&quot;non-dropping-particle&quot;:&quot;&quot;},{&quot;family&quot;:&quot;Li&quot;,&quot;given&quot;:&quot;Congzhu&quot;,&quot;parse-names&quot;:false,&quot;dropping-particle&quot;:&quot;&quot;,&quot;non-dropping-particle&quot;:&quot;&quot;}],&quot;container-title&quot;:&quot;Frontiers in Surgery&quot;,&quot;ISBN&quot;:&quot;2296-875X&quot;,&quot;URL&quot;:&quot;https://www.frontiersin.org/article/10.3389/fsurg.2021.704235&quot;,&quot;issued&quot;:{&quot;date-parts&quot;:[[2021]]},&quot;abstract&quot;:&quot;Objective: This study evaluates the preoperative and postoperative systemic immune-inflammation index (SII) capacity to predict the prognosis of patients with endometrial carcinoma after the operation and build a nomogram model to assist clinical practice.Methods: The retrospective study included 362 consecutive patients with surgically resected endometrial cancer between January 2010 and June 2015 at The Affiliated Cancer Hospital of Shantou University Medical College. Blood routine was examined within 1 week before surgery to calculate SII, NLR, PLR, and MLR and 3 days after surgery to measure SII. The Pearson's χ2-test or Fisher's exact test was used to explore their relationship to clinical variables. The univariate and multivariate survival analyses were performed by Cox regression to identify the independent prognostic indicators. The Kaplan–Meier method with the log-rank test was used to generate the overall survival (OS) curves. R software was used to generate the receiver operating characteristic (ROC) curve and then it got the optimum cutoff value through the maximum Youden index. A nomogram model was formed with systemic immune inflammation and clinical factors.Results: The preoperative SII was related to age (p = 0.009), FIGO stage (p = 0.02) and menopause (p = 0.014). The postoperative SII was associated with menopause (p = 0.014). Univariate analysis indicated that FIGO stage, lymphatic invasion, depth of myometrial invasion, postoperative chemotherapy, postoperative radiotherapy, preoperative SII, NLR, PLR, MLR, CRP, CA125, and postoperative SII were predictors of OS (p&quot;,&quot;volume&quot;:&quot;8&quot;,&quot;container-title-short&quot;:&quot;&quot;},&quot;isTemporary&quot;:false}]},{&quot;citationID&quot;:&quot;MENDELEY_CITATION_af6e7a89-e485-4514-a0a3-ab46bab3600f&quot;,&quot;properties&quot;:{&quot;noteIndex&quot;:0},&quot;isEdited&quot;:false,&quot;manualOverride&quot;:{&quot;isManuallyOverridden&quot;:false,&quot;citeprocText&quot;:&quot;(Seebacher et al., 2013)&quot;,&quot;manualOverrideText&quot;:&quot;&quot;},&quot;citationTag&quot;:&quot;MENDELEY_CITATION_v3_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&quot;,&quot;citationItems&quot;:[{&quot;id&quot;:&quot;81b7c021-ca04-3b6b-b818-4ab239b95343&quot;,&quot;itemData&quot;:{&quot;type&quot;:&quot;article-journal&quot;,&quot;id&quot;:&quot;81b7c021-ca04-3b6b-b818-4ab239b95343&quot;,&quot;title&quot;:&quot;The value of serum albumin as a novel independent marker for prognosis in patients with endometrial cancer&quot;,&quot;author&quot;:[{&quot;family&quot;:&quot;Seebacher&quot;,&quot;given&quot;:&quot;Veronika&quot;,&quot;parse-names&quot;:false,&quot;dropping-particle&quot;:&quot;&quot;,&quot;non-dropping-particle&quot;:&quot;&quot;},{&quot;family&quot;:&quot;Grimm&quot;,&quot;given&quot;:&quot;Christoph&quot;,&quot;parse-names&quot;:false,&quot;dropping-particle&quot;:&quot;&quot;,&quot;non-dropping-particle&quot;:&quot;&quot;},{&quot;family&quot;:&quot;Reinthaller&quot;,&quot;given&quot;:&quot;Alexander&quot;,&quot;parse-names&quot;:false,&quot;dropping-particle&quot;:&quot;&quot;,&quot;non-dropping-particle&quot;:&quot;&quot;},{&quot;family&quot;:&quot;Heinze&quot;,&quot;given&quot;:&quot;Georg&quot;,&quot;parse-names&quot;:false,&quot;dropping-particle&quot;:&quot;&quot;,&quot;non-dropping-particle&quot;:&quot;&quot;},{&quot;family&quot;:&quot;Tempfer&quot;,&quot;given&quot;:&quot;Clemens&quot;,&quot;parse-names&quot;:false,&quot;dropping-particle&quot;:&quot;&quot;,&quot;non-dropping-particle&quot;:&quot;&quot;},{&quot;family&quot;:&quot;Hefler&quot;,&quot;given&quot;:&quot;Lukas&quot;,&quot;parse-names&quot;:false,&quot;dropping-particle&quot;:&quot;&quot;,&quot;non-dropping-particle&quot;:&quot;&quot;},{&quot;family&quot;:&quot;Polterauer&quot;,&quot;given&quot;:&quot;Stephan&quot;,&quot;parse-names&quot;:false,&quot;dropping-particle&quot;:&quot;&quot;,&quot;non-dropping-particle&quot;:&quot;&quot;}],&quot;container-title&quot;:&quot;European Journal of Obstetrics &amp; Gynecology and Reproductive Biology&quot;,&quot;DOI&quot;:&quot;https://doi.org/10.1016/j.ejogrb.2013.07.044&quot;,&quot;ISSN&quot;:&quot;0301-2115&quot;,&quot;URL&quot;:&quot;https://www.sciencedirect.com/science/article/pii/S0301211513003734&quot;,&quot;issued&quot;:{&quot;date-parts&quot;:[[2013]]},&quot;page&quot;:&quot;101-106&quot;,&quot;abstract&quot;:&quot;Objective Hypoalbuminemia, a known marker for malnutrition and increased morbidity and mortality, has been associated with impaired prognosis in different cancer entities. The present study investigates the prognostic value of pre-treatment serum albumin levels for survival in patients with endometrial cancer. Study design Within the present cohort study, we evaluated 337 consecutive patients with endometrial cancer and investigated the association of pre-treatment serum albumin levels and clinical-pathological parameters. We performed univariate log-rank tests and multivariable Cox regression models to assess the association between pre-treatment serum albumin levels and survival. Results Pre-treatment serum albumin levels were inversely proportionally associated with FIGO tumor stage, histological grade, and patients’ age. In a multivariable analysis pre-treatment serum albumin levels (p=0.02 and p=0.001), FIGO tumor stage (p&lt;0.001 and p&lt;0.001), and histological grade (p=0.002 and p&lt;0.001) were independently associated with disease-free and progression-free survival, respectively. Conclusion Pre-treatment serum albumin is a novel and independent prognostic parameter for disease-free and progression-free survival in patients with endometrial cancer.&quot;,&quot;issue&quot;:&quot;1&quot;,&quot;volume&quot;:&quot;171&quot;,&quot;container-title-short&quot;:&quot;&quot;},&quot;isTemporary&quot;:false}]},{&quot;citationID&quot;:&quot;MENDELEY_CITATION_8811ae5b-f71a-4b63-b427-d53913661a3d&quot;,&quot;properties&quot;:{&quot;noteIndex&quot;:0},&quot;isEdited&quot;:false,&quot;manualOverride&quot;:{&quot;isManuallyOverridden&quot;:false,&quot;citeprocText&quot;:&quot;(HOON CHUNG et al., 2006)&quot;,&quot;manualOverrideText&quot;:&quot;&quot;},&quot;citationTag&quot;:&quot;MENDELEY_CITATION_v3_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&quot;,&quot;citationItems&quot;:[{&quot;id&quot;:&quot;5b871c71-3283-34fc-825f-fa3c3e971c8d&quot;,&quot;itemData&quot;:{&quot;type&quot;:&quot;article-journal&quot;,&quot;id&quot;:&quot;5b871c71-3283-34fc-825f-fa3c3e971c8d&quot;,&quot;title&quot;:&quot;Use of preoperative serum CA-125 levels for prediction of lymph node metastasis and prognosis in endometrial cancer&quot;,&quot;author&quot;:[{&quot;family&quot;:&quot;HOON CHUNG&quot;,&quot;given&quot;:&quot;HYUN&quot;,&quot;parse-names&quot;:false,&quot;dropping-particle&quot;:&quot;&quot;,&quot;non-dropping-particle&quot;:&quot;&quot;},{&quot;family&quot;:&quot;WEON KIM&quot;,&quot;given&quot;:&quot;J A E&quot;,&quot;parse-names&quot;:false,&quot;dropping-particle&quot;:&quot;&quot;,&quot;non-dropping-particle&quot;:&quot;&quot;},{&quot;family&quot;:&quot;PARK&quot;,&quot;given&quot;:&quot;NOH-HYUN&quot;,&quot;parse-names&quot;:false,&quot;dropping-particle&quot;:&quot;&quot;,&quot;non-dropping-particle&quot;:&quot;&quot;},{&quot;family&quot;:&quot;SONG&quot;,&quot;given&quot;:&quot;YONG-SANG&quot;,&quot;parse-names&quot;:false,&quot;dropping-particle&quot;:&quot;&quot;,&quot;non-dropping-particle&quot;:&quot;&quot;},{&quot;family&quot;:&quot;KANG&quot;,&quot;given&quot;:&quot;SOON-BEOM&quot;,&quot;parse-names&quot;:false,&quot;dropping-particle&quot;:&quot;&quot;,&quot;non-dropping-particle&quot;:&quot;&quot;},{&quot;family&quot;:&quot;LEE&quot;,&quot;given&quot;:&quot;HYO-PYO&quot;,&quot;parse-names&quot;:false,&quot;dropping-particle&quot;:&quot;&quot;,&quot;non-dropping-particle&quot;:&quot;&quot;}],&quot;container-title&quot;:&quot;Acta Obstetricia et Gynecologica Scandinavica&quot;,&quot;DOI&quot;:&quot;https://doi.org/10.1080/00016340601022777&quot;,&quot;ISSN&quot;:&quot;0001-6349&quot;,&quot;URL&quot;:&quot;https://doi.org/10.1080/00016340601022777&quot;,&quot;issued&quot;:{&quot;date-parts&quot;:[[2006,12,1]]},&quot;page&quot;:&quot;1501-1505&quot;,&quot;abstract&quot;:&quot;Abstract Background. The purpose of this study was to evaluate the predictive value of preoperative serum CA-125 levels in the assessment of disease extent and clinical outcome of endometrial cancer. Method. This retrospective study evaluated 92 women with pathologically proven endometrial carcinoma scheduled for treatment that had preoperative serum CA-125 levels between January 1999 and February 2006. The association of preoperative serum CA-125 with a variety of histopathologic factors was evaluated. Statistical analysis was performed using φ2/Fisher's exact test and a logistic regression. Survival was studied with the Kaplan?Meier method and Cox regression models. Results. Elevated serum CA-125 levels were significantly correlated with advanced-stage disease (p&lt;0.001), lymph node metastases (p&lt;0.001), increased depth of myometrial invasion (p = 0.001), and positive peritoneal cytology (p = 0.026). Multivariate analyses using logistic regression showed that lymph node metastases had the most significant effect on the elevation of preoperative serum CA-125 levels (p = 0.004). Patients with a serum CA-125 ≤28.5 U/ml had a significantly better five-year disease-free survival than those with an elevated level in this study: 85.6% versus 60.0% (p = 0.004). Conclusions. The preoperative serum CA-125 level appears to be a significant independent predictor of lymph node metastasis and prognosis after surgical intervention. Therefore, preoperative serum CA-125 may be a useful tool, in the clinical setting, for optimal individualized patient management.&quot;,&quot;publisher&quot;:&quot;John Wiley &amp; Sons, Ltd&quot;,&quot;issue&quot;:&quot;12&quot;,&quot;volume&quot;:&quot;85&quot;,&quot;container-title-short&quot;:&quot;&quot;},&quot;isTemporary&quot;:false}]}]"/>
    <we:property name="MENDELEY_CITATIONS_STYLE" value="{&quot;id&quot;:&quot;https://www.zotero.org/styles/apa&quot;,&quot;title&quot;:&quot;American Psychological Association 7th edition&quot;,&quot;format&quot;:&quot;author-dat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34F6DB-007D-4B43-A4C8-CE17820C9A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421</Words>
  <Characters>2401</Characters>
  <Application>Microsoft Office Word</Application>
  <DocSecurity>0</DocSecurity>
  <Lines>20</Lines>
  <Paragraphs>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김윤정</dc:creator>
  <cp:keywords/>
  <dc:description/>
  <cp:lastModifiedBy>Michel</cp:lastModifiedBy>
  <cp:revision>2</cp:revision>
  <cp:lastPrinted>2022-08-31T01:25:00Z</cp:lastPrinted>
  <dcterms:created xsi:type="dcterms:W3CDTF">2024-02-20T01:09:00Z</dcterms:created>
  <dcterms:modified xsi:type="dcterms:W3CDTF">2024-02-20T01:09:00Z</dcterms:modified>
</cp:coreProperties>
</file>