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9DE07C" w14:textId="77777777" w:rsidR="000B1C4C" w:rsidRPr="0096129C" w:rsidRDefault="000B1C4C" w:rsidP="000B1C4C">
      <w:pPr>
        <w:spacing w:after="0" w:line="360" w:lineRule="auto"/>
        <w:jc w:val="center"/>
        <w:rPr>
          <w:rFonts w:ascii="Times New Roman" w:hAnsi="Times New Roman" w:cs="Times New Roman"/>
        </w:rPr>
      </w:pPr>
      <w:r w:rsidRPr="0096129C">
        <w:rPr>
          <w:rFonts w:ascii="Times New Roman" w:hAnsi="Times New Roman" w:cs="Times New Roman"/>
          <w:noProof/>
          <w:lang w:val="it-IT" w:eastAsia="it-IT"/>
        </w:rPr>
        <w:drawing>
          <wp:inline distT="0" distB="0" distL="0" distR="0" wp14:anchorId="34151B6D" wp14:editId="28C9E57D">
            <wp:extent cx="3718800" cy="1832400"/>
            <wp:effectExtent l="0" t="0" r="2540" b="0"/>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3718800" cy="1832400"/>
                    </a:xfrm>
                    <a:prstGeom prst="rect">
                      <a:avLst/>
                    </a:prstGeom>
                  </pic:spPr>
                </pic:pic>
              </a:graphicData>
            </a:graphic>
          </wp:inline>
        </w:drawing>
      </w:r>
    </w:p>
    <w:p w14:paraId="29B9C6A5" w14:textId="77777777" w:rsidR="000B1C4C" w:rsidRPr="0096129C" w:rsidRDefault="000B1C4C" w:rsidP="000B1C4C">
      <w:pPr>
        <w:spacing w:after="0"/>
        <w:jc w:val="center"/>
        <w:rPr>
          <w:rFonts w:ascii="Times New Roman" w:hAnsi="Times New Roman" w:cs="Times New Roman"/>
        </w:rPr>
      </w:pPr>
      <w:r w:rsidRPr="0096129C">
        <w:rPr>
          <w:rFonts w:ascii="Times New Roman" w:hAnsi="Times New Roman" w:cs="Times New Roman"/>
          <w:b/>
          <w:bCs/>
        </w:rPr>
        <w:t>Scheme 1.</w:t>
      </w:r>
      <w:r w:rsidRPr="0096129C">
        <w:rPr>
          <w:rFonts w:ascii="Times New Roman" w:hAnsi="Times New Roman" w:cs="Times New Roman"/>
        </w:rPr>
        <w:t xml:space="preserve"> Synthesis of diselenides </w:t>
      </w:r>
      <w:r w:rsidRPr="0096129C">
        <w:rPr>
          <w:rFonts w:ascii="Times New Roman" w:hAnsi="Times New Roman" w:cs="Times New Roman"/>
          <w:b/>
          <w:bCs/>
        </w:rPr>
        <w:t>3,4</w:t>
      </w:r>
      <w:r w:rsidRPr="0096129C">
        <w:rPr>
          <w:rFonts w:ascii="Times New Roman" w:hAnsi="Times New Roman" w:cs="Times New Roman"/>
        </w:rPr>
        <w:t xml:space="preserve"> and benzisoselenenazolones </w:t>
      </w:r>
      <w:r w:rsidRPr="0096129C">
        <w:rPr>
          <w:rFonts w:ascii="Times New Roman" w:hAnsi="Times New Roman" w:cs="Times New Roman"/>
          <w:b/>
          <w:bCs/>
        </w:rPr>
        <w:t>1f-l</w:t>
      </w:r>
      <w:r w:rsidRPr="0096129C">
        <w:rPr>
          <w:rFonts w:ascii="Times New Roman" w:hAnsi="Times New Roman" w:cs="Times New Roman"/>
        </w:rPr>
        <w:t>. For R1 and R2 see Table 1</w:t>
      </w:r>
      <w:r>
        <w:rPr>
          <w:rFonts w:ascii="Times New Roman" w:hAnsi="Times New Roman" w:cs="Times New Roman"/>
        </w:rPr>
        <w:t>. For synthetic details see references.</w:t>
      </w:r>
      <w:r>
        <w:rPr>
          <w:rFonts w:ascii="Times New Roman" w:hAnsi="Times New Roman" w:cs="Times New Roman"/>
        </w:rPr>
        <w:fldChar w:fldCharType="begin" w:fldLock="1"/>
      </w:r>
      <w:r>
        <w:rPr>
          <w:rFonts w:ascii="Times New Roman" w:hAnsi="Times New Roman" w:cs="Times New Roman"/>
        </w:rPr>
        <w:instrText>ADDIN CSL_CITATION {"citationItems":[{"id":"ITEM-1","itemData":{"DOI":"10.1021/acs.jmedchem.5b01183","ISSN":"0022-2623","abstract":"© 2015 American Chemical Society.The interest in the synthesis of Se-containing compounds is growing with the discovery of derivatives exhibiting various biological activities. In this manuscript, we have identified a series of 2,2′-diselenobisbenzamides (DISeBAs) as novel HIV retroviral nucleocapsid protein 7 (NCp7) inhibitors. Because of its pleiotropic functions in the whole viral life cycle and its mutation intolerant nature, NCp7 represents a target of great interest which is not reached by any anti-HIV agent in clinical use. Using the diselenobisbenzoic scaffold, amino acid, and benzenesulfonamide derivatives were prepared and biologically profiled against different models of HIV infection. The incorporation of amino acids such as glycine and glutamate into DISeBAs 7 and 8 resulted in selective anti-HIV activity against both acutely and chronically infected cells as well as an interesting virucidal effect. DISeBAs demonstrated broad antiretroviral activity, encompassing HIV-1 drug-resistant strains including clinical isolates, as well as simian immunodeficiency virus (SIV). Time of addition experiments, along with the observed dose dependent inhibition of the Gag precursor proper processing, confirmed that their mechanism of action is based on NCp7 inhibition.","author":[{"dropping-particle":"","family":"Sancineto","given":"Luca","non-dropping-particle":"","parse-names":false,"suffix":""},{"dropping-particle":"","family":"Mariotti","given":"Alice","non-dropping-particle":"","parse-names":false,"suffix":""},{"dropping-particle":"","family":"Bagnoli","given":"Luana","non-dropping-particle":"","parse-names":false,"suffix":""},{"dropping-particle":"","family":"Marini","given":"Francesca","non-dropping-particle":"","parse-names":false,"suffix":""},{"dropping-particle":"","family":"Desantis","given":"Jenny","non-dropping-particle":"","parse-names":false,"suffix":""},{"dropping-particle":"","family":"Iraci","given":"Nunzio","non-dropping-particle":"","parse-names":false,"suffix":""},{"dropping-particle":"","family":"Santi","given":"Claudio","non-dropping-particle":"","parse-names":false,"suffix":""},{"dropping-particle":"","family":"Pannecouque","given":"Christophe","non-dropping-particle":"","parse-names":false,"suffix":""},{"dropping-particle":"","family":"Tabarrini","given":"Oriana","non-dropping-particle":"","parse-names":false,"suffix":""}],"container-title":"Journal of Medicinal Chemistry","id":"ITEM-1","issue":"24","issued":{"date-parts":[["2015","12","24"]]},"page":"9601-9614","title":"Design and Synthesis of DiselenoBisBenzamides (DISeBAs) as Nucleocapsid Protein 7 (NCp7) Inhibitors with anti-HIV Activity","type":"article-journal","volume":"58"},"uris":["http://www.mendeley.com/documents/?uuid=213366a9-c4f4-320c-ac01-65bcd19cd157"]},{"id":"ITEM-2","itemData":{"DOI":"10.1039/D0NJ01605E","ISSN":"1144-0546","abstract":"The in silico predicted Se</w:instrText>
      </w:r>
      <w:r>
        <w:rPr>
          <w:rFonts w:ascii="Cambria Math" w:hAnsi="Cambria Math" w:cs="Cambria Math"/>
        </w:rPr>
        <w:instrText>⋯</w:instrText>
      </w:r>
      <w:r>
        <w:rPr>
          <w:rFonts w:ascii="Times New Roman" w:hAnsi="Times New Roman" w:cs="Times New Roman"/>
        </w:rPr>
        <w:instrText>N interaction on amidoarylselenenyl iodides has been experimentally exploited for the efficient synthesis of N -substituted benzoisoselenazol-3(2 H )-ones, benzoisothiazol-3(2 H )-ones and ebselen, recently reported as potent antiviral agent against Sars-Cov2.","author":[{"dropping-particle":"","family":"Nascimento","given":"Vanessa","non-dropping-particle":"","parse-names":false,"suffix":""},{"dropping-particle":"","family":"Cordeiro","given":"Pâmella Silva","non-dropping-particle":"","parse-names":false,"suffix":""},{"dropping-particle":"","family":"Arca","given":"Massimiliano","non-dropping-particle":"","parse-names":false,"suffix":""},{"dropping-particle":"","family":"Marini","given":"Francesca","non-dropping-particle":"","parse-names":false,"suffix":""},{"dropping-particle":"","family":"Sancineto","given":"Luca","non-dropping-particle":"","parse-names":false,"suffix":""},{"dropping-particle":"","family":"Braga","given":"Antonio Luiz","non-dropping-particle":"","parse-names":false,"suffix":""},{"dropping-particle":"","family":"Lippolis","given":"Vito","non-dropping-particle":"","parse-names":false,"suffix":""},{"dropping-particle":"","family":"Iwaoka","given":"Michio","non-dropping-particle":"","parse-names":false,"suffix":""},{"dropping-particle":"","family":"Santi","given":"Claudio","non-dropping-particle":"","parse-names":false,"suffix":""}],"container-title":"New Journal of Chemistry","id":"ITEM-2","issue":"22","issued":{"date-parts":[["2020"]]},"page":"9444-9451","title":"Fast and easy conversion of ortho amidoaryldiselenides into the corresponding ebselen-like derivatives driven by theoretical investigations","type":"article-journal","volume":"44"},"uris":["http://www.mendeley.com/documents/?uuid=44fdfee2-07e2-49cc-9f93-f841a499a303"]}],"mendeley":{"formattedCitation":"&lt;sup&gt;31,32&lt;/sup&gt;","plainTextFormattedCitation":"31,32","previouslyFormattedCitation":"&lt;sup&gt;31,32&lt;/sup&gt;"},"properties":{"noteIndex":0},"schema":"https://github.com/citation-style-language/schema/raw/master/csl-citation.json"}</w:instrText>
      </w:r>
      <w:r>
        <w:rPr>
          <w:rFonts w:ascii="Times New Roman" w:hAnsi="Times New Roman" w:cs="Times New Roman"/>
        </w:rPr>
        <w:fldChar w:fldCharType="separate"/>
      </w:r>
      <w:r w:rsidRPr="009E0717">
        <w:rPr>
          <w:rFonts w:ascii="Times New Roman" w:hAnsi="Times New Roman" w:cs="Times New Roman"/>
          <w:noProof/>
          <w:vertAlign w:val="superscript"/>
        </w:rPr>
        <w:t>31,32</w:t>
      </w:r>
      <w:r>
        <w:rPr>
          <w:rFonts w:ascii="Times New Roman" w:hAnsi="Times New Roman" w:cs="Times New Roman"/>
        </w:rPr>
        <w:fldChar w:fldCharType="end"/>
      </w:r>
    </w:p>
    <w:p w14:paraId="57067A5D" w14:textId="77777777" w:rsidR="000B1C4C" w:rsidRPr="0096129C" w:rsidRDefault="000B1C4C" w:rsidP="000B1C4C">
      <w:pPr>
        <w:spacing w:after="0" w:line="360" w:lineRule="auto"/>
        <w:rPr>
          <w:rFonts w:ascii="Times New Roman" w:hAnsi="Times New Roman" w:cs="Times New Roman"/>
        </w:rPr>
      </w:pPr>
    </w:p>
    <w:p w14:paraId="2E911422" w14:textId="0CA2AD34" w:rsidR="000B1C4C" w:rsidRDefault="000B1C4C" w:rsidP="000B1C4C">
      <w:pPr>
        <w:spacing w:after="0" w:line="360" w:lineRule="auto"/>
        <w:rPr>
          <w:rFonts w:ascii="Times New Roman" w:hAnsi="Times New Roman" w:cs="Times New Roman"/>
        </w:rPr>
      </w:pPr>
    </w:p>
    <w:p w14:paraId="3ABBB9AA" w14:textId="77777777" w:rsidR="000B1C4C" w:rsidRDefault="000B1C4C" w:rsidP="000B1C4C">
      <w:pPr>
        <w:spacing w:after="0" w:line="360" w:lineRule="auto"/>
        <w:rPr>
          <w:rFonts w:ascii="Times New Roman" w:hAnsi="Times New Roman" w:cs="Times New Roman"/>
        </w:rPr>
      </w:pPr>
    </w:p>
    <w:p w14:paraId="64FEFFE1" w14:textId="77777777" w:rsidR="000B1C4C" w:rsidRPr="0096129C" w:rsidRDefault="000B1C4C" w:rsidP="000B1C4C">
      <w:pPr>
        <w:spacing w:after="0" w:line="360" w:lineRule="auto"/>
        <w:rPr>
          <w:rFonts w:ascii="Times New Roman" w:hAnsi="Times New Roman" w:cs="Times New Roman"/>
        </w:rPr>
      </w:pPr>
    </w:p>
    <w:p w14:paraId="0EBE27BC" w14:textId="77777777" w:rsidR="000B1C4C" w:rsidRPr="0096129C" w:rsidRDefault="000B1C4C" w:rsidP="000B1C4C">
      <w:pPr>
        <w:spacing w:after="0" w:line="360" w:lineRule="auto"/>
        <w:rPr>
          <w:rFonts w:ascii="Times New Roman" w:hAnsi="Times New Roman" w:cs="Times New Roman"/>
        </w:rPr>
      </w:pPr>
    </w:p>
    <w:p w14:paraId="3007006F" w14:textId="77777777" w:rsidR="000B1C4C" w:rsidRPr="0096129C" w:rsidRDefault="000B1C4C" w:rsidP="000B1C4C">
      <w:pPr>
        <w:spacing w:after="0" w:line="360" w:lineRule="auto"/>
        <w:jc w:val="center"/>
        <w:rPr>
          <w:rFonts w:ascii="Times New Roman" w:hAnsi="Times New Roman" w:cs="Times New Roman"/>
        </w:rPr>
      </w:pPr>
      <w:r w:rsidRPr="0096129C">
        <w:rPr>
          <w:rFonts w:ascii="Times New Roman" w:hAnsi="Times New Roman" w:cs="Times New Roman"/>
          <w:noProof/>
          <w:lang w:val="it-IT" w:eastAsia="it-IT"/>
        </w:rPr>
        <w:drawing>
          <wp:inline distT="0" distB="0" distL="0" distR="0" wp14:anchorId="6475AB6C" wp14:editId="113E4539">
            <wp:extent cx="1879200" cy="676800"/>
            <wp:effectExtent l="0" t="0" r="635" b="0"/>
            <wp:docPr id="32" name="Immagin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879200" cy="676800"/>
                    </a:xfrm>
                    <a:prstGeom prst="rect">
                      <a:avLst/>
                    </a:prstGeom>
                  </pic:spPr>
                </pic:pic>
              </a:graphicData>
            </a:graphic>
          </wp:inline>
        </w:drawing>
      </w:r>
    </w:p>
    <w:p w14:paraId="17A87174" w14:textId="77777777" w:rsidR="000B1C4C" w:rsidRDefault="000B1C4C" w:rsidP="000B1C4C">
      <w:pPr>
        <w:spacing w:after="0" w:line="360" w:lineRule="auto"/>
        <w:jc w:val="center"/>
        <w:rPr>
          <w:rFonts w:ascii="Times New Roman" w:hAnsi="Times New Roman" w:cs="Times New Roman"/>
        </w:rPr>
      </w:pPr>
      <w:r w:rsidRPr="0096129C">
        <w:rPr>
          <w:rFonts w:ascii="Times New Roman" w:hAnsi="Times New Roman" w:cs="Times New Roman"/>
          <w:b/>
          <w:bCs/>
        </w:rPr>
        <w:t>Scheme 2.</w:t>
      </w:r>
      <w:r w:rsidRPr="0096129C">
        <w:rPr>
          <w:rFonts w:ascii="Times New Roman" w:hAnsi="Times New Roman" w:cs="Times New Roman"/>
        </w:rPr>
        <w:t xml:space="preserve"> Synthesis of diselenides </w:t>
      </w:r>
      <w:r w:rsidRPr="0096129C">
        <w:rPr>
          <w:rFonts w:ascii="Times New Roman" w:hAnsi="Times New Roman" w:cs="Times New Roman"/>
          <w:b/>
          <w:bCs/>
        </w:rPr>
        <w:t>3n-q, s</w:t>
      </w:r>
      <w:r w:rsidRPr="0096129C">
        <w:rPr>
          <w:rFonts w:ascii="Times New Roman" w:hAnsi="Times New Roman" w:cs="Times New Roman"/>
        </w:rPr>
        <w:t>.</w:t>
      </w:r>
    </w:p>
    <w:p w14:paraId="43D58763" w14:textId="77777777" w:rsidR="000B1C4C" w:rsidRDefault="000B1C4C" w:rsidP="000B1C4C">
      <w:pPr>
        <w:spacing w:after="0" w:line="360" w:lineRule="auto"/>
        <w:jc w:val="center"/>
        <w:rPr>
          <w:rFonts w:ascii="Times New Roman" w:hAnsi="Times New Roman" w:cs="Times New Roman"/>
        </w:rPr>
      </w:pPr>
    </w:p>
    <w:p w14:paraId="2FEB097E" w14:textId="77777777" w:rsidR="000B1C4C" w:rsidRDefault="000B1C4C" w:rsidP="000B1C4C">
      <w:pPr>
        <w:spacing w:after="0" w:line="360" w:lineRule="auto"/>
        <w:jc w:val="center"/>
        <w:rPr>
          <w:rFonts w:ascii="Times New Roman" w:hAnsi="Times New Roman" w:cs="Times New Roman"/>
        </w:rPr>
      </w:pPr>
    </w:p>
    <w:p w14:paraId="0E4F44F5" w14:textId="77777777" w:rsidR="000B1C4C" w:rsidRDefault="000B1C4C" w:rsidP="000B1C4C">
      <w:pPr>
        <w:tabs>
          <w:tab w:val="left" w:pos="5812"/>
        </w:tabs>
        <w:spacing w:after="0" w:line="360" w:lineRule="auto"/>
        <w:jc w:val="center"/>
        <w:rPr>
          <w:rFonts w:ascii="Times New Roman" w:hAnsi="Times New Roman" w:cs="Times New Roman"/>
          <w:b/>
          <w:bCs/>
          <w:sz w:val="23"/>
          <w:szCs w:val="23"/>
        </w:rPr>
      </w:pPr>
      <w:r w:rsidRPr="00984552">
        <w:rPr>
          <w:rFonts w:ascii="Times New Roman" w:hAnsi="Times New Roman" w:cs="Times New Roman"/>
          <w:b/>
          <w:bCs/>
          <w:noProof/>
          <w:sz w:val="23"/>
          <w:szCs w:val="23"/>
          <w:lang w:val="it-IT" w:eastAsia="it-IT"/>
        </w:rPr>
        <w:lastRenderedPageBreak/>
        <w:drawing>
          <wp:inline distT="0" distB="0" distL="0" distR="0" wp14:anchorId="4D311E06" wp14:editId="70599874">
            <wp:extent cx="5360988" cy="4463501"/>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365766" cy="4467479"/>
                    </a:xfrm>
                    <a:prstGeom prst="rect">
                      <a:avLst/>
                    </a:prstGeom>
                  </pic:spPr>
                </pic:pic>
              </a:graphicData>
            </a:graphic>
          </wp:inline>
        </w:drawing>
      </w:r>
    </w:p>
    <w:p w14:paraId="121510C5" w14:textId="77777777" w:rsidR="000B1C4C" w:rsidRPr="00396A86" w:rsidRDefault="000B1C4C" w:rsidP="000B1C4C">
      <w:pPr>
        <w:tabs>
          <w:tab w:val="left" w:pos="5812"/>
        </w:tabs>
        <w:spacing w:after="0" w:line="360" w:lineRule="auto"/>
        <w:jc w:val="center"/>
        <w:rPr>
          <w:rFonts w:ascii="Times New Roman" w:hAnsi="Times New Roman" w:cs="Times New Roman"/>
          <w:b/>
          <w:bCs/>
          <w:sz w:val="23"/>
          <w:szCs w:val="23"/>
        </w:rPr>
      </w:pPr>
      <w:r w:rsidRPr="00396A86">
        <w:rPr>
          <w:rFonts w:ascii="Times New Roman" w:hAnsi="Times New Roman" w:cs="Times New Roman"/>
          <w:b/>
          <w:bCs/>
          <w:sz w:val="23"/>
          <w:szCs w:val="23"/>
        </w:rPr>
        <w:t>Scheme 3.</w:t>
      </w:r>
      <w:r>
        <w:rPr>
          <w:rFonts w:ascii="Times New Roman" w:hAnsi="Times New Roman" w:cs="Times New Roman"/>
          <w:b/>
          <w:bCs/>
          <w:sz w:val="23"/>
          <w:szCs w:val="23"/>
        </w:rPr>
        <w:t xml:space="preserve"> </w:t>
      </w:r>
      <w:r>
        <w:rPr>
          <w:rFonts w:ascii="Times New Roman" w:hAnsi="Times New Roman" w:cs="Times New Roman"/>
          <w:sz w:val="23"/>
          <w:szCs w:val="23"/>
        </w:rPr>
        <w:t>Fate of</w:t>
      </w:r>
      <w:r w:rsidRPr="00643434">
        <w:rPr>
          <w:rFonts w:ascii="Times New Roman" w:hAnsi="Times New Roman" w:cs="Times New Roman"/>
          <w:sz w:val="23"/>
          <w:szCs w:val="23"/>
        </w:rPr>
        <w:t xml:space="preserve"> </w:t>
      </w:r>
      <w:r>
        <w:rPr>
          <w:rFonts w:ascii="Times New Roman" w:hAnsi="Times New Roman" w:cs="Times New Roman"/>
          <w:sz w:val="23"/>
          <w:szCs w:val="23"/>
        </w:rPr>
        <w:t>E</w:t>
      </w:r>
      <w:r w:rsidRPr="00643434">
        <w:rPr>
          <w:rFonts w:ascii="Times New Roman" w:hAnsi="Times New Roman" w:cs="Times New Roman"/>
          <w:sz w:val="23"/>
          <w:szCs w:val="23"/>
        </w:rPr>
        <w:t xml:space="preserve">bselen </w:t>
      </w:r>
      <w:r w:rsidRPr="00984552">
        <w:rPr>
          <w:rFonts w:ascii="Times New Roman" w:hAnsi="Times New Roman" w:cs="Times New Roman"/>
          <w:b/>
          <w:bCs/>
          <w:sz w:val="23"/>
          <w:szCs w:val="23"/>
        </w:rPr>
        <w:t>1a</w:t>
      </w:r>
      <w:r>
        <w:rPr>
          <w:rFonts w:ascii="Times New Roman" w:hAnsi="Times New Roman" w:cs="Times New Roman"/>
          <w:sz w:val="23"/>
          <w:szCs w:val="23"/>
        </w:rPr>
        <w:t xml:space="preserve"> and the corresponding diselenide </w:t>
      </w:r>
      <w:r w:rsidRPr="00984552">
        <w:rPr>
          <w:rFonts w:ascii="Times New Roman" w:hAnsi="Times New Roman" w:cs="Times New Roman"/>
          <w:b/>
          <w:bCs/>
          <w:sz w:val="23"/>
          <w:szCs w:val="23"/>
        </w:rPr>
        <w:t>3a</w:t>
      </w:r>
      <w:r>
        <w:rPr>
          <w:rFonts w:ascii="Times New Roman" w:hAnsi="Times New Roman" w:cs="Times New Roman"/>
          <w:sz w:val="23"/>
          <w:szCs w:val="23"/>
        </w:rPr>
        <w:t xml:space="preserve"> in the presence of</w:t>
      </w:r>
      <w:r w:rsidRPr="00643434">
        <w:rPr>
          <w:rFonts w:ascii="Times New Roman" w:hAnsi="Times New Roman" w:cs="Times New Roman"/>
          <w:sz w:val="23"/>
          <w:szCs w:val="23"/>
        </w:rPr>
        <w:t xml:space="preserve"> GSH</w:t>
      </w:r>
      <w:r>
        <w:rPr>
          <w:rFonts w:ascii="Times New Roman" w:hAnsi="Times New Roman" w:cs="Times New Roman"/>
          <w:sz w:val="23"/>
          <w:szCs w:val="23"/>
        </w:rPr>
        <w:t>.</w:t>
      </w:r>
    </w:p>
    <w:p w14:paraId="0665E6AE" w14:textId="77777777" w:rsidR="000B1C4C" w:rsidRPr="0096129C" w:rsidRDefault="000B1C4C" w:rsidP="000B1C4C">
      <w:pPr>
        <w:spacing w:after="0" w:line="360" w:lineRule="auto"/>
        <w:jc w:val="center"/>
        <w:rPr>
          <w:rFonts w:ascii="Times New Roman" w:hAnsi="Times New Roman" w:cs="Times New Roman"/>
        </w:rPr>
      </w:pPr>
    </w:p>
    <w:p w14:paraId="49F1C8D1" w14:textId="77777777" w:rsidR="00110104" w:rsidRDefault="00110104"/>
    <w:sectPr w:rsidR="0011010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altName w:val="﷽﷽﷽﷽﷽﷽﷽﷽捯x䔠z恀"/>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1C4C"/>
    <w:rsid w:val="000B1C4C"/>
    <w:rsid w:val="00110104"/>
    <w:rsid w:val="0021090F"/>
    <w:rsid w:val="00220E4E"/>
    <w:rsid w:val="003A76DF"/>
    <w:rsid w:val="00C52827"/>
    <w:rsid w:val="00DB1091"/>
    <w:rsid w:val="00F664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22D035"/>
  <w15:chartTrackingRefBased/>
  <w15:docId w15:val="{C456F064-51B2-46B9-B46A-75DABAACA5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1C4C"/>
    <w:pPr>
      <w:spacing w:after="200" w:line="240" w:lineRule="auto"/>
      <w:jc w:val="both"/>
    </w:pPr>
    <w:rPr>
      <w:rFonts w:ascii="Times" w:eastAsia="Times New Roman" w:hAnsi="Times" w:cs="Times"/>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5" Type="http://schemas.openxmlformats.org/officeDocument/2006/relationships/image" Target="media/image2.emf"/><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800</Words>
  <Characters>4562</Characters>
  <Application>Microsoft Office Word</Application>
  <DocSecurity>0</DocSecurity>
  <Lines>38</Lines>
  <Paragraphs>10</Paragraphs>
  <ScaleCrop>false</ScaleCrop>
  <Company>Springer Nature</Company>
  <LinksUpToDate>false</LinksUpToDate>
  <CharactersWithSpaces>5352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Poonam Mutha</dc:creator>
  <cp:keywords/>
  <dc:description/>
  <cp:lastModifiedBy>Poonam Mutha</cp:lastModifiedBy>
  <cp:revision>1</cp:revision>
  <dcterms:created xsi:type="dcterms:W3CDTF">2024-03-28T10:03:00Z</dcterms:created>
  <dcterms:modified xsi:type="dcterms:W3CDTF">2024-03-28T10:04:00Z</dcterms:modified>
</cp:coreProperties>
</file>