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B5DC" w14:textId="77777777" w:rsidR="00170EBD" w:rsidRDefault="00170EBD" w:rsidP="00170EBD">
      <w:pPr>
        <w:pStyle w:val="Heading1"/>
        <w:numPr>
          <w:ilvl w:val="0"/>
          <w:numId w:val="0"/>
        </w:numPr>
        <w:ind w:left="432" w:hanging="432"/>
        <w:rPr>
          <w:lang w:val="en-US"/>
        </w:rPr>
      </w:pPr>
      <w:r w:rsidRPr="00DC789B">
        <w:rPr>
          <w:lang w:val="en-US"/>
        </w:rPr>
        <w:t>Supplementary Material</w:t>
      </w:r>
    </w:p>
    <w:p w14:paraId="3F4496A8" w14:textId="77777777" w:rsidR="00170EBD" w:rsidRPr="00337E22" w:rsidRDefault="00170EBD" w:rsidP="00170EBD">
      <w:pPr>
        <w:rPr>
          <w:lang w:val="en-US"/>
        </w:rPr>
      </w:pPr>
    </w:p>
    <w:p w14:paraId="45548DC9" w14:textId="77777777" w:rsidR="00170EBD" w:rsidRDefault="00170EBD" w:rsidP="00170EBD">
      <w:r w:rsidRPr="00AF39C0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Table</w:t>
      </w:r>
      <w:r w:rsidRPr="00AF39C0">
        <w:rPr>
          <w:b/>
          <w:bCs/>
          <w:lang w:val="en-US"/>
        </w:rPr>
        <w:t xml:space="preserve"> 1</w:t>
      </w:r>
      <w:r>
        <w:rPr>
          <w:b/>
          <w:bCs/>
          <w:lang w:val="en-US"/>
        </w:rPr>
        <w:t xml:space="preserve"> </w:t>
      </w:r>
      <w:r>
        <w:t>an example of the validation plan used for binary endpoint in the superiority design.</w:t>
      </w:r>
    </w:p>
    <w:tbl>
      <w:tblPr>
        <w:tblW w:w="9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60"/>
        <w:gridCol w:w="4320"/>
      </w:tblGrid>
      <w:tr w:rsidR="00170EBD" w:rsidRPr="0098370E" w14:paraId="38E85416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0384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0414B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0384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5BBF3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b/>
                <w:bCs/>
                <w:lang w:val="en-US"/>
              </w:rPr>
              <w:t>Test setting</w:t>
            </w:r>
          </w:p>
        </w:tc>
      </w:tr>
      <w:tr w:rsidR="00170EBD" w:rsidRPr="0098370E" w14:paraId="7DCFEE4A" w14:textId="77777777" w:rsidTr="00EC263B">
        <w:trPr>
          <w:trHeight w:val="584"/>
        </w:trPr>
        <w:tc>
          <w:tcPr>
            <w:tcW w:w="4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E9EBE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 xml:space="preserve">Threshold for preservation of treatment effect </w:t>
            </w:r>
          </w:p>
        </w:tc>
        <w:tc>
          <w:tcPr>
            <w:tcW w:w="4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4CB531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1/2, 1/3, and 0</w:t>
            </w:r>
          </w:p>
        </w:tc>
      </w:tr>
      <w:tr w:rsidR="00170EBD" w:rsidRPr="0098370E" w14:paraId="2EAEED0B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596C1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Sample size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525FB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100, 300, and 700</w:t>
            </w:r>
          </w:p>
        </w:tc>
      </w:tr>
      <w:tr w:rsidR="00170EBD" w:rsidRPr="0098370E" w14:paraId="60F8DB41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89731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Response proportions (treatment vs placebo)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CDE43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0.6 vs 0.3 for sample size of 100</w:t>
            </w:r>
          </w:p>
          <w:p w14:paraId="46C7714D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0.5 vs 0.3 for sample size of 300</w:t>
            </w:r>
          </w:p>
          <w:p w14:paraId="6C528351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0.4 vs 0.3 for sample size of 700</w:t>
            </w:r>
          </w:p>
          <w:p w14:paraId="3484AD4B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 xml:space="preserve">(So that the </w:t>
            </w:r>
            <w:r>
              <w:rPr>
                <w:lang w:val="en-US"/>
              </w:rPr>
              <w:t>overall</w:t>
            </w:r>
            <w:r w:rsidRPr="0098370E">
              <w:rPr>
                <w:lang w:val="en-US"/>
              </w:rPr>
              <w:t xml:space="preserve"> powers would be at least above 80%)</w:t>
            </w:r>
          </w:p>
        </w:tc>
      </w:tr>
      <w:tr w:rsidR="00170EBD" w:rsidRPr="0098370E" w14:paraId="0BDE03AA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0319E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Treatment allocation in subpopulation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C4E8C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 xml:space="preserve">Balanced (1:1) / unbalanced (2:1 for size of 100 and 300; or 3:1 for size of </w:t>
            </w:r>
            <w:r>
              <w:rPr>
                <w:lang w:val="en-US"/>
              </w:rPr>
              <w:t>7</w:t>
            </w:r>
            <w:r w:rsidRPr="0098370E">
              <w:rPr>
                <w:lang w:val="en-US"/>
              </w:rPr>
              <w:t>00)</w:t>
            </w:r>
          </w:p>
        </w:tc>
      </w:tr>
      <w:tr w:rsidR="00170EBD" w:rsidRPr="0098370E" w14:paraId="0219AF76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F4A14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Subpopulation percentage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9B962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10%, 15%, and 20%</w:t>
            </w:r>
          </w:p>
        </w:tc>
      </w:tr>
      <w:tr w:rsidR="00170EBD" w:rsidRPr="0098370E" w14:paraId="2CFAAA42" w14:textId="77777777" w:rsidTr="00EC263B">
        <w:trPr>
          <w:trHeight w:val="584"/>
        </w:trPr>
        <w:tc>
          <w:tcPr>
            <w:tcW w:w="4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CE097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Relationship between subpopulation and overall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0C678" w14:textId="77777777" w:rsidR="00170EBD" w:rsidRPr="0098370E" w:rsidRDefault="00170EBD" w:rsidP="00EC263B">
            <w:pPr>
              <w:rPr>
                <w:lang w:val="en-US"/>
              </w:rPr>
            </w:pPr>
            <w:r w:rsidRPr="0098370E">
              <w:rPr>
                <w:lang w:val="en-US"/>
              </w:rPr>
              <w:t>Completely included, completely excluded, and partially included (20%, 50%, and 80%)</w:t>
            </w:r>
          </w:p>
        </w:tc>
      </w:tr>
    </w:tbl>
    <w:p w14:paraId="27627674" w14:textId="77777777" w:rsidR="00170EBD" w:rsidRPr="004F7853" w:rsidRDefault="00170EBD" w:rsidP="00170EBD">
      <w:pPr>
        <w:rPr>
          <w:lang w:val="en-US"/>
        </w:rPr>
      </w:pPr>
    </w:p>
    <w:p w14:paraId="0E9B73B8" w14:textId="77777777" w:rsidR="00170EBD" w:rsidRDefault="00170EBD"/>
    <w:sectPr w:rsidR="00170EBD" w:rsidSect="00D7001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FE4D" w14:textId="77777777" w:rsidR="00000000" w:rsidRDefault="00000000">
    <w:pPr>
      <w:pStyle w:val="Footer"/>
    </w:pPr>
  </w:p>
  <w:p w14:paraId="2A62A4CB" w14:textId="77777777" w:rsidR="00000000" w:rsidRDefault="00000000"/>
  <w:p w14:paraId="2558CAE7" w14:textId="77777777" w:rsidR="00000000" w:rsidRDefault="00000000"/>
  <w:p w14:paraId="5A6CBA83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43C9" w14:textId="77777777" w:rsidR="00000000" w:rsidRDefault="00000000" w:rsidP="005F3C05">
    <w:pPr>
      <w:pStyle w:val="Footer"/>
      <w:pBdr>
        <w:bottom w:val="single" w:sz="4" w:space="1" w:color="auto"/>
      </w:pBdr>
    </w:pPr>
  </w:p>
  <w:p w14:paraId="580467D6" w14:textId="77777777" w:rsidR="00000000" w:rsidRDefault="00000000" w:rsidP="00FA2BD7">
    <w:pPr>
      <w:pStyle w:val="Footer"/>
    </w:pPr>
    <w:r w:rsidRPr="00D37F31">
      <w:rPr>
        <w:rFonts w:ascii="Garamond" w:hAnsi="Garamond"/>
        <w:lang w:val="en-US"/>
      </w:rPr>
      <w:tab/>
    </w:r>
    <w:r w:rsidRPr="00D37F31">
      <w:rPr>
        <w:rFonts w:ascii="Garamond" w:hAnsi="Garamond"/>
        <w:lang w:val="en-US"/>
      </w:rPr>
      <w:tab/>
    </w:r>
    <w:r w:rsidRPr="00D37F31">
      <w:rPr>
        <w:rFonts w:ascii="Garamond" w:hAnsi="Garamond"/>
        <w:lang w:val="en-US"/>
      </w:rPr>
      <w:fldChar w:fldCharType="begin"/>
    </w:r>
    <w:r w:rsidRPr="00D37F31">
      <w:rPr>
        <w:rFonts w:ascii="Garamond" w:hAnsi="Garamond"/>
        <w:lang w:val="en-US"/>
      </w:rPr>
      <w:instrText>PAGE   \* MERGEFORMAT</w:instrText>
    </w:r>
    <w:r w:rsidRPr="00D37F31">
      <w:rPr>
        <w:rFonts w:ascii="Garamond" w:hAnsi="Garamond"/>
        <w:lang w:val="en-US"/>
      </w:rPr>
      <w:fldChar w:fldCharType="separate"/>
    </w:r>
    <w:r>
      <w:rPr>
        <w:rFonts w:ascii="Garamond" w:hAnsi="Garamond"/>
        <w:noProof/>
        <w:lang w:val="en-US"/>
      </w:rPr>
      <w:t>15</w:t>
    </w:r>
    <w:r w:rsidRPr="00D37F31">
      <w:rPr>
        <w:rFonts w:ascii="Garamond" w:hAnsi="Garamond"/>
        <w:lang w:val="en-US"/>
      </w:rPr>
      <w:fldChar w:fldCharType="end"/>
    </w:r>
    <w:r w:rsidRPr="00D37F31">
      <w:rPr>
        <w:rFonts w:ascii="Garamond" w:hAnsi="Garamond"/>
        <w:lang w:val="en-US"/>
      </w:rPr>
      <w:t xml:space="preserve"> / </w:t>
    </w:r>
    <w:r w:rsidRPr="00D37F31">
      <w:rPr>
        <w:rFonts w:ascii="Garamond" w:hAnsi="Garamond"/>
        <w:lang w:val="en-US"/>
      </w:rPr>
      <w:fldChar w:fldCharType="begin"/>
    </w:r>
    <w:r w:rsidRPr="00D37F31">
      <w:rPr>
        <w:rFonts w:ascii="Garamond" w:hAnsi="Garamond"/>
        <w:lang w:val="en-US"/>
      </w:rPr>
      <w:instrText xml:space="preserve"> NUMPAGES   \* MERGEFORMAT </w:instrText>
    </w:r>
    <w:r w:rsidRPr="00D37F31">
      <w:rPr>
        <w:rFonts w:ascii="Garamond" w:hAnsi="Garamond"/>
        <w:lang w:val="en-US"/>
      </w:rPr>
      <w:fldChar w:fldCharType="separate"/>
    </w:r>
    <w:r>
      <w:rPr>
        <w:rFonts w:ascii="Garamond" w:hAnsi="Garamond"/>
        <w:noProof/>
        <w:lang w:val="en-US"/>
      </w:rPr>
      <w:t>24</w:t>
    </w:r>
    <w:r w:rsidRPr="00D37F31">
      <w:rPr>
        <w:rFonts w:ascii="Garamond" w:hAnsi="Garamond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3B64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F6C4" w14:textId="77777777" w:rsidR="00000000" w:rsidRDefault="00000000">
    <w:pPr>
      <w:pStyle w:val="Header"/>
    </w:pPr>
  </w:p>
  <w:p w14:paraId="141580A4" w14:textId="77777777" w:rsidR="00000000" w:rsidRDefault="00000000"/>
  <w:p w14:paraId="17F4D957" w14:textId="77777777" w:rsidR="00000000" w:rsidRDefault="00000000"/>
  <w:p w14:paraId="27429634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8059" w14:textId="77777777" w:rsidR="00000000" w:rsidRDefault="00000000" w:rsidP="00FA2BD7">
    <w:pPr>
      <w:pStyle w:val="Header"/>
      <w:jc w:val="center"/>
      <w:rPr>
        <w:rFonts w:cstheme="minorHAnsi"/>
        <w:lang w:val="en-GB"/>
      </w:rPr>
    </w:pPr>
    <w:r>
      <w:rPr>
        <w:rFonts w:cstheme="minorHAnsi"/>
        <w:i/>
        <w:lang w:val="en-US"/>
      </w:rPr>
      <w:t>Sun</w:t>
    </w:r>
    <w:r w:rsidRPr="007A073B">
      <w:rPr>
        <w:rFonts w:cstheme="minorHAnsi"/>
        <w:i/>
        <w:lang w:val="en-US"/>
      </w:rPr>
      <w:t xml:space="preserve"> et al.</w:t>
    </w:r>
    <w:r w:rsidRPr="007A073B">
      <w:rPr>
        <w:rFonts w:cstheme="minorHAnsi"/>
        <w:lang w:val="en-US"/>
      </w:rPr>
      <w:t xml:space="preserve"> </w:t>
    </w:r>
    <w:r>
      <w:rPr>
        <w:rFonts w:cstheme="minorHAnsi"/>
        <w:lang w:val="en-US"/>
      </w:rPr>
      <w:t>RegionSizeR</w:t>
    </w:r>
    <w:r>
      <w:rPr>
        <w:rFonts w:cstheme="minorHAnsi"/>
        <w:lang w:val="en-US"/>
      </w:rPr>
      <w:t xml:space="preserve"> – A novel app for </w:t>
    </w:r>
    <w:r>
      <w:rPr>
        <w:rFonts w:cstheme="minorHAnsi"/>
        <w:lang w:val="en-US"/>
      </w:rPr>
      <w:t>region sample size</w:t>
    </w:r>
    <w:r>
      <w:rPr>
        <w:rFonts w:cstheme="minorHAnsi"/>
        <w:lang w:val="en-US"/>
      </w:rPr>
      <w:t xml:space="preserve"> </w:t>
    </w:r>
    <w:r>
      <w:rPr>
        <w:rFonts w:cstheme="minorHAnsi" w:hint="eastAsia"/>
        <w:lang w:val="en-US" w:eastAsia="zh-CN"/>
      </w:rPr>
      <w:t>pla</w:t>
    </w:r>
    <w:r>
      <w:rPr>
        <w:rFonts w:cstheme="minorHAnsi"/>
        <w:lang w:val="en-US"/>
      </w:rPr>
      <w:t>nning in MRCTs</w:t>
    </w:r>
    <w:r>
      <w:rPr>
        <w:rFonts w:cstheme="minorHAnsi"/>
        <w:lang w:val="en-US"/>
      </w:rPr>
      <w:t xml:space="preserve"> (</w:t>
    </w:r>
    <w:r w:rsidRPr="007C5C52">
      <w:rPr>
        <w:rFonts w:cstheme="minorHAnsi"/>
        <w:i/>
        <w:lang w:val="en-GB"/>
      </w:rPr>
      <w:t>TIRS</w:t>
    </w:r>
    <w:r w:rsidRPr="00461263">
      <w:rPr>
        <w:rFonts w:cstheme="minorHAnsi"/>
        <w:lang w:val="en-GB"/>
      </w:rPr>
      <w:t xml:space="preserve">; </w:t>
    </w:r>
    <w:r>
      <w:rPr>
        <w:rFonts w:cstheme="minorHAnsi"/>
        <w:lang w:val="en-GB"/>
      </w:rPr>
      <w:t>YYYY</w:t>
    </w:r>
    <w:r w:rsidRPr="00B0609D">
      <w:rPr>
        <w:rFonts w:cstheme="minorHAnsi"/>
        <w:lang w:val="en-GB"/>
      </w:rPr>
      <w:t>-</w:t>
    </w:r>
    <w:r>
      <w:rPr>
        <w:rFonts w:cstheme="minorHAnsi"/>
        <w:lang w:val="en-GB"/>
      </w:rPr>
      <w:t>MM</w:t>
    </w:r>
    <w:r w:rsidRPr="00B0609D">
      <w:rPr>
        <w:rFonts w:cstheme="minorHAnsi"/>
        <w:lang w:val="en-GB"/>
      </w:rPr>
      <w:t>-</w:t>
    </w:r>
    <w:r>
      <w:rPr>
        <w:rFonts w:cstheme="minorHAnsi"/>
        <w:lang w:val="en-GB"/>
      </w:rPr>
      <w:t>DD</w:t>
    </w:r>
    <w:r w:rsidRPr="00461263">
      <w:rPr>
        <w:rFonts w:cstheme="minorHAnsi"/>
        <w:lang w:val="en-GB"/>
      </w:rPr>
      <w:t>)</w:t>
    </w:r>
  </w:p>
  <w:p w14:paraId="354EB92A" w14:textId="77777777" w:rsidR="00000000" w:rsidRPr="00461263" w:rsidRDefault="00000000" w:rsidP="00FA2BD7">
    <w:pPr>
      <w:pStyle w:val="Header"/>
      <w:pBdr>
        <w:top w:val="single" w:sz="4" w:space="1" w:color="auto"/>
      </w:pBdr>
      <w:jc w:val="center"/>
      <w:rPr>
        <w:rFonts w:cstheme="minorHAnsi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099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59C0"/>
    <w:multiLevelType w:val="multilevel"/>
    <w:tmpl w:val="F6E0845E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lang w:val="en-US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  <w:lang w:val="en-US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97271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BD"/>
    <w:rsid w:val="00170EBD"/>
    <w:rsid w:val="00D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301E0"/>
  <w15:chartTrackingRefBased/>
  <w15:docId w15:val="{5F9E5A59-F59E-4BA6-91B6-3ABF109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D"/>
    <w:pPr>
      <w:spacing w:after="200" w:line="276" w:lineRule="auto"/>
    </w:pPr>
    <w:rPr>
      <w:rFonts w:eastAsiaTheme="minorEastAsia"/>
      <w:kern w:val="0"/>
      <w:lang w:val="de-DE" w:eastAsia="de-DE"/>
      <w14:ligatures w14:val="none"/>
    </w:rPr>
  </w:style>
  <w:style w:type="paragraph" w:styleId="Heading1">
    <w:name w:val="heading 1"/>
    <w:aliases w:val="Bayer-Heading 1"/>
    <w:basedOn w:val="Normal"/>
    <w:next w:val="Normal"/>
    <w:link w:val="Heading1Char"/>
    <w:uiPriority w:val="9"/>
    <w:qFormat/>
    <w:rsid w:val="00170EBD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EBD"/>
    <w:pPr>
      <w:keepNext/>
      <w:keepLines/>
      <w:numPr>
        <w:ilvl w:val="1"/>
        <w:numId w:val="1"/>
      </w:numPr>
      <w:spacing w:before="200" w:after="120"/>
      <w:outlineLvl w:val="1"/>
    </w:pPr>
    <w:rPr>
      <w:rFonts w:asciiTheme="majorHAns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EB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B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B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B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B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B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B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yer-Heading 1 Char"/>
    <w:basedOn w:val="DefaultParagraphFont"/>
    <w:link w:val="Heading1"/>
    <w:uiPriority w:val="9"/>
    <w:rsid w:val="00170EBD"/>
    <w:rPr>
      <w:rFonts w:asciiTheme="majorHAnsi" w:eastAsiaTheme="majorEastAsia" w:hAnsiTheme="majorHAnsi"/>
      <w:b/>
      <w:bCs/>
      <w:color w:val="2F5496" w:themeColor="accent1" w:themeShade="BF"/>
      <w:kern w:val="0"/>
      <w:sz w:val="28"/>
      <w:szCs w:val="28"/>
      <w:lang w:val="de-DE" w:eastAsia="de-D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70EBD"/>
    <w:rPr>
      <w:rFonts w:asciiTheme="majorHAnsi" w:eastAsiaTheme="majorEastAsia" w:hAnsiTheme="majorHAnsi"/>
      <w:b/>
      <w:bCs/>
      <w:color w:val="4472C4" w:themeColor="accent1"/>
      <w:kern w:val="0"/>
      <w:sz w:val="26"/>
      <w:szCs w:val="26"/>
      <w:lang w:val="de-DE"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70EBD"/>
    <w:rPr>
      <w:rFonts w:asciiTheme="majorHAnsi" w:eastAsiaTheme="majorEastAsia" w:hAnsiTheme="majorHAnsi"/>
      <w:b/>
      <w:bCs/>
      <w:color w:val="4472C4" w:themeColor="accent1"/>
      <w:kern w:val="0"/>
      <w:lang w:val="de-DE"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BD"/>
    <w:rPr>
      <w:rFonts w:asciiTheme="majorHAnsi" w:eastAsiaTheme="majorEastAsia" w:hAnsiTheme="majorHAnsi"/>
      <w:b/>
      <w:bCs/>
      <w:i/>
      <w:iCs/>
      <w:color w:val="4472C4" w:themeColor="accent1"/>
      <w:kern w:val="0"/>
      <w:lang w:val="de-DE" w:eastAsia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BD"/>
    <w:rPr>
      <w:rFonts w:asciiTheme="majorHAnsi" w:eastAsiaTheme="majorEastAsia" w:hAnsiTheme="majorHAnsi"/>
      <w:color w:val="1F3763" w:themeColor="accent1" w:themeShade="7F"/>
      <w:kern w:val="0"/>
      <w:lang w:val="de-DE" w:eastAsia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BD"/>
    <w:rPr>
      <w:rFonts w:asciiTheme="majorHAnsi" w:eastAsiaTheme="majorEastAsia" w:hAnsiTheme="majorHAnsi"/>
      <w:i/>
      <w:iCs/>
      <w:color w:val="1F3763" w:themeColor="accent1" w:themeShade="7F"/>
      <w:kern w:val="0"/>
      <w:lang w:val="de-DE" w:eastAsia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BD"/>
    <w:rPr>
      <w:rFonts w:asciiTheme="majorHAnsi" w:eastAsiaTheme="majorEastAsia" w:hAnsiTheme="majorHAnsi"/>
      <w:i/>
      <w:iCs/>
      <w:color w:val="404040" w:themeColor="text1" w:themeTint="BF"/>
      <w:kern w:val="0"/>
      <w:lang w:val="de-DE" w:eastAsia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BD"/>
    <w:rPr>
      <w:rFonts w:asciiTheme="majorHAnsi" w:eastAsiaTheme="majorEastAsia" w:hAnsiTheme="majorHAnsi"/>
      <w:color w:val="404040" w:themeColor="text1" w:themeTint="BF"/>
      <w:kern w:val="0"/>
      <w:sz w:val="20"/>
      <w:szCs w:val="20"/>
      <w:lang w:val="de-DE" w:eastAsia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BD"/>
    <w:rPr>
      <w:rFonts w:asciiTheme="majorHAnsi" w:eastAsiaTheme="majorEastAsia" w:hAnsiTheme="majorHAnsi"/>
      <w:i/>
      <w:iCs/>
      <w:color w:val="404040" w:themeColor="text1" w:themeTint="BF"/>
      <w:kern w:val="0"/>
      <w:sz w:val="20"/>
      <w:szCs w:val="20"/>
      <w:lang w:val="de-DE" w:eastAsia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0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EBD"/>
    <w:rPr>
      <w:rFonts w:eastAsiaTheme="minorEastAsia"/>
      <w:kern w:val="0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0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EBD"/>
    <w:rPr>
      <w:rFonts w:eastAsiaTheme="minorEastAsia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Springer Nature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2024-03-14T13:15:00Z</dcterms:created>
  <dcterms:modified xsi:type="dcterms:W3CDTF">2024-03-14T13:15:00Z</dcterms:modified>
</cp:coreProperties>
</file>