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D87720" w14:textId="77777777" w:rsidR="007A73C9" w:rsidRDefault="007A73C9" w:rsidP="00DF35A3">
      <w:pPr>
        <w:widowControl w:val="0"/>
        <w:autoSpaceDE w:val="0"/>
        <w:autoSpaceDN w:val="0"/>
        <w:adjustRightInd w:val="0"/>
        <w:spacing w:line="360" w:lineRule="auto"/>
        <w:ind w:left="640" w:hanging="640"/>
        <w:rPr>
          <w:rFonts w:ascii="Times New Roman" w:hAnsi="Times New Roman" w:cs="Times New Roman"/>
          <w:sz w:val="24"/>
          <w:szCs w:val="24"/>
        </w:rPr>
      </w:pPr>
    </w:p>
    <w:p w14:paraId="4BE5D7A7" w14:textId="77777777" w:rsidR="007A73C9" w:rsidRDefault="007A73C9" w:rsidP="007A73C9">
      <w:pPr>
        <w:rPr>
          <w:rFonts w:ascii="Times New Roman" w:hAnsi="Times New Roman" w:cs="Times New Roman"/>
          <w:sz w:val="24"/>
          <w:szCs w:val="24"/>
        </w:rPr>
      </w:pPr>
      <w:r>
        <w:rPr>
          <w:rFonts w:ascii="Times New Roman" w:hAnsi="Times New Roman" w:cs="Times New Roman"/>
          <w:sz w:val="24"/>
          <w:szCs w:val="24"/>
        </w:rPr>
        <w:t xml:space="preserve">Table </w:t>
      </w:r>
      <w:r w:rsidR="00D216F9">
        <w:rPr>
          <w:rFonts w:ascii="Times New Roman" w:hAnsi="Times New Roman" w:cs="Times New Roman"/>
          <w:sz w:val="24"/>
          <w:szCs w:val="24"/>
        </w:rPr>
        <w:t>I</w:t>
      </w:r>
      <w:r>
        <w:rPr>
          <w:rFonts w:ascii="Times New Roman" w:hAnsi="Times New Roman" w:cs="Times New Roman"/>
          <w:sz w:val="24"/>
          <w:szCs w:val="24"/>
        </w:rPr>
        <w:t xml:space="preserve">: Description of selected studies </w:t>
      </w:r>
    </w:p>
    <w:tbl>
      <w:tblPr>
        <w:tblStyle w:val="TableGrid"/>
        <w:tblW w:w="14130" w:type="dxa"/>
        <w:tblInd w:w="-612" w:type="dxa"/>
        <w:tblBorders>
          <w:top w:val="single" w:sz="4" w:space="0" w:color="auto"/>
          <w:left w:val="none" w:sz="0" w:space="0" w:color="auto"/>
          <w:bottom w:val="single" w:sz="4"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5"/>
        <w:gridCol w:w="1245"/>
        <w:gridCol w:w="810"/>
        <w:gridCol w:w="639"/>
        <w:gridCol w:w="1417"/>
        <w:gridCol w:w="914"/>
        <w:gridCol w:w="810"/>
        <w:gridCol w:w="810"/>
        <w:gridCol w:w="1530"/>
        <w:gridCol w:w="1890"/>
        <w:gridCol w:w="1350"/>
        <w:gridCol w:w="1440"/>
        <w:gridCol w:w="810"/>
      </w:tblGrid>
      <w:tr w:rsidR="007A73C9" w14:paraId="6C82B76F" w14:textId="77777777" w:rsidTr="007A73C9">
        <w:tc>
          <w:tcPr>
            <w:tcW w:w="465" w:type="dxa"/>
            <w:tcBorders>
              <w:top w:val="single" w:sz="4" w:space="0" w:color="auto"/>
              <w:bottom w:val="single" w:sz="4" w:space="0" w:color="auto"/>
            </w:tcBorders>
            <w:hideMark/>
          </w:tcPr>
          <w:p w14:paraId="4B8F1116" w14:textId="77777777" w:rsidR="007A73C9" w:rsidRDefault="007A73C9" w:rsidP="0026501C">
            <w:pPr>
              <w:jc w:val="center"/>
              <w:rPr>
                <w:rFonts w:ascii="Times New Roman" w:hAnsi="Times New Roman" w:cs="Times New Roman"/>
                <w:sz w:val="20"/>
                <w:szCs w:val="20"/>
              </w:rPr>
            </w:pPr>
            <w:r>
              <w:rPr>
                <w:rFonts w:ascii="Times New Roman" w:hAnsi="Times New Roman" w:cs="Times New Roman"/>
                <w:sz w:val="20"/>
                <w:szCs w:val="20"/>
              </w:rPr>
              <w:t>S/N</w:t>
            </w:r>
          </w:p>
        </w:tc>
        <w:tc>
          <w:tcPr>
            <w:tcW w:w="1245" w:type="dxa"/>
            <w:tcBorders>
              <w:top w:val="single" w:sz="4" w:space="0" w:color="auto"/>
              <w:bottom w:val="single" w:sz="4" w:space="0" w:color="auto"/>
            </w:tcBorders>
            <w:hideMark/>
          </w:tcPr>
          <w:p w14:paraId="4A8F56A7" w14:textId="77777777" w:rsidR="007A73C9" w:rsidRDefault="007A73C9" w:rsidP="0026501C">
            <w:pPr>
              <w:jc w:val="center"/>
              <w:rPr>
                <w:rFonts w:ascii="Times New Roman" w:hAnsi="Times New Roman" w:cs="Times New Roman"/>
                <w:sz w:val="20"/>
                <w:szCs w:val="20"/>
              </w:rPr>
            </w:pPr>
            <w:r>
              <w:rPr>
                <w:rFonts w:ascii="Times New Roman" w:hAnsi="Times New Roman" w:cs="Times New Roman"/>
                <w:sz w:val="20"/>
                <w:szCs w:val="20"/>
              </w:rPr>
              <w:t>Author, year</w:t>
            </w:r>
          </w:p>
        </w:tc>
        <w:tc>
          <w:tcPr>
            <w:tcW w:w="810" w:type="dxa"/>
            <w:tcBorders>
              <w:top w:val="single" w:sz="4" w:space="0" w:color="auto"/>
              <w:bottom w:val="single" w:sz="4" w:space="0" w:color="auto"/>
            </w:tcBorders>
            <w:hideMark/>
          </w:tcPr>
          <w:p w14:paraId="77FC2074" w14:textId="77777777" w:rsidR="007A73C9" w:rsidRDefault="007A73C9" w:rsidP="0026501C">
            <w:pPr>
              <w:jc w:val="center"/>
              <w:rPr>
                <w:rFonts w:ascii="Times New Roman" w:hAnsi="Times New Roman" w:cs="Times New Roman"/>
                <w:sz w:val="20"/>
                <w:szCs w:val="20"/>
              </w:rPr>
            </w:pPr>
            <w:r>
              <w:rPr>
                <w:rFonts w:ascii="Times New Roman" w:hAnsi="Times New Roman" w:cs="Times New Roman"/>
                <w:sz w:val="20"/>
                <w:szCs w:val="20"/>
              </w:rPr>
              <w:t>Time period</w:t>
            </w:r>
          </w:p>
        </w:tc>
        <w:tc>
          <w:tcPr>
            <w:tcW w:w="639" w:type="dxa"/>
            <w:tcBorders>
              <w:top w:val="single" w:sz="4" w:space="0" w:color="auto"/>
              <w:bottom w:val="single" w:sz="4" w:space="0" w:color="auto"/>
            </w:tcBorders>
            <w:hideMark/>
          </w:tcPr>
          <w:p w14:paraId="1E75EF8A" w14:textId="77777777" w:rsidR="007A73C9" w:rsidRDefault="007A73C9" w:rsidP="0026501C">
            <w:pPr>
              <w:jc w:val="center"/>
              <w:rPr>
                <w:rFonts w:ascii="Times New Roman" w:hAnsi="Times New Roman" w:cs="Times New Roman"/>
                <w:sz w:val="20"/>
                <w:szCs w:val="20"/>
              </w:rPr>
            </w:pPr>
            <w:r>
              <w:rPr>
                <w:rFonts w:ascii="Times New Roman" w:hAnsi="Times New Roman" w:cs="Times New Roman"/>
                <w:sz w:val="20"/>
                <w:szCs w:val="20"/>
              </w:rPr>
              <w:t>Geo-political zone</w:t>
            </w:r>
          </w:p>
        </w:tc>
        <w:tc>
          <w:tcPr>
            <w:tcW w:w="1417" w:type="dxa"/>
            <w:tcBorders>
              <w:top w:val="single" w:sz="4" w:space="0" w:color="auto"/>
              <w:bottom w:val="single" w:sz="4" w:space="0" w:color="auto"/>
            </w:tcBorders>
            <w:hideMark/>
          </w:tcPr>
          <w:p w14:paraId="2D733C1A" w14:textId="77777777" w:rsidR="007A73C9" w:rsidRDefault="007A73C9" w:rsidP="0026501C">
            <w:pPr>
              <w:jc w:val="center"/>
              <w:rPr>
                <w:rFonts w:ascii="Times New Roman" w:hAnsi="Times New Roman" w:cs="Times New Roman"/>
                <w:sz w:val="20"/>
                <w:szCs w:val="20"/>
              </w:rPr>
            </w:pPr>
            <w:r>
              <w:rPr>
                <w:rFonts w:ascii="Times New Roman" w:hAnsi="Times New Roman" w:cs="Times New Roman"/>
                <w:sz w:val="20"/>
                <w:szCs w:val="20"/>
              </w:rPr>
              <w:t>Type of study</w:t>
            </w:r>
          </w:p>
        </w:tc>
        <w:tc>
          <w:tcPr>
            <w:tcW w:w="914" w:type="dxa"/>
            <w:tcBorders>
              <w:top w:val="single" w:sz="4" w:space="0" w:color="auto"/>
              <w:bottom w:val="single" w:sz="4" w:space="0" w:color="auto"/>
            </w:tcBorders>
            <w:hideMark/>
          </w:tcPr>
          <w:p w14:paraId="38D58969" w14:textId="77777777" w:rsidR="007A73C9" w:rsidRDefault="007A73C9" w:rsidP="0026501C">
            <w:pPr>
              <w:jc w:val="center"/>
              <w:rPr>
                <w:rFonts w:ascii="Times New Roman" w:hAnsi="Times New Roman" w:cs="Times New Roman"/>
                <w:sz w:val="20"/>
                <w:szCs w:val="20"/>
              </w:rPr>
            </w:pPr>
            <w:r>
              <w:rPr>
                <w:rFonts w:ascii="Times New Roman" w:hAnsi="Times New Roman" w:cs="Times New Roman"/>
                <w:sz w:val="20"/>
                <w:szCs w:val="20"/>
              </w:rPr>
              <w:t>Number of patients</w:t>
            </w:r>
          </w:p>
        </w:tc>
        <w:tc>
          <w:tcPr>
            <w:tcW w:w="810" w:type="dxa"/>
            <w:tcBorders>
              <w:top w:val="single" w:sz="4" w:space="0" w:color="auto"/>
              <w:bottom w:val="single" w:sz="4" w:space="0" w:color="auto"/>
            </w:tcBorders>
            <w:hideMark/>
          </w:tcPr>
          <w:p w14:paraId="7305646C" w14:textId="77777777" w:rsidR="007A73C9" w:rsidRDefault="007A73C9" w:rsidP="0026501C">
            <w:pPr>
              <w:jc w:val="center"/>
              <w:rPr>
                <w:rFonts w:ascii="Times New Roman" w:hAnsi="Times New Roman" w:cs="Times New Roman"/>
                <w:sz w:val="20"/>
                <w:szCs w:val="20"/>
              </w:rPr>
            </w:pPr>
            <w:r>
              <w:rPr>
                <w:rFonts w:ascii="Times New Roman" w:hAnsi="Times New Roman" w:cs="Times New Roman"/>
                <w:sz w:val="20"/>
                <w:szCs w:val="20"/>
              </w:rPr>
              <w:t>Age range</w:t>
            </w:r>
          </w:p>
        </w:tc>
        <w:tc>
          <w:tcPr>
            <w:tcW w:w="810" w:type="dxa"/>
            <w:tcBorders>
              <w:top w:val="single" w:sz="4" w:space="0" w:color="auto"/>
              <w:bottom w:val="single" w:sz="4" w:space="0" w:color="auto"/>
            </w:tcBorders>
            <w:hideMark/>
          </w:tcPr>
          <w:p w14:paraId="30EA76ED" w14:textId="77777777" w:rsidR="007A73C9" w:rsidRDefault="007A73C9" w:rsidP="0026501C">
            <w:pPr>
              <w:jc w:val="center"/>
              <w:rPr>
                <w:rFonts w:ascii="Times New Roman" w:hAnsi="Times New Roman" w:cs="Times New Roman"/>
                <w:sz w:val="20"/>
                <w:szCs w:val="20"/>
              </w:rPr>
            </w:pPr>
            <w:r>
              <w:rPr>
                <w:rFonts w:ascii="Times New Roman" w:hAnsi="Times New Roman" w:cs="Times New Roman"/>
                <w:sz w:val="20"/>
                <w:szCs w:val="20"/>
              </w:rPr>
              <w:t>Male : Female ratio</w:t>
            </w:r>
          </w:p>
        </w:tc>
        <w:tc>
          <w:tcPr>
            <w:tcW w:w="1530" w:type="dxa"/>
            <w:tcBorders>
              <w:top w:val="single" w:sz="4" w:space="0" w:color="auto"/>
              <w:bottom w:val="single" w:sz="4" w:space="0" w:color="auto"/>
            </w:tcBorders>
            <w:hideMark/>
          </w:tcPr>
          <w:p w14:paraId="2DE126F5" w14:textId="77777777" w:rsidR="007A73C9" w:rsidRDefault="007A73C9" w:rsidP="0026501C">
            <w:pPr>
              <w:jc w:val="center"/>
              <w:rPr>
                <w:rFonts w:ascii="Times New Roman" w:hAnsi="Times New Roman" w:cs="Times New Roman"/>
                <w:sz w:val="20"/>
                <w:szCs w:val="20"/>
              </w:rPr>
            </w:pPr>
            <w:r>
              <w:rPr>
                <w:rFonts w:ascii="Times New Roman" w:hAnsi="Times New Roman" w:cs="Times New Roman"/>
                <w:sz w:val="20"/>
                <w:szCs w:val="20"/>
              </w:rPr>
              <w:t>Etiology of MF trauma</w:t>
            </w:r>
          </w:p>
        </w:tc>
        <w:tc>
          <w:tcPr>
            <w:tcW w:w="1890" w:type="dxa"/>
            <w:tcBorders>
              <w:top w:val="single" w:sz="4" w:space="0" w:color="auto"/>
              <w:bottom w:val="single" w:sz="4" w:space="0" w:color="auto"/>
            </w:tcBorders>
            <w:hideMark/>
          </w:tcPr>
          <w:p w14:paraId="31A05C12" w14:textId="77777777" w:rsidR="007A73C9" w:rsidRDefault="007A73C9" w:rsidP="0026501C">
            <w:pPr>
              <w:jc w:val="center"/>
              <w:rPr>
                <w:rFonts w:ascii="Times New Roman" w:hAnsi="Times New Roman" w:cs="Times New Roman"/>
                <w:sz w:val="20"/>
                <w:szCs w:val="20"/>
              </w:rPr>
            </w:pPr>
            <w:r>
              <w:rPr>
                <w:rFonts w:ascii="Times New Roman" w:hAnsi="Times New Roman" w:cs="Times New Roman"/>
                <w:sz w:val="20"/>
                <w:szCs w:val="20"/>
              </w:rPr>
              <w:t xml:space="preserve">Site of MF injuries </w:t>
            </w:r>
          </w:p>
        </w:tc>
        <w:tc>
          <w:tcPr>
            <w:tcW w:w="1350" w:type="dxa"/>
            <w:tcBorders>
              <w:top w:val="single" w:sz="4" w:space="0" w:color="auto"/>
              <w:bottom w:val="single" w:sz="4" w:space="0" w:color="auto"/>
            </w:tcBorders>
            <w:hideMark/>
          </w:tcPr>
          <w:p w14:paraId="6FF8FAEC" w14:textId="77777777" w:rsidR="007A73C9" w:rsidRDefault="007A73C9" w:rsidP="0026501C">
            <w:pPr>
              <w:jc w:val="center"/>
              <w:rPr>
                <w:rFonts w:ascii="Times New Roman" w:hAnsi="Times New Roman" w:cs="Times New Roman"/>
                <w:sz w:val="20"/>
                <w:szCs w:val="20"/>
              </w:rPr>
            </w:pPr>
            <w:r>
              <w:rPr>
                <w:rFonts w:ascii="Times New Roman" w:hAnsi="Times New Roman" w:cs="Times New Roman"/>
                <w:sz w:val="20"/>
                <w:szCs w:val="20"/>
              </w:rPr>
              <w:t>Associated injuries</w:t>
            </w:r>
          </w:p>
        </w:tc>
        <w:tc>
          <w:tcPr>
            <w:tcW w:w="1440" w:type="dxa"/>
            <w:tcBorders>
              <w:top w:val="single" w:sz="4" w:space="0" w:color="auto"/>
              <w:bottom w:val="single" w:sz="4" w:space="0" w:color="auto"/>
            </w:tcBorders>
            <w:hideMark/>
          </w:tcPr>
          <w:p w14:paraId="3DBF2E83" w14:textId="77777777" w:rsidR="007A73C9" w:rsidRDefault="007A73C9" w:rsidP="0026501C">
            <w:pPr>
              <w:jc w:val="center"/>
              <w:rPr>
                <w:rFonts w:ascii="Times New Roman" w:hAnsi="Times New Roman" w:cs="Times New Roman"/>
                <w:sz w:val="20"/>
                <w:szCs w:val="20"/>
              </w:rPr>
            </w:pPr>
            <w:r>
              <w:rPr>
                <w:rFonts w:ascii="Times New Roman" w:hAnsi="Times New Roman" w:cs="Times New Roman"/>
                <w:sz w:val="20"/>
                <w:szCs w:val="20"/>
              </w:rPr>
              <w:t>Treatment of MF trauma</w:t>
            </w:r>
          </w:p>
        </w:tc>
        <w:tc>
          <w:tcPr>
            <w:tcW w:w="810" w:type="dxa"/>
            <w:tcBorders>
              <w:top w:val="single" w:sz="4" w:space="0" w:color="auto"/>
              <w:bottom w:val="single" w:sz="4" w:space="0" w:color="auto"/>
            </w:tcBorders>
            <w:hideMark/>
          </w:tcPr>
          <w:p w14:paraId="6A683E50" w14:textId="77777777" w:rsidR="007A73C9" w:rsidRDefault="007A73C9" w:rsidP="0026501C">
            <w:pPr>
              <w:tabs>
                <w:tab w:val="left" w:pos="2142"/>
              </w:tabs>
              <w:ind w:right="-198"/>
              <w:rPr>
                <w:rFonts w:ascii="Times New Roman" w:hAnsi="Times New Roman" w:cs="Times New Roman"/>
                <w:sz w:val="20"/>
                <w:szCs w:val="20"/>
              </w:rPr>
            </w:pPr>
            <w:r>
              <w:rPr>
                <w:rFonts w:ascii="Times New Roman" w:hAnsi="Times New Roman" w:cs="Times New Roman"/>
                <w:sz w:val="20"/>
                <w:szCs w:val="20"/>
              </w:rPr>
              <w:t>Quality</w:t>
            </w:r>
          </w:p>
          <w:p w14:paraId="3C2B8464" w14:textId="77777777" w:rsidR="007A73C9" w:rsidRDefault="007A73C9" w:rsidP="0026501C">
            <w:pPr>
              <w:tabs>
                <w:tab w:val="left" w:pos="2142"/>
              </w:tabs>
              <w:ind w:right="-198"/>
              <w:rPr>
                <w:rFonts w:ascii="Times New Roman" w:hAnsi="Times New Roman" w:cs="Times New Roman"/>
                <w:sz w:val="20"/>
                <w:szCs w:val="20"/>
              </w:rPr>
            </w:pPr>
            <w:r>
              <w:rPr>
                <w:rFonts w:ascii="Times New Roman" w:hAnsi="Times New Roman" w:cs="Times New Roman"/>
                <w:sz w:val="20"/>
                <w:szCs w:val="20"/>
              </w:rPr>
              <w:t>score</w:t>
            </w:r>
          </w:p>
        </w:tc>
      </w:tr>
      <w:tr w:rsidR="007A73C9" w14:paraId="44FA67D2" w14:textId="77777777" w:rsidTr="007A73C9">
        <w:tc>
          <w:tcPr>
            <w:tcW w:w="465" w:type="dxa"/>
            <w:tcBorders>
              <w:top w:val="single" w:sz="4" w:space="0" w:color="auto"/>
            </w:tcBorders>
            <w:hideMark/>
          </w:tcPr>
          <w:p w14:paraId="6DC4059F"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1.</w:t>
            </w:r>
          </w:p>
        </w:tc>
        <w:tc>
          <w:tcPr>
            <w:tcW w:w="1245" w:type="dxa"/>
            <w:tcBorders>
              <w:top w:val="single" w:sz="4" w:space="0" w:color="auto"/>
            </w:tcBorders>
            <w:hideMark/>
          </w:tcPr>
          <w:p w14:paraId="14189EF9"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Adesina et al, 2019</w:t>
            </w:r>
            <w:r w:rsidR="00447D36">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{"citationItems":[{"id":"ITEM-1","itemData":{"author":[{"dropping-particle":"","family":"Adesina","given":"O. A","non-dropping-particle":"","parse-names":false,"suffix":""},{"dropping-particle":"","family":"Wemambu","given":"J. C","non-dropping-particle":"","parse-names":false,"suffix":""},{"dropping-particle":"","family":"Opaleye","given":"T. O","non-dropping-particle":"","parse-names":false,"suffix":""},{"dropping-particle":"","family":"Salami","given":"A. Y","non-dropping-particle":"","parse-names":false,"suffix":""}],"container-title":"Journal of Current Surgery","id":"ITEM-1","issue":"4","issued":{"date-parts":[["2019"]]},"page":"51 - 56","title":"Maxillofacial Fractures A Three-Year Survey","type":"article-journal","volume":"9"},"uris":["http://www.mendeley.com/documents/?uuid=8ad765d8-e8af-42e0-a126-8a502c7b7b04"]}],"mendeley":{"formattedCitation":"&lt;sup&gt;11&lt;/sup&gt;","plainTextFormattedCitation":"11","previouslyFormattedCitation":"&lt;sup&gt;11&lt;/sup&gt;"},"properties":{"noteIndex":0},"schema":"https://github.com/citation-style-language/schema/raw/master/csl-citation.json"}</w:instrText>
            </w:r>
            <w:r w:rsidR="00447D36">
              <w:rPr>
                <w:rFonts w:ascii="Times New Roman" w:hAnsi="Times New Roman" w:cs="Times New Roman"/>
                <w:sz w:val="20"/>
                <w:szCs w:val="20"/>
              </w:rPr>
              <w:fldChar w:fldCharType="separate"/>
            </w:r>
            <w:r>
              <w:rPr>
                <w:rFonts w:ascii="Times New Roman" w:hAnsi="Times New Roman" w:cs="Times New Roman"/>
                <w:noProof/>
                <w:sz w:val="20"/>
                <w:szCs w:val="20"/>
                <w:vertAlign w:val="superscript"/>
              </w:rPr>
              <w:t>11</w:t>
            </w:r>
            <w:r w:rsidR="00447D36">
              <w:rPr>
                <w:rFonts w:ascii="Times New Roman" w:hAnsi="Times New Roman" w:cs="Times New Roman"/>
                <w:sz w:val="20"/>
                <w:szCs w:val="20"/>
              </w:rPr>
              <w:fldChar w:fldCharType="end"/>
            </w:r>
          </w:p>
        </w:tc>
        <w:tc>
          <w:tcPr>
            <w:tcW w:w="810" w:type="dxa"/>
            <w:tcBorders>
              <w:top w:val="single" w:sz="4" w:space="0" w:color="auto"/>
            </w:tcBorders>
            <w:hideMark/>
          </w:tcPr>
          <w:p w14:paraId="0F9773D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2011-2018</w:t>
            </w:r>
          </w:p>
        </w:tc>
        <w:tc>
          <w:tcPr>
            <w:tcW w:w="639" w:type="dxa"/>
            <w:tcBorders>
              <w:top w:val="single" w:sz="4" w:space="0" w:color="auto"/>
            </w:tcBorders>
            <w:hideMark/>
          </w:tcPr>
          <w:p w14:paraId="4043366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SW</w:t>
            </w:r>
          </w:p>
        </w:tc>
        <w:tc>
          <w:tcPr>
            <w:tcW w:w="1417" w:type="dxa"/>
            <w:tcBorders>
              <w:top w:val="single" w:sz="4" w:space="0" w:color="auto"/>
            </w:tcBorders>
            <w:hideMark/>
          </w:tcPr>
          <w:p w14:paraId="6D8BC61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Retrospective- descriptive</w:t>
            </w:r>
          </w:p>
        </w:tc>
        <w:tc>
          <w:tcPr>
            <w:tcW w:w="914" w:type="dxa"/>
            <w:tcBorders>
              <w:top w:val="single" w:sz="4" w:space="0" w:color="auto"/>
            </w:tcBorders>
            <w:hideMark/>
          </w:tcPr>
          <w:p w14:paraId="263B6009"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182</w:t>
            </w:r>
          </w:p>
        </w:tc>
        <w:tc>
          <w:tcPr>
            <w:tcW w:w="810" w:type="dxa"/>
            <w:tcBorders>
              <w:top w:val="single" w:sz="4" w:space="0" w:color="auto"/>
            </w:tcBorders>
            <w:hideMark/>
          </w:tcPr>
          <w:p w14:paraId="4EE0008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 xml:space="preserve">31.5 </w:t>
            </w:r>
            <w:r>
              <w:rPr>
                <w:rFonts w:ascii="Times New Roman" w:hAnsi="Times New Roman" w:cs="Times New Roman"/>
                <w:sz w:val="20"/>
                <w:szCs w:val="20"/>
                <w:u w:val="single"/>
              </w:rPr>
              <w:t>+</w:t>
            </w:r>
            <w:r>
              <w:rPr>
                <w:rFonts w:ascii="Times New Roman" w:hAnsi="Times New Roman" w:cs="Times New Roman"/>
                <w:sz w:val="20"/>
                <w:szCs w:val="20"/>
              </w:rPr>
              <w:t xml:space="preserve"> 12.1</w:t>
            </w:r>
          </w:p>
        </w:tc>
        <w:tc>
          <w:tcPr>
            <w:tcW w:w="810" w:type="dxa"/>
            <w:tcBorders>
              <w:top w:val="single" w:sz="4" w:space="0" w:color="auto"/>
            </w:tcBorders>
            <w:hideMark/>
          </w:tcPr>
          <w:p w14:paraId="02810AE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2.6:1</w:t>
            </w:r>
          </w:p>
        </w:tc>
        <w:tc>
          <w:tcPr>
            <w:tcW w:w="1530" w:type="dxa"/>
            <w:tcBorders>
              <w:top w:val="single" w:sz="4" w:space="0" w:color="auto"/>
            </w:tcBorders>
            <w:hideMark/>
          </w:tcPr>
          <w:p w14:paraId="2B8CA4F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RTC= 73.1%</w:t>
            </w:r>
          </w:p>
          <w:p w14:paraId="4DA1C8D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(MCC= 23.1%)</w:t>
            </w:r>
          </w:p>
          <w:p w14:paraId="52A3A00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Assault= 19.2%</w:t>
            </w:r>
          </w:p>
          <w:p w14:paraId="6A3FDD6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Fall= 4.9%</w:t>
            </w:r>
          </w:p>
          <w:p w14:paraId="2F1E7C1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Sports= 2.8%</w:t>
            </w:r>
          </w:p>
        </w:tc>
        <w:tc>
          <w:tcPr>
            <w:tcW w:w="1890" w:type="dxa"/>
            <w:tcBorders>
              <w:top w:val="single" w:sz="4" w:space="0" w:color="auto"/>
            </w:tcBorders>
            <w:hideMark/>
          </w:tcPr>
          <w:p w14:paraId="3F8C0C06"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Mandible= 62.8%</w:t>
            </w:r>
          </w:p>
          <w:p w14:paraId="7AB61173"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ZC= 15.5%</w:t>
            </w:r>
          </w:p>
          <w:p w14:paraId="35C86FB9"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Maxilla= 14.2%</w:t>
            </w:r>
          </w:p>
          <w:p w14:paraId="6572EB4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Nasal= 2.7%</w:t>
            </w:r>
          </w:p>
          <w:p w14:paraId="04B962F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NOE= 1.8%</w:t>
            </w:r>
          </w:p>
          <w:p w14:paraId="5716FCA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Orbit= 3.1%</w:t>
            </w:r>
          </w:p>
        </w:tc>
        <w:tc>
          <w:tcPr>
            <w:tcW w:w="1350" w:type="dxa"/>
            <w:tcBorders>
              <w:top w:val="single" w:sz="4" w:space="0" w:color="auto"/>
            </w:tcBorders>
            <w:hideMark/>
          </w:tcPr>
          <w:p w14:paraId="27E70808"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NR</w:t>
            </w:r>
          </w:p>
        </w:tc>
        <w:tc>
          <w:tcPr>
            <w:tcW w:w="1440" w:type="dxa"/>
            <w:tcBorders>
              <w:top w:val="single" w:sz="4" w:space="0" w:color="auto"/>
            </w:tcBorders>
            <w:hideMark/>
          </w:tcPr>
          <w:p w14:paraId="652BD653"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IMF= 68.1%</w:t>
            </w:r>
          </w:p>
          <w:p w14:paraId="5DCA099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ORIF= 22.5%</w:t>
            </w:r>
          </w:p>
          <w:p w14:paraId="2ADDCA3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Conservative= 9.3%</w:t>
            </w:r>
          </w:p>
        </w:tc>
        <w:tc>
          <w:tcPr>
            <w:tcW w:w="810" w:type="dxa"/>
            <w:tcBorders>
              <w:top w:val="single" w:sz="4" w:space="0" w:color="auto"/>
            </w:tcBorders>
            <w:hideMark/>
          </w:tcPr>
          <w:p w14:paraId="19A40903" w14:textId="77777777" w:rsidR="007A73C9" w:rsidRDefault="007A73C9" w:rsidP="0026501C">
            <w:pPr>
              <w:tabs>
                <w:tab w:val="left" w:pos="1602"/>
                <w:tab w:val="left" w:pos="2142"/>
              </w:tabs>
              <w:ind w:right="244"/>
              <w:rPr>
                <w:rFonts w:ascii="Times New Roman" w:hAnsi="Times New Roman" w:cs="Times New Roman"/>
                <w:sz w:val="20"/>
                <w:szCs w:val="20"/>
              </w:rPr>
            </w:pPr>
            <w:r>
              <w:rPr>
                <w:rFonts w:ascii="Times New Roman" w:hAnsi="Times New Roman" w:cs="Times New Roman"/>
                <w:sz w:val="20"/>
                <w:szCs w:val="20"/>
              </w:rPr>
              <w:t>4/6</w:t>
            </w:r>
          </w:p>
        </w:tc>
      </w:tr>
      <w:tr w:rsidR="007A73C9" w14:paraId="54038755" w14:textId="77777777" w:rsidTr="007A73C9">
        <w:tc>
          <w:tcPr>
            <w:tcW w:w="465" w:type="dxa"/>
            <w:hideMark/>
          </w:tcPr>
          <w:p w14:paraId="556DB1D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w:t>
            </w:r>
          </w:p>
        </w:tc>
        <w:tc>
          <w:tcPr>
            <w:tcW w:w="1245" w:type="dxa"/>
            <w:hideMark/>
          </w:tcPr>
          <w:p w14:paraId="6C4B603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Adeyemi et al, 2012</w:t>
            </w:r>
            <w:r w:rsidR="00447D36">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{"citationItems":[{"id":"ITEM-1","itemData":{"DOI":"10.1016/j.joms.2012.04.006","ISSN":"02782391","PMID":"22793957","abstract":"Purpose: This study was undertaken to compare the healing outcome of a short period (2 weeks) of intermaxillary fixation (IMF) with conventional (4-6 weeks) IMF in the management of fractures of the mandibular tooth-bearing area. Materials and Methods: This was a randomized controlled study conducted at the Lagos University Teaching Hospital, Lagos, Nigeria, between November 2007 and January 2009. Subjects with minimally displaced mandibular fractures in the tooth-bearing area were randomly allocated into 2 treatment groups: IMF for 2 weeks (study group) or IMF for 4 to 6 weeks (control group). For the purpose of study analysis, the primary predictor variable was the treatment (IMF for 2 weeks vs IMF for 4-6 weeks). Other predictor variables were the age and gender of subjects. The primary healing outcome was considered either satisfactory or unsatisfactory. The following outcome variables that described the healing process were also compared in the 2 groups: healing time, postoperative infection, paresthesia, and maximal interincisal opening. Loss of body weight and oral hygiene status at the end of treatment were compared in the 2 groups. A value of P &lt;.05 was considered significant. Results: Satisfactory healing was observed in all cases in both groups. However, satisfactory healing was observed earlier (5.4 ± 0.9 weeks) in the control group than in patients with the short IMF period (7.2 ± 0.9 weeks) (P &lt;.001). Malocclusion that was amenable to selective grinding was the only complication seen in both groups (n = 2 in study group and n = 1 in control group) (P =.492). Subjects in the control group lost more weight after treatment than those in the study group (P &lt;.001). The recovery of interincisal mouth opening was also better in the study group than in the control group (P &lt;.001). The study group had better oral hygiene than the control group at the end of treatment. Conclusions: The healing outcome was comparable in both groups. However, the healing time was significantly longer in the group with the short IMF period. The recovery of maximal mouth opening, oral hygiene status, and loss of weight body in the study group were significantly better than those in the control group. This study suggests that a short period (2 weeks) of IMF in the management of minimally displaced mandibular fractures of the tooth-bearing area in young adults is a suitable alternative to the conventional method in terms of the healing outcome. © 2012 American Association…","author":[{"dropping-particle":"","family":"Adeyemi","given":"Moshood F.","non-dropping-particle":"","parse-names":false,"suffix":""},{"dropping-particle":"","family":"Adeyemo","given":"Wasiu L.","non-dropping-particle":"","parse-names":false,"suffix":""},{"dropping-particle":"","family":"Ogunlewe","given":"Mobolanle O.","non-dropping-particle":"","parse-names":false,"suffix":""},{"dropping-particle":"","family":"Ladeinde","given":"Akinola L.","non-dropping-particle":"","parse-names":false,"suffix":""}],"container-title":"Journal of Oral and Maxillofacial Surgery","id":"ITEM-1","issue":"8","issued":{"date-parts":[["2012"]]},"page":"1896-1902","publisher":"Elsevier Inc.","title":"Is healing outcome of 2 weeks intermaxillary fixation different from that of 4 to 6 weeks intermaxillary fixation in the treatment of mandibular fractures?","type":"article-journal","volume":"70"},"uris":["http://www.mendeley.com/documents/?uuid=bfd0f2c8-8cd6-4ccd-800f-414f27a14211"]}],"mendeley":{"formattedCitation":"&lt;sup&gt;12&lt;/sup&gt;","plainTextFormattedCitation":"12","previouslyFormattedCitation":"&lt;sup&gt;12&lt;/sup&gt;"},"properties":{"noteIndex":0},"schema":"https://github.com/citation-style-language/schema/raw/master/csl-citation.json"}</w:instrText>
            </w:r>
            <w:r w:rsidR="00447D36">
              <w:rPr>
                <w:rFonts w:ascii="Times New Roman" w:hAnsi="Times New Roman" w:cs="Times New Roman"/>
                <w:sz w:val="20"/>
                <w:szCs w:val="20"/>
              </w:rPr>
              <w:fldChar w:fldCharType="separate"/>
            </w:r>
            <w:r>
              <w:rPr>
                <w:rFonts w:ascii="Times New Roman" w:hAnsi="Times New Roman" w:cs="Times New Roman"/>
                <w:noProof/>
                <w:sz w:val="20"/>
                <w:szCs w:val="20"/>
                <w:vertAlign w:val="superscript"/>
              </w:rPr>
              <w:t>12</w:t>
            </w:r>
            <w:r w:rsidR="00447D36">
              <w:rPr>
                <w:rFonts w:ascii="Times New Roman" w:hAnsi="Times New Roman" w:cs="Times New Roman"/>
                <w:sz w:val="20"/>
                <w:szCs w:val="20"/>
              </w:rPr>
              <w:fldChar w:fldCharType="end"/>
            </w:r>
          </w:p>
        </w:tc>
        <w:tc>
          <w:tcPr>
            <w:tcW w:w="810" w:type="dxa"/>
            <w:hideMark/>
          </w:tcPr>
          <w:p w14:paraId="22B5F34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2007-2009</w:t>
            </w:r>
          </w:p>
        </w:tc>
        <w:tc>
          <w:tcPr>
            <w:tcW w:w="639" w:type="dxa"/>
            <w:hideMark/>
          </w:tcPr>
          <w:p w14:paraId="394366C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SW</w:t>
            </w:r>
          </w:p>
        </w:tc>
        <w:tc>
          <w:tcPr>
            <w:tcW w:w="1417" w:type="dxa"/>
            <w:hideMark/>
          </w:tcPr>
          <w:p w14:paraId="69CAB4A9"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RCT</w:t>
            </w:r>
          </w:p>
        </w:tc>
        <w:tc>
          <w:tcPr>
            <w:tcW w:w="914" w:type="dxa"/>
            <w:hideMark/>
          </w:tcPr>
          <w:p w14:paraId="2081A57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43</w:t>
            </w:r>
          </w:p>
        </w:tc>
        <w:tc>
          <w:tcPr>
            <w:tcW w:w="810" w:type="dxa"/>
            <w:hideMark/>
          </w:tcPr>
          <w:p w14:paraId="28B5998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 xml:space="preserve">28.4 </w:t>
            </w:r>
            <w:r>
              <w:rPr>
                <w:rFonts w:ascii="Times New Roman" w:hAnsi="Times New Roman" w:cs="Times New Roman"/>
                <w:sz w:val="20"/>
                <w:szCs w:val="20"/>
                <w:u w:val="single"/>
              </w:rPr>
              <w:t>+</w:t>
            </w:r>
            <w:r>
              <w:rPr>
                <w:rFonts w:ascii="Times New Roman" w:hAnsi="Times New Roman" w:cs="Times New Roman"/>
                <w:sz w:val="20"/>
                <w:szCs w:val="20"/>
              </w:rPr>
              <w:t xml:space="preserve"> 4.9</w:t>
            </w:r>
          </w:p>
        </w:tc>
        <w:tc>
          <w:tcPr>
            <w:tcW w:w="810" w:type="dxa"/>
            <w:hideMark/>
          </w:tcPr>
          <w:p w14:paraId="59D08F76"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3.8:1</w:t>
            </w:r>
          </w:p>
        </w:tc>
        <w:tc>
          <w:tcPr>
            <w:tcW w:w="1530" w:type="dxa"/>
            <w:hideMark/>
          </w:tcPr>
          <w:p w14:paraId="311C8885"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RTC= 62.8%</w:t>
            </w:r>
          </w:p>
          <w:p w14:paraId="2EAE2A5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Others (assault, sports, industrial accidents)= 37.2%</w:t>
            </w:r>
          </w:p>
        </w:tc>
        <w:tc>
          <w:tcPr>
            <w:tcW w:w="1890" w:type="dxa"/>
            <w:hideMark/>
          </w:tcPr>
          <w:p w14:paraId="6A9A0A4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Mandible= 100%</w:t>
            </w:r>
          </w:p>
        </w:tc>
        <w:tc>
          <w:tcPr>
            <w:tcW w:w="1350" w:type="dxa"/>
            <w:hideMark/>
          </w:tcPr>
          <w:p w14:paraId="3289A0CF"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NR</w:t>
            </w:r>
          </w:p>
        </w:tc>
        <w:tc>
          <w:tcPr>
            <w:tcW w:w="1440" w:type="dxa"/>
            <w:hideMark/>
          </w:tcPr>
          <w:p w14:paraId="64EAFC9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IMF= 100%</w:t>
            </w:r>
          </w:p>
        </w:tc>
        <w:tc>
          <w:tcPr>
            <w:tcW w:w="810" w:type="dxa"/>
            <w:hideMark/>
          </w:tcPr>
          <w:p w14:paraId="25E81893" w14:textId="77777777" w:rsidR="007A73C9" w:rsidRDefault="007A73C9" w:rsidP="0026501C">
            <w:pPr>
              <w:tabs>
                <w:tab w:val="left" w:pos="1602"/>
                <w:tab w:val="left" w:pos="2142"/>
              </w:tabs>
              <w:ind w:right="244"/>
              <w:rPr>
                <w:rFonts w:ascii="Times New Roman" w:hAnsi="Times New Roman" w:cs="Times New Roman"/>
                <w:sz w:val="20"/>
                <w:szCs w:val="20"/>
              </w:rPr>
            </w:pPr>
            <w:r>
              <w:rPr>
                <w:rFonts w:ascii="Times New Roman" w:hAnsi="Times New Roman" w:cs="Times New Roman"/>
                <w:sz w:val="20"/>
                <w:szCs w:val="20"/>
              </w:rPr>
              <w:t>5/6</w:t>
            </w:r>
          </w:p>
        </w:tc>
      </w:tr>
      <w:tr w:rsidR="007A73C9" w14:paraId="2E7DD6F3" w14:textId="77777777" w:rsidTr="007A73C9">
        <w:tc>
          <w:tcPr>
            <w:tcW w:w="465" w:type="dxa"/>
            <w:hideMark/>
          </w:tcPr>
          <w:p w14:paraId="266BB01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3.</w:t>
            </w:r>
          </w:p>
        </w:tc>
        <w:tc>
          <w:tcPr>
            <w:tcW w:w="1245" w:type="dxa"/>
            <w:hideMark/>
          </w:tcPr>
          <w:p w14:paraId="0C4FC8B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Adeyemo et al, 2008</w:t>
            </w:r>
            <w:r w:rsidR="00447D36">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{"citationItems":[{"id":"ITEM-1","itemData":{"DOI":"10.1007/s00268-008-9773-8","ISSN":"03642313","PMID":"18841410","abstract":"Background: This study was designed to establish the current demographic and treatment patterns of mandibular fractures in two urban centers (Lagos University Teaching Hospital, Lagos, and National Hospital, Abuja) in Nigeria. Methods: All cases of mandibular fractures diagnosed and treated at the Department of Oral and Maxillofacial Surgery, Lagos University Teaching Hospital, Lagos (1998-2007) and Department of Oral and Maxillofacial Surgery, National Hospital, Abuja, Nigeria (2001-2007) were reviewed. Data collected included age, sex, etiology of fracture, anatomic site of fracture, associated maxillofacial fracture, types of treatment, and postoperative complications. Results: The highest incidence of mandibular fractures (49.3%) occurred in the age group 21-30 years and the lowest in the age group 0-10 years, with male preponderance in nearly all age groups. Road traffic crashes (RTC) were the leading cause (67.5%), followed by assault (18.8%), and gunshot. Of the RTC cases, 85 (40%) were sustained from motorcycle-related crashes. The commonest site of fracture was the body of the mandible (n = 137), followed by the angle (n = 114). The majority (83.1%) were treated by closed reduction using intermaxillary fixation, 13.1% by open reduction and internal fixation, and 3.8% had conservative treatment. Conclusions: Mandibular fractures are commonest during the third decade of life and in men, with almost half of the cases due to of road traffic crashes. RTC was the leading cause of mandibular fractures in all age groups. Motorcycle-related mandibular fractures seem to be increasing in Nigeria. There is a need to enforce legislation designed to prevent RTC to reduce maxillofacial fractures in Nigeria. © 2008 Société Internationale de Chirurgie.","author":[{"dropping-particle":"","family":"Adeyemo","given":"Wasiu L.","non-dropping-particle":"","parse-names":false,"suffix":""},{"dropping-particle":"","family":"Iwegbu","given":"Innocent O.","non-dropping-particle":"","parse-names":false,"suffix":""},{"dropping-particle":"","family":"Bello","given":"Seidu A.","non-dropping-particle":"","parse-names":false,"suffix":""},{"dropping-particle":"","family":"Okoturo","given":"Eyituoyo","non-dropping-particle":"","parse-names":false,"suffix":""},{"dropping-particle":"","family":"Olaitan","given":"Ademola A.","non-dropping-particle":"","parse-names":false,"suffix":""},{"dropping-particle":"","family":"Ladeinde","given":"Akinola L.","non-dropping-particle":"","parse-names":false,"suffix":""},{"dropping-particle":"","family":"Ogunlewe","given":"Mobolanle O.","non-dropping-particle":"","parse-names":false,"suffix":""},{"dropping-particle":"","family":"Adepoju","given":"Adegbenga A.","non-dropping-particle":"","parse-names":false,"suffix":""},{"dropping-particle":"","family":"Taiwo","given":"Olanrewaju A.","non-dropping-particle":"","parse-names":false,"suffix":""}],"container-title":"World Journal of Surgery","id":"ITEM-1","issue":"12","issued":{"date-parts":[["2008"]]},"page":"2631-2635","title":"Management of mandibular fractures in a developing country: A review of 314 cases from two urban centers in Nigeria","type":"article-journal","volume":"32"},"uris":["http://www.mendeley.com/documents/?uuid=3c60f947-54ea-4b48-9d7d-c8f4f2e2e121"]}],"mendeley":{"formattedCitation":"&lt;sup&gt;13&lt;/sup&gt;","plainTextFormattedCitation":"13","previouslyFormattedCitation":"&lt;sup&gt;13&lt;/sup&gt;"},"properties":{"noteIndex":0},"schema":"https://github.com/citation-style-language/schema/raw/master/csl-citation.json"}</w:instrText>
            </w:r>
            <w:r w:rsidR="00447D36">
              <w:rPr>
                <w:rFonts w:ascii="Times New Roman" w:hAnsi="Times New Roman" w:cs="Times New Roman"/>
                <w:sz w:val="20"/>
                <w:szCs w:val="20"/>
              </w:rPr>
              <w:fldChar w:fldCharType="separate"/>
            </w:r>
            <w:r w:rsidRPr="005C6B15">
              <w:rPr>
                <w:rFonts w:ascii="Times New Roman" w:hAnsi="Times New Roman" w:cs="Times New Roman"/>
                <w:noProof/>
                <w:sz w:val="20"/>
                <w:szCs w:val="20"/>
                <w:vertAlign w:val="superscript"/>
              </w:rPr>
              <w:t>13</w:t>
            </w:r>
            <w:r w:rsidR="00447D36">
              <w:rPr>
                <w:rFonts w:ascii="Times New Roman" w:hAnsi="Times New Roman" w:cs="Times New Roman"/>
                <w:sz w:val="20"/>
                <w:szCs w:val="20"/>
              </w:rPr>
              <w:fldChar w:fldCharType="end"/>
            </w:r>
          </w:p>
        </w:tc>
        <w:tc>
          <w:tcPr>
            <w:tcW w:w="810" w:type="dxa"/>
            <w:hideMark/>
          </w:tcPr>
          <w:p w14:paraId="6BD2C959"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1998-2007</w:t>
            </w:r>
          </w:p>
        </w:tc>
        <w:tc>
          <w:tcPr>
            <w:tcW w:w="639" w:type="dxa"/>
            <w:hideMark/>
          </w:tcPr>
          <w:p w14:paraId="10834B21"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NC, SW</w:t>
            </w:r>
          </w:p>
        </w:tc>
        <w:tc>
          <w:tcPr>
            <w:tcW w:w="1417" w:type="dxa"/>
            <w:hideMark/>
          </w:tcPr>
          <w:p w14:paraId="17E5E4C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Retrospective- descriptive</w:t>
            </w:r>
          </w:p>
        </w:tc>
        <w:tc>
          <w:tcPr>
            <w:tcW w:w="914" w:type="dxa"/>
            <w:hideMark/>
          </w:tcPr>
          <w:p w14:paraId="6985FA62"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314</w:t>
            </w:r>
          </w:p>
        </w:tc>
        <w:tc>
          <w:tcPr>
            <w:tcW w:w="810" w:type="dxa"/>
            <w:hideMark/>
          </w:tcPr>
          <w:p w14:paraId="53E370DF"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 xml:space="preserve">30.3 </w:t>
            </w:r>
            <w:r>
              <w:rPr>
                <w:rFonts w:ascii="Times New Roman" w:hAnsi="Times New Roman" w:cs="Times New Roman"/>
                <w:sz w:val="20"/>
                <w:szCs w:val="20"/>
                <w:u w:val="single"/>
              </w:rPr>
              <w:t>+</w:t>
            </w:r>
            <w:r>
              <w:rPr>
                <w:rFonts w:ascii="Times New Roman" w:hAnsi="Times New Roman" w:cs="Times New Roman"/>
                <w:sz w:val="20"/>
                <w:szCs w:val="20"/>
              </w:rPr>
              <w:t xml:space="preserve"> 9.7</w:t>
            </w:r>
          </w:p>
        </w:tc>
        <w:tc>
          <w:tcPr>
            <w:tcW w:w="810" w:type="dxa"/>
            <w:hideMark/>
          </w:tcPr>
          <w:p w14:paraId="576DEAB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4.3:1</w:t>
            </w:r>
          </w:p>
        </w:tc>
        <w:tc>
          <w:tcPr>
            <w:tcW w:w="1530" w:type="dxa"/>
            <w:hideMark/>
          </w:tcPr>
          <w:p w14:paraId="2ED3125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RTC= 67.5%</w:t>
            </w:r>
          </w:p>
          <w:p w14:paraId="7272E6C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(MCC= 27.1%)</w:t>
            </w:r>
          </w:p>
          <w:p w14:paraId="3D0D087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Assault= 24.8%</w:t>
            </w:r>
          </w:p>
          <w:p w14:paraId="380B57F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(Gunshot= 5.7%)</w:t>
            </w:r>
          </w:p>
          <w:p w14:paraId="2639525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(Domestic accidents= 0.3%)</w:t>
            </w:r>
          </w:p>
          <w:p w14:paraId="0018269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Falls= 3.5%</w:t>
            </w:r>
          </w:p>
          <w:p w14:paraId="398CA8E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Industrial accidents= 2.6%</w:t>
            </w:r>
          </w:p>
          <w:p w14:paraId="64375A3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Sports= 1.3%</w:t>
            </w:r>
          </w:p>
          <w:p w14:paraId="3A8BCF7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Iatrogenic= 0.3%</w:t>
            </w:r>
          </w:p>
        </w:tc>
        <w:tc>
          <w:tcPr>
            <w:tcW w:w="1890" w:type="dxa"/>
            <w:hideMark/>
          </w:tcPr>
          <w:p w14:paraId="20A39F0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Mandible= 100%</w:t>
            </w:r>
          </w:p>
        </w:tc>
        <w:tc>
          <w:tcPr>
            <w:tcW w:w="1350" w:type="dxa"/>
            <w:hideMark/>
          </w:tcPr>
          <w:p w14:paraId="4019180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NR</w:t>
            </w:r>
          </w:p>
        </w:tc>
        <w:tc>
          <w:tcPr>
            <w:tcW w:w="1440" w:type="dxa"/>
            <w:hideMark/>
          </w:tcPr>
          <w:p w14:paraId="1DBC8743"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IMF= 82.8%</w:t>
            </w:r>
          </w:p>
          <w:p w14:paraId="649DD55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Acrylic splint + CMW= 0.3%</w:t>
            </w:r>
          </w:p>
          <w:p w14:paraId="160DD601"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ORIF= 13.1%</w:t>
            </w:r>
          </w:p>
          <w:p w14:paraId="2BD799B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Conservative= 3.8%</w:t>
            </w:r>
          </w:p>
        </w:tc>
        <w:tc>
          <w:tcPr>
            <w:tcW w:w="810" w:type="dxa"/>
            <w:hideMark/>
          </w:tcPr>
          <w:p w14:paraId="0930C18C" w14:textId="77777777" w:rsidR="007A73C9" w:rsidRDefault="007A73C9" w:rsidP="0026501C">
            <w:pPr>
              <w:tabs>
                <w:tab w:val="left" w:pos="1602"/>
                <w:tab w:val="left" w:pos="2142"/>
              </w:tabs>
              <w:ind w:right="244"/>
              <w:rPr>
                <w:rFonts w:ascii="Times New Roman" w:hAnsi="Times New Roman" w:cs="Times New Roman"/>
                <w:sz w:val="20"/>
                <w:szCs w:val="20"/>
              </w:rPr>
            </w:pPr>
            <w:r>
              <w:rPr>
                <w:rFonts w:ascii="Times New Roman" w:hAnsi="Times New Roman" w:cs="Times New Roman"/>
                <w:sz w:val="20"/>
                <w:szCs w:val="20"/>
              </w:rPr>
              <w:t>3/6</w:t>
            </w:r>
          </w:p>
        </w:tc>
      </w:tr>
      <w:tr w:rsidR="007A73C9" w14:paraId="5924571A" w14:textId="77777777" w:rsidTr="007A73C9">
        <w:tc>
          <w:tcPr>
            <w:tcW w:w="465" w:type="dxa"/>
            <w:hideMark/>
          </w:tcPr>
          <w:p w14:paraId="2CABFFDF"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4.</w:t>
            </w:r>
          </w:p>
        </w:tc>
        <w:tc>
          <w:tcPr>
            <w:tcW w:w="1245" w:type="dxa"/>
            <w:hideMark/>
          </w:tcPr>
          <w:p w14:paraId="5D83CE73"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Adeyemo et al, 2012</w:t>
            </w:r>
            <w:r w:rsidR="00447D36">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{"citationItems":[{"id":"ITEM-1","itemData":{"DOI":"10.3109/01443615.2011.613495","ISSN":"01443615","PMID":"22185538","abstract":"A prospective study was conducted to determine the incidence and pattern of orofacial injuries among eclamptic patients at the Lagos State University Teaching Hospital between December 2008 and November 2009. The incidence of orofacial injuries was 42%. Most injuries were due to bite and forceful insertion of hard objects into the patient's mouth by relatives during convulsive episodes. The type of antenatal care received had an influence on the incidence of orofacial injuries and there was a correlation between the number of convulsions and orofacial injuries. The mortality rate from eclampsia was 20.6%, and presence of orofacial injuries was a risk factor for mortality. Obstetricians and other healthcare providers should be familiar with the ways of preventing these injuries and seek early maxillofacial consultation when they occur. There is need for community education on the dangers of forceful insertion of hard objects into the mouth of eclamptics during fits. © 2011 Informa UK, Ltd.","author":[{"dropping-particle":"","family":"Adeyemo","given":"W. L.","non-dropping-particle":"","parse-names":false,"suffix":""},{"dropping-particle":"","family":"Rabiu","given":"K. A.","non-dropping-particle":"","parse-names":false,"suffix":""},{"dropping-particle":"","family":"Okoturo","given":"T. M.","non-dropping-particle":"","parse-names":false,"suffix":""},{"dropping-particle":"","family":"Adebanjo","given":"A. A.","non-dropping-particle":"","parse-names":false,"suffix":""},{"dropping-particle":"","family":"Adewunmi","given":"A. A.","non-dropping-particle":"","parse-names":false,"suffix":""},{"dropping-particle":"","family":"Adeyemi","given":"M. O.","non-dropping-particle":"","parse-names":false,"suffix":""}],"container-title":"Journal of Obstetrics and Gynaecology","id":"ITEM-1","issue":"1","issued":{"date-parts":[["2012"]]},"page":"54-57","title":"Orofacial injuries associated with eclampsia in patients presenting at a Nigerian Tertiary Hospital","type":"article-journal","volume":"32"},"uris":["http://www.mendeley.com/documents/?uuid=6cf44041-cd94-4b37-972f-45668015a6d1"]}],"mendeley":{"formattedCitation":"&lt;sup&gt;14&lt;/sup&gt;","plainTextFormattedCitation":"14","previouslyFormattedCitation":"&lt;sup&gt;14&lt;/sup&gt;"},"properties":{"noteIndex":0},"schema":"https://github.com/citation-style-language/schema/raw/master/csl-citation.json"}</w:instrText>
            </w:r>
            <w:r w:rsidR="00447D36">
              <w:rPr>
                <w:rFonts w:ascii="Times New Roman" w:hAnsi="Times New Roman" w:cs="Times New Roman"/>
                <w:sz w:val="20"/>
                <w:szCs w:val="20"/>
              </w:rPr>
              <w:fldChar w:fldCharType="separate"/>
            </w:r>
            <w:r w:rsidRPr="005C6B15">
              <w:rPr>
                <w:rFonts w:ascii="Times New Roman" w:hAnsi="Times New Roman" w:cs="Times New Roman"/>
                <w:noProof/>
                <w:sz w:val="20"/>
                <w:szCs w:val="20"/>
                <w:vertAlign w:val="superscript"/>
              </w:rPr>
              <w:t>14</w:t>
            </w:r>
            <w:r w:rsidR="00447D36">
              <w:rPr>
                <w:rFonts w:ascii="Times New Roman" w:hAnsi="Times New Roman" w:cs="Times New Roman"/>
                <w:sz w:val="20"/>
                <w:szCs w:val="20"/>
              </w:rPr>
              <w:fldChar w:fldCharType="end"/>
            </w:r>
          </w:p>
        </w:tc>
        <w:tc>
          <w:tcPr>
            <w:tcW w:w="810" w:type="dxa"/>
            <w:hideMark/>
          </w:tcPr>
          <w:p w14:paraId="2493F3B6"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2008-2009</w:t>
            </w:r>
          </w:p>
        </w:tc>
        <w:tc>
          <w:tcPr>
            <w:tcW w:w="639" w:type="dxa"/>
            <w:hideMark/>
          </w:tcPr>
          <w:p w14:paraId="5AF9501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SW</w:t>
            </w:r>
          </w:p>
        </w:tc>
        <w:tc>
          <w:tcPr>
            <w:tcW w:w="1417" w:type="dxa"/>
            <w:hideMark/>
          </w:tcPr>
          <w:p w14:paraId="2982DE1F"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Prospective -descriptive</w:t>
            </w:r>
          </w:p>
        </w:tc>
        <w:tc>
          <w:tcPr>
            <w:tcW w:w="914" w:type="dxa"/>
            <w:hideMark/>
          </w:tcPr>
          <w:p w14:paraId="1C901B96"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45</w:t>
            </w:r>
          </w:p>
        </w:tc>
        <w:tc>
          <w:tcPr>
            <w:tcW w:w="810" w:type="dxa"/>
            <w:hideMark/>
          </w:tcPr>
          <w:p w14:paraId="5F7F188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 xml:space="preserve">29.9 </w:t>
            </w:r>
            <w:r>
              <w:rPr>
                <w:rFonts w:ascii="Times New Roman" w:hAnsi="Times New Roman" w:cs="Times New Roman"/>
                <w:sz w:val="20"/>
                <w:szCs w:val="20"/>
                <w:u w:val="single"/>
              </w:rPr>
              <w:t>+</w:t>
            </w:r>
            <w:r>
              <w:rPr>
                <w:rFonts w:ascii="Times New Roman" w:hAnsi="Times New Roman" w:cs="Times New Roman"/>
                <w:sz w:val="20"/>
                <w:szCs w:val="20"/>
              </w:rPr>
              <w:t xml:space="preserve"> 6.8</w:t>
            </w:r>
          </w:p>
        </w:tc>
        <w:tc>
          <w:tcPr>
            <w:tcW w:w="810" w:type="dxa"/>
            <w:hideMark/>
          </w:tcPr>
          <w:p w14:paraId="29DD582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All females</w:t>
            </w:r>
          </w:p>
        </w:tc>
        <w:tc>
          <w:tcPr>
            <w:tcW w:w="1530" w:type="dxa"/>
            <w:hideMark/>
          </w:tcPr>
          <w:p w14:paraId="2B8C7B5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In epileptic patients suffering from eclampsia:</w:t>
            </w:r>
          </w:p>
          <w:p w14:paraId="4765371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lastRenderedPageBreak/>
              <w:t>Forceful insertion of hard objects=  51.1%</w:t>
            </w:r>
          </w:p>
          <w:p w14:paraId="10FE34F6"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Bite= 35.6%</w:t>
            </w:r>
          </w:p>
          <w:p w14:paraId="0342742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Fall= 13.3%</w:t>
            </w:r>
          </w:p>
        </w:tc>
        <w:tc>
          <w:tcPr>
            <w:tcW w:w="1890" w:type="dxa"/>
            <w:hideMark/>
          </w:tcPr>
          <w:p w14:paraId="276F754E"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lastRenderedPageBreak/>
              <w:t>Tongue= 39.5%</w:t>
            </w:r>
          </w:p>
          <w:p w14:paraId="79F40973"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Lip= 38.4%</w:t>
            </w:r>
          </w:p>
          <w:p w14:paraId="221B890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Cheek= 19.8%</w:t>
            </w:r>
          </w:p>
          <w:p w14:paraId="1563812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Chin= 2.3%</w:t>
            </w:r>
          </w:p>
        </w:tc>
        <w:tc>
          <w:tcPr>
            <w:tcW w:w="1350" w:type="dxa"/>
            <w:hideMark/>
          </w:tcPr>
          <w:p w14:paraId="255F22FE"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NR</w:t>
            </w:r>
          </w:p>
        </w:tc>
        <w:tc>
          <w:tcPr>
            <w:tcW w:w="1440" w:type="dxa"/>
            <w:hideMark/>
          </w:tcPr>
          <w:p w14:paraId="4DCE31F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 xml:space="preserve">Debridement + one-stage surgical repair (layered </w:t>
            </w:r>
            <w:r>
              <w:rPr>
                <w:rFonts w:ascii="Times New Roman" w:hAnsi="Times New Roman" w:cs="Times New Roman"/>
                <w:sz w:val="20"/>
                <w:szCs w:val="20"/>
              </w:rPr>
              <w:lastRenderedPageBreak/>
              <w:t>suturing)</w:t>
            </w:r>
          </w:p>
        </w:tc>
        <w:tc>
          <w:tcPr>
            <w:tcW w:w="810" w:type="dxa"/>
            <w:hideMark/>
          </w:tcPr>
          <w:p w14:paraId="7A603D80" w14:textId="77777777" w:rsidR="007A73C9" w:rsidRDefault="007A73C9" w:rsidP="0026501C">
            <w:pPr>
              <w:tabs>
                <w:tab w:val="left" w:pos="1602"/>
                <w:tab w:val="left" w:pos="2142"/>
              </w:tabs>
              <w:ind w:right="244"/>
              <w:rPr>
                <w:rFonts w:ascii="Times New Roman" w:hAnsi="Times New Roman" w:cs="Times New Roman"/>
                <w:sz w:val="20"/>
                <w:szCs w:val="20"/>
              </w:rPr>
            </w:pPr>
            <w:r>
              <w:rPr>
                <w:rFonts w:ascii="Times New Roman" w:hAnsi="Times New Roman" w:cs="Times New Roman"/>
                <w:sz w:val="20"/>
                <w:szCs w:val="20"/>
              </w:rPr>
              <w:lastRenderedPageBreak/>
              <w:t>4/6</w:t>
            </w:r>
          </w:p>
        </w:tc>
      </w:tr>
      <w:tr w:rsidR="007A73C9" w14:paraId="235A4FFD" w14:textId="77777777" w:rsidTr="007A73C9">
        <w:tc>
          <w:tcPr>
            <w:tcW w:w="465" w:type="dxa"/>
            <w:hideMark/>
          </w:tcPr>
          <w:p w14:paraId="622E672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5</w:t>
            </w:r>
          </w:p>
        </w:tc>
        <w:tc>
          <w:tcPr>
            <w:tcW w:w="1245" w:type="dxa"/>
            <w:hideMark/>
          </w:tcPr>
          <w:p w14:paraId="2938DDF3"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Adeyemo et al, 2012(b)</w:t>
            </w:r>
            <w:r w:rsidR="00447D36">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{"citationItems":[{"id":"ITEM-1","itemData":{"DOI":"10.4103/1119-3077.104520","ISSN":"11193077","PMID":"23238194","abstract":"Aim: Human lip injuries, although uncommon, present major challenges in terms of reconstructive options and the outcome of surgical management. The reconstructive techniques are usually varied but the ultimate objectives of treatment are to achieve healing, function, and aesthetics. The aim of this study was to report the etiology, pattern of presentation, and surgical management of lip injuries in Lagos University Teaching Hospital (LUTH). Materials and Methods: A prospective study of consecutive cases of lip injury was conducted at the Oral and Maxillofacial Surgery Clinic of the Lagos University Teaching Hospital. Data collected included age and sex of patients, etiology, pattern of presentation, and surgical techniques of repair. Results: A total of 13 patients with lip injury to the lip were included in the study (M = 6, F = 7). Human bite (11 cases) was the most common cause of injury followed by electric burns (2 cases). The most (81.8%) frequently affected site was the lower lip. Most patients presented within 72 hours after injury with infected wound. Treatment offered included thorough debridement and primary repair using various surgical techniques. A one-stage surgical technique was employed in all cases. Healing was uneventful in all cases and satisfactory. Conclusion: Most of the lip injuries in the present study were due to human bites with almost equal sex distribution. Lower lip was most commonly affected. All cases were successfully treated by debridement, broad spectrum antibiotic coverage, and one-stage surgical repair with a favorable outcome.","author":[{"dropping-particle":"","family":"Adeyemo","given":"W. L.","non-dropping-particle":"","parse-names":false,"suffix":""},{"dropping-particle":"","family":"Taiwo","given":"O. A.","non-dropping-particle":"","parse-names":false,"suffix":""},{"dropping-particle":"","family":"Adeyemi","given":"M. O.","non-dropping-particle":"","parse-names":false,"suffix":""},{"dropping-particle":"","family":"Adewole","given":"R. A.","non-dropping-particle":"","parse-names":false,"suffix":""},{"dropping-particle":"","family":"Gbotolorun","given":"O. M.","non-dropping-particle":"","parse-names":false,"suffix":""}],"container-title":"Nigerian Journal of Clinical Practice","id":"ITEM-1","issue":"4","issued":{"date-parts":[["2012"]]},"page":"436-441","title":"Pattern of presentation and management of lip injuries in a Nigerian hospital","type":"article-journal","volume":"15"},"uris":["http://www.mendeley.com/documents/?uuid=f4e5f931-2675-4a74-a4fe-f8ff83da4407"]}],"mendeley":{"formattedCitation":"&lt;sup&gt;15&lt;/sup&gt;","plainTextFormattedCitation":"15","previouslyFormattedCitation":"&lt;sup&gt;15&lt;/sup&gt;"},"properties":{"noteIndex":0},"schema":"https://github.com/citation-style-language/schema/raw/master/csl-citation.json"}</w:instrText>
            </w:r>
            <w:r w:rsidR="00447D36">
              <w:rPr>
                <w:rFonts w:ascii="Times New Roman" w:hAnsi="Times New Roman" w:cs="Times New Roman"/>
                <w:sz w:val="20"/>
                <w:szCs w:val="20"/>
              </w:rPr>
              <w:fldChar w:fldCharType="separate"/>
            </w:r>
            <w:r w:rsidRPr="005C6B15">
              <w:rPr>
                <w:rFonts w:ascii="Times New Roman" w:hAnsi="Times New Roman" w:cs="Times New Roman"/>
                <w:noProof/>
                <w:sz w:val="20"/>
                <w:szCs w:val="20"/>
                <w:vertAlign w:val="superscript"/>
              </w:rPr>
              <w:t>15</w:t>
            </w:r>
            <w:r w:rsidR="00447D36">
              <w:rPr>
                <w:rFonts w:ascii="Times New Roman" w:hAnsi="Times New Roman" w:cs="Times New Roman"/>
                <w:sz w:val="20"/>
                <w:szCs w:val="20"/>
              </w:rPr>
              <w:fldChar w:fldCharType="end"/>
            </w:r>
          </w:p>
        </w:tc>
        <w:tc>
          <w:tcPr>
            <w:tcW w:w="810" w:type="dxa"/>
            <w:hideMark/>
          </w:tcPr>
          <w:p w14:paraId="05A77A63"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2007-2009</w:t>
            </w:r>
          </w:p>
        </w:tc>
        <w:tc>
          <w:tcPr>
            <w:tcW w:w="639" w:type="dxa"/>
            <w:hideMark/>
          </w:tcPr>
          <w:p w14:paraId="050EE9E8"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SW</w:t>
            </w:r>
          </w:p>
        </w:tc>
        <w:tc>
          <w:tcPr>
            <w:tcW w:w="1417" w:type="dxa"/>
            <w:hideMark/>
          </w:tcPr>
          <w:p w14:paraId="283016C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Prospective-descriptive</w:t>
            </w:r>
          </w:p>
        </w:tc>
        <w:tc>
          <w:tcPr>
            <w:tcW w:w="914" w:type="dxa"/>
            <w:hideMark/>
          </w:tcPr>
          <w:p w14:paraId="57E61A7E"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13</w:t>
            </w:r>
          </w:p>
        </w:tc>
        <w:tc>
          <w:tcPr>
            <w:tcW w:w="810" w:type="dxa"/>
            <w:hideMark/>
          </w:tcPr>
          <w:p w14:paraId="319343F1"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 xml:space="preserve">32.6 </w:t>
            </w:r>
            <w:r>
              <w:rPr>
                <w:rFonts w:ascii="Times New Roman" w:hAnsi="Times New Roman" w:cs="Times New Roman"/>
                <w:sz w:val="20"/>
                <w:szCs w:val="20"/>
                <w:u w:val="single"/>
              </w:rPr>
              <w:t>+</w:t>
            </w:r>
            <w:r>
              <w:rPr>
                <w:rFonts w:ascii="Times New Roman" w:hAnsi="Times New Roman" w:cs="Times New Roman"/>
                <w:sz w:val="20"/>
                <w:szCs w:val="20"/>
              </w:rPr>
              <w:t xml:space="preserve"> 8.8</w:t>
            </w:r>
          </w:p>
        </w:tc>
        <w:tc>
          <w:tcPr>
            <w:tcW w:w="810" w:type="dxa"/>
            <w:hideMark/>
          </w:tcPr>
          <w:p w14:paraId="79A24B2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0.8: 1</w:t>
            </w:r>
          </w:p>
        </w:tc>
        <w:tc>
          <w:tcPr>
            <w:tcW w:w="1530" w:type="dxa"/>
            <w:hideMark/>
          </w:tcPr>
          <w:p w14:paraId="622A898F"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Assaults (human bite)= 84.6%</w:t>
            </w:r>
          </w:p>
          <w:p w14:paraId="14EC242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Electric burns= 15.4%</w:t>
            </w:r>
          </w:p>
        </w:tc>
        <w:tc>
          <w:tcPr>
            <w:tcW w:w="1890" w:type="dxa"/>
            <w:hideMark/>
          </w:tcPr>
          <w:p w14:paraId="42344AB5"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Soft tissue (lips)= 100%</w:t>
            </w:r>
          </w:p>
          <w:p w14:paraId="6B22C75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Lower lip= 81.8%</w:t>
            </w:r>
          </w:p>
          <w:p w14:paraId="30470ACF"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Upper lip= 18.2%</w:t>
            </w:r>
          </w:p>
        </w:tc>
        <w:tc>
          <w:tcPr>
            <w:tcW w:w="1350" w:type="dxa"/>
            <w:hideMark/>
          </w:tcPr>
          <w:p w14:paraId="307680B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NR</w:t>
            </w:r>
          </w:p>
        </w:tc>
        <w:tc>
          <w:tcPr>
            <w:tcW w:w="1440" w:type="dxa"/>
            <w:hideMark/>
          </w:tcPr>
          <w:p w14:paraId="4D35AED2"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Debridement + one-stage surgical repair (layered suturing)</w:t>
            </w:r>
          </w:p>
        </w:tc>
        <w:tc>
          <w:tcPr>
            <w:tcW w:w="810" w:type="dxa"/>
            <w:hideMark/>
          </w:tcPr>
          <w:p w14:paraId="1F80982A" w14:textId="77777777" w:rsidR="007A73C9" w:rsidRDefault="007A73C9" w:rsidP="0026501C">
            <w:pPr>
              <w:tabs>
                <w:tab w:val="left" w:pos="1602"/>
                <w:tab w:val="left" w:pos="2142"/>
              </w:tabs>
              <w:ind w:right="244"/>
              <w:rPr>
                <w:rFonts w:ascii="Times New Roman" w:hAnsi="Times New Roman" w:cs="Times New Roman"/>
                <w:sz w:val="20"/>
                <w:szCs w:val="20"/>
              </w:rPr>
            </w:pPr>
            <w:r>
              <w:rPr>
                <w:rFonts w:ascii="Times New Roman" w:hAnsi="Times New Roman" w:cs="Times New Roman"/>
                <w:sz w:val="20"/>
                <w:szCs w:val="20"/>
              </w:rPr>
              <w:t>4/6</w:t>
            </w:r>
          </w:p>
        </w:tc>
      </w:tr>
      <w:tr w:rsidR="007A73C9" w14:paraId="78A2B7AC" w14:textId="77777777" w:rsidTr="007A73C9">
        <w:tc>
          <w:tcPr>
            <w:tcW w:w="465" w:type="dxa"/>
            <w:hideMark/>
          </w:tcPr>
          <w:p w14:paraId="5ABB5062"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6</w:t>
            </w:r>
          </w:p>
        </w:tc>
        <w:tc>
          <w:tcPr>
            <w:tcW w:w="1245" w:type="dxa"/>
            <w:hideMark/>
          </w:tcPr>
          <w:p w14:paraId="5F07B7A3"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Adeyemo et al, 2012 (c)</w:t>
            </w:r>
            <w:r w:rsidR="00447D36">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{"citationItems":[{"id":"ITEM-1","itemData":{"ISSN":"11152613","PMID":"23301444","abstract":"The aim of this study is to establish the pattern and actiology of mid-facial fractures, of patients seen and treated at the Lagos University Teaching Hospital, Lagos, Nigeria over a 5-year period. All cases of midfacial fractures diagnosed and treated at the Department of Oral and Maxillofacial Surgery, Lagos University Teaching Hospital (LUTH), Lagos between January 2004 and December 2008 were reviewed. Data collected from case records of patients included age, sex, aetiology of fracture, anatomic site of fracture, associated maxillofacial fracture, types of treatment and postoperative complications. The leading cause of mid-facial fractures was road traffic crashes (RTC) which occurred in 93% of highest incidence of mid-facial fractures (36.5%) occurred in the age group of 21-30 years and the lowest in the age group of 60 years and above (2.6%); with male preponderance in nearly all age groups. Female patients were significantly younger than their male counterparts (P=0.000). The most common site of mid-facial bone fractures was the zygomatic complex (n=89, 44.5%), followed by dento-alveolar (n=26, 13%), and Le fort II (n=23, 12%). Conservative management of the fractures was employed in 2.6% (n=4) of the cases while 97.4% (n=152) of the patients required surgical, intervention Mid-facial fractures were most common in the 3rd decade of life; with a male-to-female ratio of 3.7: 1. Over 93% of the cases were due to road traffic crashes. Zygomatic complex was the most commonly fractured site. The fact that road traffic crashes still remain the major cause of mid-facial fracture in the studied environment is an indication that the enforcement of legislation to prevent road traffic crashes needs to be re-emphasised.","author":[{"dropping-particle":"","family":"Adeyemo","given":"W. L.","non-dropping-particle":"","parse-names":false,"suffix":""},{"dropping-particle":"","family":"Taiwo","given":"O. A.","non-dropping-particle":"","parse-names":false,"suffix":""},{"dropping-particle":"","family":"Ladeinde","given":"A. L.","non-dropping-particle":"","parse-names":false,"suffix":""},{"dropping-particle":"","family":"Ogunlewe","given":"M. O.","non-dropping-particle":"","parse-names":false,"suffix":""},{"dropping-particle":"","family":"Adeyemi","given":"M. O.","non-dropping-particle":"","parse-names":false,"suffix":""},{"dropping-particle":"","family":"Adepoju","given":"A. A.","non-dropping-particle":"","parse-names":false,"suffix":""}],"container-title":"Nigerian journal of medicine : journal of the National Association of Resident Doctors of Nigeria","id":"ITEM-1","issue":"1","issued":{"date-parts":[["2012"]]},"page":"31-35","title":"Original article mid-facial fractures: a 5-year retrospective review in a Nigerian teaching hospital.","type":"article-journal","volume":"21"},"uris":["http://www.mendeley.com/documents/?uuid=2d6b47e9-59fa-4921-a44f-4ea83ef3992f"]}],"mendeley":{"formattedCitation":"&lt;sup&gt;16&lt;/sup&gt;","plainTextFormattedCitation":"16","previouslyFormattedCitation":"&lt;sup&gt;16&lt;/sup&gt;"},"properties":{"noteIndex":0},"schema":"https://github.com/citation-style-language/schema/raw/master/csl-citation.json"}</w:instrText>
            </w:r>
            <w:r w:rsidR="00447D36">
              <w:rPr>
                <w:rFonts w:ascii="Times New Roman" w:hAnsi="Times New Roman" w:cs="Times New Roman"/>
                <w:sz w:val="20"/>
                <w:szCs w:val="20"/>
              </w:rPr>
              <w:fldChar w:fldCharType="separate"/>
            </w:r>
            <w:r w:rsidRPr="005C6B15">
              <w:rPr>
                <w:rFonts w:ascii="Times New Roman" w:hAnsi="Times New Roman" w:cs="Times New Roman"/>
                <w:noProof/>
                <w:sz w:val="20"/>
                <w:szCs w:val="20"/>
                <w:vertAlign w:val="superscript"/>
              </w:rPr>
              <w:t>16</w:t>
            </w:r>
            <w:r w:rsidR="00447D36">
              <w:rPr>
                <w:rFonts w:ascii="Times New Roman" w:hAnsi="Times New Roman" w:cs="Times New Roman"/>
                <w:sz w:val="20"/>
                <w:szCs w:val="20"/>
              </w:rPr>
              <w:fldChar w:fldCharType="end"/>
            </w:r>
          </w:p>
        </w:tc>
        <w:tc>
          <w:tcPr>
            <w:tcW w:w="810" w:type="dxa"/>
            <w:hideMark/>
          </w:tcPr>
          <w:p w14:paraId="461CC19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2004-2008</w:t>
            </w:r>
          </w:p>
        </w:tc>
        <w:tc>
          <w:tcPr>
            <w:tcW w:w="639" w:type="dxa"/>
            <w:hideMark/>
          </w:tcPr>
          <w:p w14:paraId="583C2588"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SW</w:t>
            </w:r>
          </w:p>
        </w:tc>
        <w:tc>
          <w:tcPr>
            <w:tcW w:w="1417" w:type="dxa"/>
            <w:hideMark/>
          </w:tcPr>
          <w:p w14:paraId="1678C486"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Retrospective- descriptive</w:t>
            </w:r>
          </w:p>
        </w:tc>
        <w:tc>
          <w:tcPr>
            <w:tcW w:w="914" w:type="dxa"/>
            <w:hideMark/>
          </w:tcPr>
          <w:p w14:paraId="321814A8"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156</w:t>
            </w:r>
          </w:p>
        </w:tc>
        <w:tc>
          <w:tcPr>
            <w:tcW w:w="810" w:type="dxa"/>
            <w:hideMark/>
          </w:tcPr>
          <w:p w14:paraId="60DD51E9"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 xml:space="preserve">31.5 </w:t>
            </w:r>
            <w:r>
              <w:rPr>
                <w:rFonts w:ascii="Times New Roman" w:hAnsi="Times New Roman" w:cs="Times New Roman"/>
                <w:sz w:val="20"/>
                <w:szCs w:val="20"/>
                <w:u w:val="single"/>
              </w:rPr>
              <w:t>+</w:t>
            </w:r>
            <w:r>
              <w:rPr>
                <w:rFonts w:ascii="Times New Roman" w:hAnsi="Times New Roman" w:cs="Times New Roman"/>
                <w:sz w:val="20"/>
                <w:szCs w:val="20"/>
              </w:rPr>
              <w:t xml:space="preserve"> 12.4</w:t>
            </w:r>
          </w:p>
        </w:tc>
        <w:tc>
          <w:tcPr>
            <w:tcW w:w="810" w:type="dxa"/>
            <w:hideMark/>
          </w:tcPr>
          <w:p w14:paraId="259C528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3.7:1</w:t>
            </w:r>
          </w:p>
        </w:tc>
        <w:tc>
          <w:tcPr>
            <w:tcW w:w="1530" w:type="dxa"/>
            <w:hideMark/>
          </w:tcPr>
          <w:p w14:paraId="7916DAAF"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RTC= 92.9%</w:t>
            </w:r>
          </w:p>
          <w:p w14:paraId="7CD05D03"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Falls= 3.8%</w:t>
            </w:r>
          </w:p>
          <w:p w14:paraId="608D3C9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Gunshot= 2.5%</w:t>
            </w:r>
          </w:p>
          <w:p w14:paraId="255A5A7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Assault= 0.6%</w:t>
            </w:r>
          </w:p>
        </w:tc>
        <w:tc>
          <w:tcPr>
            <w:tcW w:w="1890" w:type="dxa"/>
            <w:hideMark/>
          </w:tcPr>
          <w:p w14:paraId="164DCA32"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ZC= 44.5%</w:t>
            </w:r>
          </w:p>
          <w:p w14:paraId="4152ABC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Zygomatic arch= 3%</w:t>
            </w:r>
          </w:p>
          <w:p w14:paraId="1B94629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Lefort I= 11.5%</w:t>
            </w:r>
          </w:p>
          <w:p w14:paraId="2697BD6F"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Lefort II= 12%</w:t>
            </w:r>
          </w:p>
          <w:p w14:paraId="264B1F19"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Lefort III= 2.5%</w:t>
            </w:r>
          </w:p>
          <w:p w14:paraId="2AF4B868"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Nasal= 10.5%</w:t>
            </w:r>
          </w:p>
          <w:p w14:paraId="09533BB6"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Dentoalveolar= 13%</w:t>
            </w:r>
          </w:p>
          <w:p w14:paraId="592664FF"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Palatal split= 2.5%</w:t>
            </w:r>
          </w:p>
          <w:p w14:paraId="30FD6719"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Orbital blowout= 0.5%</w:t>
            </w:r>
          </w:p>
        </w:tc>
        <w:tc>
          <w:tcPr>
            <w:tcW w:w="1350" w:type="dxa"/>
            <w:hideMark/>
          </w:tcPr>
          <w:p w14:paraId="04690978"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NR</w:t>
            </w:r>
          </w:p>
        </w:tc>
        <w:tc>
          <w:tcPr>
            <w:tcW w:w="1440" w:type="dxa"/>
            <w:hideMark/>
          </w:tcPr>
          <w:p w14:paraId="4C9CFCD6"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Conservative= 2.5%</w:t>
            </w:r>
          </w:p>
          <w:p w14:paraId="3D9C7915"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Surgical intervention= 97.4</w:t>
            </w:r>
          </w:p>
        </w:tc>
        <w:tc>
          <w:tcPr>
            <w:tcW w:w="810" w:type="dxa"/>
            <w:hideMark/>
          </w:tcPr>
          <w:p w14:paraId="36DDDE37" w14:textId="77777777" w:rsidR="007A73C9" w:rsidRDefault="007A73C9" w:rsidP="0026501C">
            <w:pPr>
              <w:tabs>
                <w:tab w:val="left" w:pos="1602"/>
                <w:tab w:val="left" w:pos="2142"/>
              </w:tabs>
              <w:ind w:right="244"/>
              <w:rPr>
                <w:rFonts w:ascii="Times New Roman" w:hAnsi="Times New Roman" w:cs="Times New Roman"/>
                <w:sz w:val="20"/>
                <w:szCs w:val="20"/>
              </w:rPr>
            </w:pPr>
            <w:r>
              <w:rPr>
                <w:rFonts w:ascii="Times New Roman" w:hAnsi="Times New Roman" w:cs="Times New Roman"/>
                <w:sz w:val="20"/>
                <w:szCs w:val="20"/>
              </w:rPr>
              <w:t>4/6</w:t>
            </w:r>
          </w:p>
        </w:tc>
      </w:tr>
      <w:tr w:rsidR="007A73C9" w14:paraId="04DFF242" w14:textId="77777777" w:rsidTr="007A73C9">
        <w:tc>
          <w:tcPr>
            <w:tcW w:w="465" w:type="dxa"/>
            <w:hideMark/>
          </w:tcPr>
          <w:p w14:paraId="156D3D92"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7</w:t>
            </w:r>
          </w:p>
        </w:tc>
        <w:tc>
          <w:tcPr>
            <w:tcW w:w="1245" w:type="dxa"/>
            <w:hideMark/>
          </w:tcPr>
          <w:p w14:paraId="1ADFB5B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Akinbami et al, 2013</w:t>
            </w:r>
            <w:r w:rsidR="00447D36">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{"citationItems":[{"id":"ITEM-1","itemData":{"DOI":"10.4103/0974-2700.120362","ISSN":"09742700","abstract":"Background: The pattern of craniofacial soft-tissue injuries occurring either in isolation or in association with fractures vary in different societies and is multiply influenced. The effects are enormous because of the prominence of the face; therefore, the purpose of this study was to document any changing pattern, severity and management of these craniofacial injuries in our center. Patients and Method: Cranio-maxillofacial region was classified into upper, middle and lower face. The cause, type, and site of the injuries were documented. Gunshot injuries were further categorized as penetrating, perforating or avulsions. Further, classification of injuries into mild, moderate, and severe was carried out based on multiple factors. Result: A total of 126 patients with soft-tissue injuries presented to our hospital out of which 85 (67.5%) were males and 41 (32.5) were females. The age range of the patients was between 10 months and 90 years with a mean ± SD of 26.4 ± 15.5 years. Road traffic accident was the most common etiology of which vehicular accidents constituted 50 (54.9%) and the motorcycle was 2 (2.2%). Assault contributed 16 (17.6%) while cases due to gun shots were 13 (14.3%). A total of 19 (15.1%) patients had associated head injuries, 11 (8.7%) patients had craniofacial fractures involving any of the bones while 3 (2.4%) patients had limb fractures and 2 (1.6%) patients had rib fractures. There were 51 (41.8%) cases classified as mild injuries, 37 (30.3%) cases as moderate injuries and 24 (19.7%) cases as severe injuries. Total of 126 cases managed, 121 (96.0%) received primary closure of the wounds while 5 (4.0%) received delayed closure under general anesthesia.","author":[{"dropping-particle":"","family":"Akinbami","given":"Olayemi Babatunde","non-dropping-particle":"","parse-names":false,"suffix":""},{"dropping-particle":"","family":"Oladimeji","given":"Adeniyi Akadiri","non-dropping-particle":"","parse-names":false,"suffix":""},{"dropping-particle":"","family":"Udeabor","given":"Samuel","non-dropping-particle":"","parse-names":false,"suffix":""},{"dropping-particle":"","family":"Ambrose","given":"Emeka Obiechina","non-dropping-particle":"","parse-names":false,"suffix":""}],"container-title":"Journal of Emergencies, Trauma and Shock","id":"ITEM-1","issue":"4","issued":{"date-parts":[["2013"]]},"page":"235-240","title":"Pattern, severity, and management of cranio-maxillofacial soft-tissue injuries in Port Harcourt, Nigeria","type":"article-journal","volume":"6"},"uris":["http://www.mendeley.com/documents/?uuid=127cf40c-293c-4632-b08b-24fe837b744a"]}],"mendeley":{"formattedCitation":"&lt;sup&gt;28&lt;/sup&gt;","plainTextFormattedCitation":"28","previouslyFormattedCitation":"&lt;sup&gt;28&lt;/sup&gt;"},"properties":{"noteIndex":0},"schema":"https://github.com/citation-style-language/schema/raw/master/csl-citation.json"}</w:instrText>
            </w:r>
            <w:r w:rsidR="00447D36">
              <w:rPr>
                <w:rFonts w:ascii="Times New Roman" w:hAnsi="Times New Roman" w:cs="Times New Roman"/>
                <w:sz w:val="20"/>
                <w:szCs w:val="20"/>
              </w:rPr>
              <w:fldChar w:fldCharType="separate"/>
            </w:r>
            <w:r w:rsidRPr="005C6B15">
              <w:rPr>
                <w:rFonts w:ascii="Times New Roman" w:hAnsi="Times New Roman" w:cs="Times New Roman"/>
                <w:noProof/>
                <w:sz w:val="20"/>
                <w:szCs w:val="20"/>
                <w:vertAlign w:val="superscript"/>
              </w:rPr>
              <w:t>28</w:t>
            </w:r>
            <w:r w:rsidR="00447D36">
              <w:rPr>
                <w:rFonts w:ascii="Times New Roman" w:hAnsi="Times New Roman" w:cs="Times New Roman"/>
                <w:sz w:val="20"/>
                <w:szCs w:val="20"/>
              </w:rPr>
              <w:fldChar w:fldCharType="end"/>
            </w:r>
          </w:p>
        </w:tc>
        <w:tc>
          <w:tcPr>
            <w:tcW w:w="810" w:type="dxa"/>
            <w:hideMark/>
          </w:tcPr>
          <w:p w14:paraId="134B501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2008-2012</w:t>
            </w:r>
          </w:p>
        </w:tc>
        <w:tc>
          <w:tcPr>
            <w:tcW w:w="639" w:type="dxa"/>
            <w:hideMark/>
          </w:tcPr>
          <w:p w14:paraId="4B4BC8E3"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SS</w:t>
            </w:r>
          </w:p>
        </w:tc>
        <w:tc>
          <w:tcPr>
            <w:tcW w:w="1417" w:type="dxa"/>
            <w:hideMark/>
          </w:tcPr>
          <w:p w14:paraId="35667A1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Retrospective-descriptive</w:t>
            </w:r>
          </w:p>
        </w:tc>
        <w:tc>
          <w:tcPr>
            <w:tcW w:w="914" w:type="dxa"/>
            <w:hideMark/>
          </w:tcPr>
          <w:p w14:paraId="3766A51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126</w:t>
            </w:r>
          </w:p>
        </w:tc>
        <w:tc>
          <w:tcPr>
            <w:tcW w:w="810" w:type="dxa"/>
            <w:hideMark/>
          </w:tcPr>
          <w:p w14:paraId="77D829EF"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 xml:space="preserve">0.8 – 90 </w:t>
            </w:r>
          </w:p>
        </w:tc>
        <w:tc>
          <w:tcPr>
            <w:tcW w:w="810" w:type="dxa"/>
            <w:hideMark/>
          </w:tcPr>
          <w:p w14:paraId="3ACDBA13"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2.1:1</w:t>
            </w:r>
          </w:p>
        </w:tc>
        <w:tc>
          <w:tcPr>
            <w:tcW w:w="1530" w:type="dxa"/>
          </w:tcPr>
          <w:p w14:paraId="0168354F"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RTC= 57.1%</w:t>
            </w:r>
          </w:p>
          <w:p w14:paraId="15D1D95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(MCC=1.6%)</w:t>
            </w:r>
          </w:p>
          <w:p w14:paraId="2E8B969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Assault= 31.9%</w:t>
            </w:r>
          </w:p>
          <w:p w14:paraId="3C1C850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Falls= 9.9%</w:t>
            </w:r>
          </w:p>
          <w:p w14:paraId="2D28CDF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Others= 1.1%</w:t>
            </w:r>
          </w:p>
          <w:p w14:paraId="1171C86F" w14:textId="77777777" w:rsidR="007A73C9" w:rsidRDefault="007A73C9" w:rsidP="0026501C">
            <w:pPr>
              <w:rPr>
                <w:rFonts w:ascii="Times New Roman" w:hAnsi="Times New Roman" w:cs="Times New Roman"/>
                <w:sz w:val="20"/>
                <w:szCs w:val="20"/>
              </w:rPr>
            </w:pPr>
          </w:p>
        </w:tc>
        <w:tc>
          <w:tcPr>
            <w:tcW w:w="1890" w:type="dxa"/>
            <w:hideMark/>
          </w:tcPr>
          <w:p w14:paraId="5523060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Soft tissue= 100%</w:t>
            </w:r>
          </w:p>
        </w:tc>
        <w:tc>
          <w:tcPr>
            <w:tcW w:w="1350" w:type="dxa"/>
            <w:hideMark/>
          </w:tcPr>
          <w:p w14:paraId="3BABA4E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Upper limb= 2.3%</w:t>
            </w:r>
          </w:p>
          <w:p w14:paraId="42E2ABCE"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CNS= 24.6%</w:t>
            </w:r>
          </w:p>
          <w:p w14:paraId="0CE5CEE9"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Chest= 1.6%</w:t>
            </w:r>
          </w:p>
        </w:tc>
        <w:tc>
          <w:tcPr>
            <w:tcW w:w="1440" w:type="dxa"/>
            <w:hideMark/>
          </w:tcPr>
          <w:p w14:paraId="673F88A6"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Debridement + one-stage surgical repair (layered suturing)</w:t>
            </w:r>
          </w:p>
        </w:tc>
        <w:tc>
          <w:tcPr>
            <w:tcW w:w="810" w:type="dxa"/>
            <w:hideMark/>
          </w:tcPr>
          <w:p w14:paraId="0B6A3780" w14:textId="77777777" w:rsidR="007A73C9" w:rsidRDefault="007A73C9" w:rsidP="0026501C">
            <w:pPr>
              <w:tabs>
                <w:tab w:val="left" w:pos="1602"/>
                <w:tab w:val="left" w:pos="2142"/>
              </w:tabs>
              <w:ind w:right="244"/>
              <w:rPr>
                <w:rFonts w:ascii="Times New Roman" w:hAnsi="Times New Roman" w:cs="Times New Roman"/>
                <w:sz w:val="20"/>
                <w:szCs w:val="20"/>
              </w:rPr>
            </w:pPr>
            <w:r>
              <w:rPr>
                <w:rFonts w:ascii="Times New Roman" w:hAnsi="Times New Roman" w:cs="Times New Roman"/>
                <w:sz w:val="20"/>
                <w:szCs w:val="20"/>
              </w:rPr>
              <w:t>3/6</w:t>
            </w:r>
          </w:p>
        </w:tc>
      </w:tr>
      <w:tr w:rsidR="007A73C9" w14:paraId="4252AFAA" w14:textId="77777777" w:rsidTr="007A73C9">
        <w:tc>
          <w:tcPr>
            <w:tcW w:w="465" w:type="dxa"/>
            <w:hideMark/>
          </w:tcPr>
          <w:p w14:paraId="1E5D8FC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8</w:t>
            </w:r>
          </w:p>
        </w:tc>
        <w:tc>
          <w:tcPr>
            <w:tcW w:w="1245" w:type="dxa"/>
            <w:hideMark/>
          </w:tcPr>
          <w:p w14:paraId="0661181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Akinbami et al, 2013 (b)</w:t>
            </w:r>
            <w:r w:rsidR="00447D36">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{"citationItems":[{"id":"ITEM-1","itemData":{"DOI":"10.4172/2167-1222.1000178","author":[{"dropping-particle":"","family":"Akinbami","given":"B. O","non-dropping-particle":"","parse-names":false,"suffix":""},{"dropping-particle":"","family":"Udeabor","given":"SE","non-dropping-particle":"","parse-names":false,"suffix":""}],"container-title":"Trauma &amp; Treatment","id":"ITEM-1","issue":"04","issued":{"date-parts":[["2013"]]},"page":"2-4","title":"An Analysis of Maxillofacial Injuries due to Assault from Non Projectile Weapons in Patients Reporting to the Tertiary Care Hospital in Port Harcourt","type":"article-journal","volume":"02"},"uris":["http://www.mendeley.com/documents/?uuid=1228603b-643a-47b8-af91-44967c9d12ce"]}],"mendeley":{"formattedCitation":"&lt;sup&gt;29&lt;/sup&gt;","plainTextFormattedCitation":"29","previouslyFormattedCitation":"&lt;sup&gt;29&lt;/sup&gt;"},"properties":{"noteIndex":0},"schema":"https://github.com/citation-style-language/schema/raw/master/csl-citation.json"}</w:instrText>
            </w:r>
            <w:r w:rsidR="00447D36">
              <w:rPr>
                <w:rFonts w:ascii="Times New Roman" w:hAnsi="Times New Roman" w:cs="Times New Roman"/>
                <w:sz w:val="20"/>
                <w:szCs w:val="20"/>
              </w:rPr>
              <w:fldChar w:fldCharType="separate"/>
            </w:r>
            <w:r w:rsidRPr="005C6B15">
              <w:rPr>
                <w:rFonts w:ascii="Times New Roman" w:hAnsi="Times New Roman" w:cs="Times New Roman"/>
                <w:noProof/>
                <w:sz w:val="20"/>
                <w:szCs w:val="20"/>
                <w:vertAlign w:val="superscript"/>
              </w:rPr>
              <w:t>29</w:t>
            </w:r>
            <w:r w:rsidR="00447D36">
              <w:rPr>
                <w:rFonts w:ascii="Times New Roman" w:hAnsi="Times New Roman" w:cs="Times New Roman"/>
                <w:sz w:val="20"/>
                <w:szCs w:val="20"/>
              </w:rPr>
              <w:fldChar w:fldCharType="end"/>
            </w:r>
          </w:p>
        </w:tc>
        <w:tc>
          <w:tcPr>
            <w:tcW w:w="810" w:type="dxa"/>
            <w:hideMark/>
          </w:tcPr>
          <w:p w14:paraId="55E6D611"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2008-2013</w:t>
            </w:r>
          </w:p>
        </w:tc>
        <w:tc>
          <w:tcPr>
            <w:tcW w:w="639" w:type="dxa"/>
            <w:hideMark/>
          </w:tcPr>
          <w:p w14:paraId="13AF3999"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SS</w:t>
            </w:r>
          </w:p>
        </w:tc>
        <w:tc>
          <w:tcPr>
            <w:tcW w:w="1417" w:type="dxa"/>
            <w:hideMark/>
          </w:tcPr>
          <w:p w14:paraId="444159E1"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Retrospective- descriptive</w:t>
            </w:r>
          </w:p>
        </w:tc>
        <w:tc>
          <w:tcPr>
            <w:tcW w:w="914" w:type="dxa"/>
            <w:hideMark/>
          </w:tcPr>
          <w:p w14:paraId="1A21E88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21</w:t>
            </w:r>
          </w:p>
        </w:tc>
        <w:tc>
          <w:tcPr>
            <w:tcW w:w="810" w:type="dxa"/>
            <w:hideMark/>
          </w:tcPr>
          <w:p w14:paraId="21E24A1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 xml:space="preserve">14 – 55 </w:t>
            </w:r>
          </w:p>
        </w:tc>
        <w:tc>
          <w:tcPr>
            <w:tcW w:w="810" w:type="dxa"/>
            <w:hideMark/>
          </w:tcPr>
          <w:p w14:paraId="01409C3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2:1</w:t>
            </w:r>
          </w:p>
        </w:tc>
        <w:tc>
          <w:tcPr>
            <w:tcW w:w="1530" w:type="dxa"/>
          </w:tcPr>
          <w:p w14:paraId="26B681C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Assaults 100%</w:t>
            </w:r>
          </w:p>
          <w:p w14:paraId="429CF91F" w14:textId="77777777" w:rsidR="007A73C9" w:rsidRDefault="007A73C9" w:rsidP="0026501C">
            <w:pPr>
              <w:rPr>
                <w:rFonts w:ascii="Times New Roman" w:hAnsi="Times New Roman" w:cs="Times New Roman"/>
                <w:sz w:val="20"/>
                <w:szCs w:val="20"/>
              </w:rPr>
            </w:pPr>
          </w:p>
          <w:p w14:paraId="1B0DF31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Fights= 76.2%</w:t>
            </w:r>
          </w:p>
          <w:p w14:paraId="01338CD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Domestic violence= 19%</w:t>
            </w:r>
          </w:p>
          <w:p w14:paraId="31AE61D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Child battering= 4.8%</w:t>
            </w:r>
          </w:p>
        </w:tc>
        <w:tc>
          <w:tcPr>
            <w:tcW w:w="1890" w:type="dxa"/>
            <w:hideMark/>
          </w:tcPr>
          <w:p w14:paraId="09EBE06E"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Frontal= 9.5%</w:t>
            </w:r>
          </w:p>
          <w:p w14:paraId="390D95D8"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Mandible= 9.5%</w:t>
            </w:r>
          </w:p>
          <w:p w14:paraId="593A524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Maxilla= 4.8%</w:t>
            </w:r>
          </w:p>
          <w:p w14:paraId="2D74396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Nasal= 9.6%</w:t>
            </w:r>
          </w:p>
          <w:p w14:paraId="5ECBE23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Orbital= 4.8%</w:t>
            </w:r>
          </w:p>
          <w:p w14:paraId="4EB1323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Soft tissue= 61.9%</w:t>
            </w:r>
          </w:p>
        </w:tc>
        <w:tc>
          <w:tcPr>
            <w:tcW w:w="1350" w:type="dxa"/>
            <w:hideMark/>
          </w:tcPr>
          <w:p w14:paraId="7EE1301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NR</w:t>
            </w:r>
          </w:p>
        </w:tc>
        <w:tc>
          <w:tcPr>
            <w:tcW w:w="1440" w:type="dxa"/>
            <w:hideMark/>
          </w:tcPr>
          <w:p w14:paraId="1FFECBB5"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Conservative therapy for nasal and maxilla</w:t>
            </w:r>
          </w:p>
          <w:p w14:paraId="0CD9A138"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Closed reduction for frontal and orbital</w:t>
            </w:r>
          </w:p>
          <w:p w14:paraId="140A993E"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IMF for mandible</w:t>
            </w:r>
          </w:p>
          <w:p w14:paraId="75A5A65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Suturing for soft tissues</w:t>
            </w:r>
          </w:p>
        </w:tc>
        <w:tc>
          <w:tcPr>
            <w:tcW w:w="810" w:type="dxa"/>
            <w:hideMark/>
          </w:tcPr>
          <w:p w14:paraId="6EEAD74E" w14:textId="77777777" w:rsidR="007A73C9" w:rsidRDefault="007A73C9" w:rsidP="0026501C">
            <w:pPr>
              <w:tabs>
                <w:tab w:val="left" w:pos="1602"/>
                <w:tab w:val="left" w:pos="2142"/>
              </w:tabs>
              <w:ind w:right="244"/>
              <w:rPr>
                <w:rFonts w:ascii="Times New Roman" w:hAnsi="Times New Roman" w:cs="Times New Roman"/>
                <w:sz w:val="20"/>
                <w:szCs w:val="20"/>
              </w:rPr>
            </w:pPr>
            <w:r>
              <w:rPr>
                <w:rFonts w:ascii="Times New Roman" w:hAnsi="Times New Roman" w:cs="Times New Roman"/>
                <w:sz w:val="20"/>
                <w:szCs w:val="20"/>
              </w:rPr>
              <w:t>4/6</w:t>
            </w:r>
          </w:p>
        </w:tc>
      </w:tr>
      <w:tr w:rsidR="007A73C9" w14:paraId="3D768A15" w14:textId="77777777" w:rsidTr="007A73C9">
        <w:tc>
          <w:tcPr>
            <w:tcW w:w="465" w:type="dxa"/>
          </w:tcPr>
          <w:p w14:paraId="7929EEF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lastRenderedPageBreak/>
              <w:t>9</w:t>
            </w:r>
          </w:p>
        </w:tc>
        <w:tc>
          <w:tcPr>
            <w:tcW w:w="1245" w:type="dxa"/>
          </w:tcPr>
          <w:p w14:paraId="58C23EC5"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Aladelusi et al, 2014</w:t>
            </w:r>
            <w:r w:rsidR="00447D36">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{"citationItems":[{"id":"ITEM-1","itemData":{"ISSN":"03093913","PMID":"26234124","abstract":"UNLABELLED: Background: Walking is the most basic form of mobility and forms an important part of daily activities; however, walking could often be associated with risks. This is more so when pedestrians share a common space with motorized vehicles especially in developing countries. Despite the frequency of road traffic crashes (RTC) related pedestrian injuries in many developing countries, there is a dearth of documentation of maxillofacial injuries in victims of pedestrian road traffic crashes. The aim of this study was to determine the causes, frequency, pattern, severity, concomitant injuries and outcome of pedestrian maxillofacial injuries observed at a tertiary trauma centre in Nigeria.\nMETHOD: Pedestrian victims of RTC were prospectively recruited from among all maxillofacial trauma patients seen at the Accident and Emergency department and the Department of Oral and Maxillofacial Surgery of the University College Hospital, Ibadan between April 2011 and November 2011. Ethical approval was obtained from the UI/UCH Joint Ethics Review Board before the commencement of the study and informed consent was obtained from participants. Patients' demography, the crash events, types of maxillofacial injuries, and concomitant injuries were recorded. Severity of maxillofacial injury was estimated based on the Maxillofacial Injury Severity Scale (MFISS).\nRESULTS: Forty-six participants (22.9% of all victims of road traffic crashes seen within the study period) were victims of pedestrian RTC. Pedestrian RTC occurred in all age groups with almost 40% of the victims in their 1st and 2nd decades of life. The most severe MFISS was observed in the 21 - 30 year age group while the least severe injury observed was in the 71 - 80 years age group. Thirty participants (65.2%) were hit by a car or minibus while fourteen (30.4%) were knocked down by a motorcycle. Two (4.4%) were hit by a truck. Soft tissue injury was the most common maxillofacial injury and head injury was the commonest concomitant injury observed. The median MFISS score of victims of motorcycle was 4.0 while the median scores for victims of car/minibus pedestrian RTC was 9.0. The most severe maxillofacial injury was seen in victim of car/minibus pedestrian crashes. Seventeen percent (8) of the victims had a fatal outcome. Conclusion: Pedestrian RTC resulting in maxillofacial injuries are common in the studied environment. It is particularly common among the 11 -20 year age group and victims are usually h…","author":[{"dropping-particle":"","family":"Aladelusi","given":"T. O.","non-dropping-particle":"","parse-names":false,"suffix":""},{"dropping-particle":"V.","family":"Akinmoladun","given":"I.","non-dropping-particle":"","parse-names":false,"suffix":""},{"dropping-particle":"","family":"Olusanya","given":"O. O.","non-dropping-particle":"","parse-names":false,"suffix":""},{"dropping-particle":"","family":"Akadiri","given":"O. A.","non-dropping-particle":"","parse-names":false,"suffix":""},{"dropping-particle":"","family":"Fasola","given":"A. O.","non-dropping-particle":"","parse-names":false,"suffix":""}],"container-title":"African journal of medicine and medical sciences","id":"ITEM-1","issue":"4","issued":{"date-parts":[["2014"]]},"page":"353-359","title":"Evaluation of pedestrian road traffic maxillofacial injuries in a Nigerian tertiary hospital","type":"article-journal","volume":"43"},"uris":["http://www.mendeley.com/documents/?uuid=a30be7f1-6465-4d93-af88-f49d30f36998"]}],"mendeley":{"formattedCitation":"&lt;sup&gt;17&lt;/sup&gt;","plainTextFormattedCitation":"17","previouslyFormattedCitation":"&lt;sup&gt;17&lt;/sup&gt;"},"properties":{"noteIndex":0},"schema":"https://github.com/citation-style-language/schema/raw/master/csl-citation.json"}</w:instrText>
            </w:r>
            <w:r w:rsidR="00447D36">
              <w:rPr>
                <w:rFonts w:ascii="Times New Roman" w:hAnsi="Times New Roman" w:cs="Times New Roman"/>
                <w:sz w:val="20"/>
                <w:szCs w:val="20"/>
              </w:rPr>
              <w:fldChar w:fldCharType="separate"/>
            </w:r>
            <w:r w:rsidRPr="005C6B15">
              <w:rPr>
                <w:rFonts w:ascii="Times New Roman" w:hAnsi="Times New Roman" w:cs="Times New Roman"/>
                <w:noProof/>
                <w:sz w:val="20"/>
                <w:szCs w:val="20"/>
                <w:vertAlign w:val="superscript"/>
              </w:rPr>
              <w:t>17</w:t>
            </w:r>
            <w:r w:rsidR="00447D36">
              <w:rPr>
                <w:rFonts w:ascii="Times New Roman" w:hAnsi="Times New Roman" w:cs="Times New Roman"/>
                <w:sz w:val="20"/>
                <w:szCs w:val="20"/>
              </w:rPr>
              <w:fldChar w:fldCharType="end"/>
            </w:r>
          </w:p>
        </w:tc>
        <w:tc>
          <w:tcPr>
            <w:tcW w:w="810" w:type="dxa"/>
          </w:tcPr>
          <w:p w14:paraId="2EEEE3E9"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2011</w:t>
            </w:r>
          </w:p>
        </w:tc>
        <w:tc>
          <w:tcPr>
            <w:tcW w:w="639" w:type="dxa"/>
          </w:tcPr>
          <w:p w14:paraId="1DAA1B0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SW</w:t>
            </w:r>
          </w:p>
        </w:tc>
        <w:tc>
          <w:tcPr>
            <w:tcW w:w="1417" w:type="dxa"/>
          </w:tcPr>
          <w:p w14:paraId="21DC2DB8"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Prospective-descriptive</w:t>
            </w:r>
          </w:p>
        </w:tc>
        <w:tc>
          <w:tcPr>
            <w:tcW w:w="914" w:type="dxa"/>
          </w:tcPr>
          <w:p w14:paraId="16D2B29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46</w:t>
            </w:r>
          </w:p>
        </w:tc>
        <w:tc>
          <w:tcPr>
            <w:tcW w:w="810" w:type="dxa"/>
          </w:tcPr>
          <w:p w14:paraId="2C199D3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1</w:t>
            </w:r>
            <w:r w:rsidRPr="007A61D7">
              <w:rPr>
                <w:rFonts w:ascii="Times New Roman" w:hAnsi="Times New Roman" w:cs="Times New Roman"/>
                <w:sz w:val="20"/>
                <w:szCs w:val="20"/>
                <w:vertAlign w:val="superscript"/>
              </w:rPr>
              <w:t>st</w:t>
            </w:r>
            <w:r>
              <w:rPr>
                <w:rFonts w:ascii="Times New Roman" w:hAnsi="Times New Roman" w:cs="Times New Roman"/>
                <w:sz w:val="20"/>
                <w:szCs w:val="20"/>
              </w:rPr>
              <w:t xml:space="preserve"> decade to 8</w:t>
            </w:r>
            <w:r w:rsidRPr="007A61D7">
              <w:rPr>
                <w:rFonts w:ascii="Times New Roman" w:hAnsi="Times New Roman" w:cs="Times New Roman"/>
                <w:sz w:val="20"/>
                <w:szCs w:val="20"/>
                <w:vertAlign w:val="superscript"/>
              </w:rPr>
              <w:t>th</w:t>
            </w:r>
            <w:r>
              <w:rPr>
                <w:rFonts w:ascii="Times New Roman" w:hAnsi="Times New Roman" w:cs="Times New Roman"/>
                <w:sz w:val="20"/>
                <w:szCs w:val="20"/>
              </w:rPr>
              <w:t>decade</w:t>
            </w:r>
          </w:p>
        </w:tc>
        <w:tc>
          <w:tcPr>
            <w:tcW w:w="810" w:type="dxa"/>
          </w:tcPr>
          <w:p w14:paraId="6DB17C28"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1.09:1</w:t>
            </w:r>
          </w:p>
        </w:tc>
        <w:tc>
          <w:tcPr>
            <w:tcW w:w="1530" w:type="dxa"/>
          </w:tcPr>
          <w:p w14:paraId="4CF4EC5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Pedestrian RTC=100%</w:t>
            </w:r>
          </w:p>
        </w:tc>
        <w:tc>
          <w:tcPr>
            <w:tcW w:w="1890" w:type="dxa"/>
          </w:tcPr>
          <w:p w14:paraId="6B1A948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Mandible=17.4%</w:t>
            </w:r>
          </w:p>
          <w:p w14:paraId="75C1B6BE"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Midface=21.7%</w:t>
            </w:r>
          </w:p>
          <w:p w14:paraId="238C88D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Combination=10.9%</w:t>
            </w:r>
          </w:p>
          <w:p w14:paraId="616A76A5"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Soft tissue=50%</w:t>
            </w:r>
          </w:p>
        </w:tc>
        <w:tc>
          <w:tcPr>
            <w:tcW w:w="1350" w:type="dxa"/>
          </w:tcPr>
          <w:p w14:paraId="4C56904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CNS=26.1%</w:t>
            </w:r>
          </w:p>
          <w:p w14:paraId="2FE9C2B2"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Abdominal=4.3%</w:t>
            </w:r>
          </w:p>
          <w:p w14:paraId="35DEE468"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Limbs=6.5%</w:t>
            </w:r>
          </w:p>
        </w:tc>
        <w:tc>
          <w:tcPr>
            <w:tcW w:w="1440" w:type="dxa"/>
          </w:tcPr>
          <w:p w14:paraId="42ED3708"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NR</w:t>
            </w:r>
          </w:p>
        </w:tc>
        <w:tc>
          <w:tcPr>
            <w:tcW w:w="810" w:type="dxa"/>
          </w:tcPr>
          <w:p w14:paraId="2165122A" w14:textId="77777777" w:rsidR="007A73C9" w:rsidRDefault="007A73C9" w:rsidP="0026501C">
            <w:pPr>
              <w:tabs>
                <w:tab w:val="left" w:pos="1602"/>
                <w:tab w:val="left" w:pos="2142"/>
              </w:tabs>
              <w:ind w:right="244"/>
              <w:rPr>
                <w:rFonts w:ascii="Times New Roman" w:hAnsi="Times New Roman" w:cs="Times New Roman"/>
                <w:sz w:val="20"/>
                <w:szCs w:val="20"/>
              </w:rPr>
            </w:pPr>
            <w:r>
              <w:rPr>
                <w:rFonts w:ascii="Times New Roman" w:hAnsi="Times New Roman" w:cs="Times New Roman"/>
                <w:sz w:val="20"/>
                <w:szCs w:val="20"/>
              </w:rPr>
              <w:t>3/6</w:t>
            </w:r>
          </w:p>
        </w:tc>
      </w:tr>
      <w:tr w:rsidR="007A73C9" w14:paraId="52FDD16E" w14:textId="77777777" w:rsidTr="007A73C9">
        <w:tc>
          <w:tcPr>
            <w:tcW w:w="465" w:type="dxa"/>
            <w:hideMark/>
          </w:tcPr>
          <w:p w14:paraId="079C23A5"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10</w:t>
            </w:r>
          </w:p>
        </w:tc>
        <w:tc>
          <w:tcPr>
            <w:tcW w:w="1245" w:type="dxa"/>
            <w:hideMark/>
          </w:tcPr>
          <w:p w14:paraId="0C102685"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Amole et al, 2017</w:t>
            </w:r>
            <w:r w:rsidR="00447D36">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{"citationItems":[{"id":"ITEM-1","itemData":{"DOI":"10.1055/s-0037-1601341","ISSN":"1943-3875 (Print)","PMID":"28523086","abstract":"This study analyzed the prevalence, clinical characteristics, and management of  civilian-type craniomaxillofacial gunshot wounds (CGSWs) seen over a 14-year period in a Northern Nigerian teaching hospital. A retrospective study of all hospital records relating to CGSWs from January 2000 to December 2013 was conducted to determine the prevalence of CGSWs. Information retrieved included site of injury, type of projectile, management protocol, as well as duration of hospitalization. A total of 46 admissions for CGSWs were recorded during the period under review from a total of 2,228 maxillofacial admissions. This gave a prevalence of 2.1% for CGSWs (95% confidence interval = 1.56-2.81). Sex distribution was 14.3:1 (M:F) with overall mean age of 32.9 ± 8.4 years. Average length of hospitalization was 17.7 (±15.56) days. Management of CGSWs consisted of emergency care, preliminary intervention, definitive reconstruction, revisions, and rehabilitation. Conclusively, analysis of the yearly incidence of CGSWs showed that the incidence and severity increased within the past 2 years under review (18 cases, 39.13%; χ(2) trend = 7.7, p = 0.006). This period was noted to correspond with heightened violence within the region mostly due to the acts of unknown gunmen and insurgents.","author":[{"dropping-particle":"","family":"Amole","given":"Olushola","non-dropping-particle":"","parse-names":false,"suffix":""},{"dropping-particle":"","family":"Osunde","given":"Otasowie","non-dropping-particle":"","parse-names":false,"suffix":""},{"dropping-particle":"","family":"Akhiwu","given":"Benjamin","non-dropping-particle":"","parse-names":false,"suffix":""},{"dropping-particle":"","family":"Efunkoya","given":"Akinwale","non-dropping-particle":"","parse-names":false,"suffix":""},{"dropping-particle":"","family":"Omeje","given":"Kelvin","non-dropping-particle":"","parse-names":false,"suffix":""},{"dropping-particle":"","family":"Amole","given":"Taiwo","non-dropping-particle":"","parse-names":false,"suffix":""},{"dropping-particle":"","family":"Iliyasu","given":"Zubairu","non-dropping-particle":"","parse-names":false,"suffix":""}],"container-title":"Craniomaxillofacial trauma &amp; reconstruction","id":"ITEM-1","issue":"2","issued":{"date-parts":[["2017","6"]]},"language":"eng","page":"130-137","title":"A 14-Year Review of Craniomaxillofacial Gunshot Wounds in a Resource-Limited  Setting.","type":"article-journal","volume":"10"},"uris":["http://www.mendeley.com/documents/?uuid=40836fdb-0a09-4005-882a-666f9d639e71"]}],"mendeley":{"formattedCitation":"&lt;sup&gt;38&lt;/sup&gt;","plainTextFormattedCitation":"38","previouslyFormattedCitation":"&lt;sup&gt;38&lt;/sup&gt;"},"properties":{"noteIndex":0},"schema":"https://github.com/citation-style-language/schema/raw/master/csl-citation.json"}</w:instrText>
            </w:r>
            <w:r w:rsidR="00447D36">
              <w:rPr>
                <w:rFonts w:ascii="Times New Roman" w:hAnsi="Times New Roman" w:cs="Times New Roman"/>
                <w:sz w:val="20"/>
                <w:szCs w:val="20"/>
              </w:rPr>
              <w:fldChar w:fldCharType="separate"/>
            </w:r>
            <w:r w:rsidRPr="005C6B15">
              <w:rPr>
                <w:rFonts w:ascii="Times New Roman" w:hAnsi="Times New Roman" w:cs="Times New Roman"/>
                <w:noProof/>
                <w:sz w:val="20"/>
                <w:szCs w:val="20"/>
                <w:vertAlign w:val="superscript"/>
              </w:rPr>
              <w:t>38</w:t>
            </w:r>
            <w:r w:rsidR="00447D36">
              <w:rPr>
                <w:rFonts w:ascii="Times New Roman" w:hAnsi="Times New Roman" w:cs="Times New Roman"/>
                <w:sz w:val="20"/>
                <w:szCs w:val="20"/>
              </w:rPr>
              <w:fldChar w:fldCharType="end"/>
            </w:r>
          </w:p>
        </w:tc>
        <w:tc>
          <w:tcPr>
            <w:tcW w:w="810" w:type="dxa"/>
            <w:hideMark/>
          </w:tcPr>
          <w:p w14:paraId="62A26AE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2000-2013</w:t>
            </w:r>
          </w:p>
        </w:tc>
        <w:tc>
          <w:tcPr>
            <w:tcW w:w="639" w:type="dxa"/>
            <w:hideMark/>
          </w:tcPr>
          <w:p w14:paraId="0BECB8D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NW</w:t>
            </w:r>
          </w:p>
        </w:tc>
        <w:tc>
          <w:tcPr>
            <w:tcW w:w="1417" w:type="dxa"/>
            <w:hideMark/>
          </w:tcPr>
          <w:p w14:paraId="137B4F5F"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Retrospective-descriptive</w:t>
            </w:r>
          </w:p>
        </w:tc>
        <w:tc>
          <w:tcPr>
            <w:tcW w:w="914" w:type="dxa"/>
            <w:hideMark/>
          </w:tcPr>
          <w:p w14:paraId="7CA0A562"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46</w:t>
            </w:r>
          </w:p>
        </w:tc>
        <w:tc>
          <w:tcPr>
            <w:tcW w:w="810" w:type="dxa"/>
            <w:hideMark/>
          </w:tcPr>
          <w:p w14:paraId="39F59172"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 xml:space="preserve">17 – 54 </w:t>
            </w:r>
          </w:p>
        </w:tc>
        <w:tc>
          <w:tcPr>
            <w:tcW w:w="810" w:type="dxa"/>
            <w:hideMark/>
          </w:tcPr>
          <w:p w14:paraId="1CD98B2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6.7: 1</w:t>
            </w:r>
          </w:p>
        </w:tc>
        <w:tc>
          <w:tcPr>
            <w:tcW w:w="1530" w:type="dxa"/>
            <w:hideMark/>
          </w:tcPr>
          <w:p w14:paraId="60BCD8C5"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Assault (gunshot injury)= 100%</w:t>
            </w:r>
          </w:p>
        </w:tc>
        <w:tc>
          <w:tcPr>
            <w:tcW w:w="1890" w:type="dxa"/>
            <w:hideMark/>
          </w:tcPr>
          <w:p w14:paraId="47D4E9D6"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Mandible= 52.2%</w:t>
            </w:r>
          </w:p>
          <w:p w14:paraId="4E1BA2A3"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Maxilla= 10.9%</w:t>
            </w:r>
          </w:p>
          <w:p w14:paraId="153B36A3"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Combination= 13%</w:t>
            </w:r>
          </w:p>
          <w:p w14:paraId="1BABC28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Soft tissue (alone + combined)= 65.2%</w:t>
            </w:r>
          </w:p>
        </w:tc>
        <w:tc>
          <w:tcPr>
            <w:tcW w:w="1350" w:type="dxa"/>
            <w:hideMark/>
          </w:tcPr>
          <w:p w14:paraId="2751F761"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Upper limb= 6.5%</w:t>
            </w:r>
          </w:p>
          <w:p w14:paraId="0E8C0B46"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Lower limb= 2.1%</w:t>
            </w:r>
          </w:p>
          <w:p w14:paraId="2D993766"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CNS= 6.5%</w:t>
            </w:r>
          </w:p>
        </w:tc>
        <w:tc>
          <w:tcPr>
            <w:tcW w:w="1440" w:type="dxa"/>
            <w:hideMark/>
          </w:tcPr>
          <w:p w14:paraId="69EF1C05"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ORIF= 2.1%</w:t>
            </w:r>
          </w:p>
          <w:p w14:paraId="1512CF19"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Bone graft= 30.4%</w:t>
            </w:r>
          </w:p>
          <w:p w14:paraId="0D9FBF69"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Flap repair= 60.9%</w:t>
            </w:r>
          </w:p>
        </w:tc>
        <w:tc>
          <w:tcPr>
            <w:tcW w:w="810" w:type="dxa"/>
            <w:hideMark/>
          </w:tcPr>
          <w:p w14:paraId="447EE401" w14:textId="77777777" w:rsidR="007A73C9" w:rsidRDefault="007A73C9" w:rsidP="0026501C">
            <w:pPr>
              <w:tabs>
                <w:tab w:val="left" w:pos="1602"/>
                <w:tab w:val="left" w:pos="2142"/>
              </w:tabs>
              <w:ind w:right="244"/>
              <w:rPr>
                <w:rFonts w:ascii="Times New Roman" w:hAnsi="Times New Roman" w:cs="Times New Roman"/>
                <w:sz w:val="20"/>
                <w:szCs w:val="20"/>
              </w:rPr>
            </w:pPr>
            <w:r>
              <w:rPr>
                <w:rFonts w:ascii="Times New Roman" w:hAnsi="Times New Roman" w:cs="Times New Roman"/>
                <w:sz w:val="20"/>
                <w:szCs w:val="20"/>
              </w:rPr>
              <w:t>3/6</w:t>
            </w:r>
          </w:p>
        </w:tc>
      </w:tr>
      <w:tr w:rsidR="007A73C9" w14:paraId="75697860" w14:textId="77777777" w:rsidTr="007A73C9">
        <w:tc>
          <w:tcPr>
            <w:tcW w:w="465" w:type="dxa"/>
            <w:hideMark/>
          </w:tcPr>
          <w:p w14:paraId="6E584558"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11</w:t>
            </w:r>
          </w:p>
        </w:tc>
        <w:tc>
          <w:tcPr>
            <w:tcW w:w="1245" w:type="dxa"/>
            <w:hideMark/>
          </w:tcPr>
          <w:p w14:paraId="4B693FBF"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Anyanechi et al, 2010</w:t>
            </w:r>
            <w:r w:rsidR="00447D36">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{"citationItems":[{"id":"ITEM-1","itemData":{"DOI":"10.4314/gmj.v44i4.68909","ISSN":"0016-9560 (Print)","PMID":"21416050","abstract":"BACKGROUND: The purpose of this study was to analyze the pattern of mandibular  fractures associated with domestic violence. METHODS: This prospective study was carried out at the University of Calabar Teaching Hospital (UCTH) in the Accident and Emergency Centre and Dental and Maxillofacial Clinic between the calendar years of 2005 and 2008 (four years). Only consecutive Dental and Maxillofacial injury cases that sustained mandibular fracture by domestic violence were included in the data collection. RESULTS: The ages of patients ranged from 15-42 years with a mean of 30±3.2 years. Majority of the patients were in the second, third and fourth decades of life. There were 52(71.2%) males and 21(28.8%) females with a male- to- female ratio of 2.5:1. There was significant association between social class and type of fracture sustained (χ2 = 14.0, p= 0.0073). Patients in the lower social class were more likely to sustain multiple fractures. The mechanisms of injury were by punching with the fist 41(56.2%), use of weapons 27(37.0%) and kicking with legs 5(6.8%). Majority of the fractures occurred at the angle, 52(31.3%) and condyles, 45(27.1%). All the patients were treated by closed reduction technique. The complications recorded were delayed union, 5(38.4%), infection, 3(23.1%), paraesthesia / anaesthesia of the lower lip, 3(23.1%) and malunion, 2(15.4%). CONCLUSION: Mandibular fractures due to domestic violence do occur and constitute part of the cases to be encountered by the practising oral and maxillofacial surgeon who should be cognizant to its surgical and social implication.","author":[{"dropping-particle":"","family":"Anyanechi","given":"C E","non-dropping-particle":"","parse-names":false,"suffix":""}],"container-title":"Ghana medical journal","id":"ITEM-1","issue":"4","issued":{"date-parts":[["2010","12"]]},"language":"eng","page":"155-158","title":"Mandibular fractures associated with domestic violence in calabar, Nigeria.","type":"article-journal","volume":"44"},"uris":["http://www.mendeley.com/documents/?uuid=ea1a46f0-ec03-4f2d-8b81-7d710d842040"]}],"mendeley":{"formattedCitation":"&lt;sup&gt;30&lt;/sup&gt;","plainTextFormattedCitation":"30","previouslyFormattedCitation":"&lt;sup&gt;30&lt;/sup&gt;"},"properties":{"noteIndex":0},"schema":"https://github.com/citation-style-language/schema/raw/master/csl-citation.json"}</w:instrText>
            </w:r>
            <w:r w:rsidR="00447D36">
              <w:rPr>
                <w:rFonts w:ascii="Times New Roman" w:hAnsi="Times New Roman" w:cs="Times New Roman"/>
                <w:sz w:val="20"/>
                <w:szCs w:val="20"/>
              </w:rPr>
              <w:fldChar w:fldCharType="separate"/>
            </w:r>
            <w:r w:rsidRPr="005C6B15">
              <w:rPr>
                <w:rFonts w:ascii="Times New Roman" w:hAnsi="Times New Roman" w:cs="Times New Roman"/>
                <w:noProof/>
                <w:sz w:val="20"/>
                <w:szCs w:val="20"/>
                <w:vertAlign w:val="superscript"/>
              </w:rPr>
              <w:t>30</w:t>
            </w:r>
            <w:r w:rsidR="00447D36">
              <w:rPr>
                <w:rFonts w:ascii="Times New Roman" w:hAnsi="Times New Roman" w:cs="Times New Roman"/>
                <w:sz w:val="20"/>
                <w:szCs w:val="20"/>
              </w:rPr>
              <w:fldChar w:fldCharType="end"/>
            </w:r>
          </w:p>
        </w:tc>
        <w:tc>
          <w:tcPr>
            <w:tcW w:w="810" w:type="dxa"/>
            <w:hideMark/>
          </w:tcPr>
          <w:p w14:paraId="1FBF691E"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2005-2008</w:t>
            </w:r>
          </w:p>
        </w:tc>
        <w:tc>
          <w:tcPr>
            <w:tcW w:w="639" w:type="dxa"/>
            <w:hideMark/>
          </w:tcPr>
          <w:p w14:paraId="0D30588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SS</w:t>
            </w:r>
          </w:p>
        </w:tc>
        <w:tc>
          <w:tcPr>
            <w:tcW w:w="1417" w:type="dxa"/>
            <w:hideMark/>
          </w:tcPr>
          <w:p w14:paraId="12BFED9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Prospective-descriptive</w:t>
            </w:r>
          </w:p>
        </w:tc>
        <w:tc>
          <w:tcPr>
            <w:tcW w:w="914" w:type="dxa"/>
            <w:hideMark/>
          </w:tcPr>
          <w:p w14:paraId="680B3B9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73</w:t>
            </w:r>
          </w:p>
        </w:tc>
        <w:tc>
          <w:tcPr>
            <w:tcW w:w="810" w:type="dxa"/>
            <w:hideMark/>
          </w:tcPr>
          <w:p w14:paraId="11FAA385"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 xml:space="preserve">15 – 42 </w:t>
            </w:r>
          </w:p>
        </w:tc>
        <w:tc>
          <w:tcPr>
            <w:tcW w:w="810" w:type="dxa"/>
            <w:hideMark/>
          </w:tcPr>
          <w:p w14:paraId="575FE29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2.5:1</w:t>
            </w:r>
          </w:p>
        </w:tc>
        <w:tc>
          <w:tcPr>
            <w:tcW w:w="1530" w:type="dxa"/>
            <w:hideMark/>
          </w:tcPr>
          <w:p w14:paraId="1485447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Assault (domestic violence) = 100%</w:t>
            </w:r>
          </w:p>
        </w:tc>
        <w:tc>
          <w:tcPr>
            <w:tcW w:w="1890" w:type="dxa"/>
            <w:hideMark/>
          </w:tcPr>
          <w:p w14:paraId="57A0D2F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Mandible= 100%</w:t>
            </w:r>
          </w:p>
        </w:tc>
        <w:tc>
          <w:tcPr>
            <w:tcW w:w="1350" w:type="dxa"/>
            <w:hideMark/>
          </w:tcPr>
          <w:p w14:paraId="4FC91A2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NR</w:t>
            </w:r>
          </w:p>
        </w:tc>
        <w:tc>
          <w:tcPr>
            <w:tcW w:w="1440" w:type="dxa"/>
            <w:hideMark/>
          </w:tcPr>
          <w:p w14:paraId="70FC2EC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IMF= 100%</w:t>
            </w:r>
          </w:p>
        </w:tc>
        <w:tc>
          <w:tcPr>
            <w:tcW w:w="810" w:type="dxa"/>
            <w:hideMark/>
          </w:tcPr>
          <w:p w14:paraId="159AF9AF" w14:textId="77777777" w:rsidR="007A73C9" w:rsidRDefault="007A73C9" w:rsidP="0026501C">
            <w:pPr>
              <w:tabs>
                <w:tab w:val="left" w:pos="1602"/>
                <w:tab w:val="left" w:pos="2142"/>
              </w:tabs>
              <w:ind w:right="244"/>
              <w:rPr>
                <w:rFonts w:ascii="Times New Roman" w:hAnsi="Times New Roman" w:cs="Times New Roman"/>
                <w:sz w:val="20"/>
                <w:szCs w:val="20"/>
              </w:rPr>
            </w:pPr>
            <w:r>
              <w:rPr>
                <w:rFonts w:ascii="Times New Roman" w:hAnsi="Times New Roman" w:cs="Times New Roman"/>
                <w:sz w:val="20"/>
                <w:szCs w:val="20"/>
              </w:rPr>
              <w:t>3/6</w:t>
            </w:r>
          </w:p>
        </w:tc>
      </w:tr>
      <w:tr w:rsidR="007A73C9" w14:paraId="6BFCE9C1" w14:textId="77777777" w:rsidTr="007A73C9">
        <w:tc>
          <w:tcPr>
            <w:tcW w:w="465" w:type="dxa"/>
            <w:hideMark/>
          </w:tcPr>
          <w:p w14:paraId="6A3BF7D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12</w:t>
            </w:r>
          </w:p>
        </w:tc>
        <w:tc>
          <w:tcPr>
            <w:tcW w:w="1245" w:type="dxa"/>
            <w:hideMark/>
          </w:tcPr>
          <w:p w14:paraId="19A0658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Anyanechi et al, 2011</w:t>
            </w:r>
            <w:r w:rsidR="00447D36">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{"citationItems":[{"id":"ITEM-1","itemData":{"author":[{"dropping-particle":"","family":"Anyanechi","given":"C. E.","non-dropping-particle":"","parse-names":false,"suffix":""},{"dropping-particle":"","family":"Saheeb","given":"B. D.","non-dropping-particle":"","parse-names":false,"suffix":""}],"container-title":"Ghana medical journal","id":"ITEM-1","issue":"3","issued":{"date-parts":[["2011"]]},"page":"111 - 114","title":"Mandibular sites prone to fracture: Analysis of 174 cases in a Nigerian tertiary hospital","type":"article-journal","volume":"45"},"uris":["http://www.mendeley.com/documents/?uuid=46d5d54c-e796-4972-9c4b-3a46469e03b6"]}],"mendeley":{"formattedCitation":"&lt;sup&gt;31&lt;/sup&gt;","plainTextFormattedCitation":"31","previouslyFormattedCitation":"&lt;sup&gt;31&lt;/sup&gt;"},"properties":{"noteIndex":0},"schema":"https://github.com/citation-style-language/schema/raw/master/csl-citation.json"}</w:instrText>
            </w:r>
            <w:r w:rsidR="00447D36">
              <w:rPr>
                <w:rFonts w:ascii="Times New Roman" w:hAnsi="Times New Roman" w:cs="Times New Roman"/>
                <w:sz w:val="20"/>
                <w:szCs w:val="20"/>
              </w:rPr>
              <w:fldChar w:fldCharType="separate"/>
            </w:r>
            <w:r w:rsidRPr="005C6B15">
              <w:rPr>
                <w:rFonts w:ascii="Times New Roman" w:hAnsi="Times New Roman" w:cs="Times New Roman"/>
                <w:noProof/>
                <w:sz w:val="20"/>
                <w:szCs w:val="20"/>
                <w:vertAlign w:val="superscript"/>
              </w:rPr>
              <w:t>31</w:t>
            </w:r>
            <w:r w:rsidR="00447D36">
              <w:rPr>
                <w:rFonts w:ascii="Times New Roman" w:hAnsi="Times New Roman" w:cs="Times New Roman"/>
                <w:sz w:val="20"/>
                <w:szCs w:val="20"/>
              </w:rPr>
              <w:fldChar w:fldCharType="end"/>
            </w:r>
          </w:p>
        </w:tc>
        <w:tc>
          <w:tcPr>
            <w:tcW w:w="810" w:type="dxa"/>
            <w:hideMark/>
          </w:tcPr>
          <w:p w14:paraId="3962AA4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2007-2008</w:t>
            </w:r>
          </w:p>
        </w:tc>
        <w:tc>
          <w:tcPr>
            <w:tcW w:w="639" w:type="dxa"/>
            <w:hideMark/>
          </w:tcPr>
          <w:p w14:paraId="192B4A46"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SS</w:t>
            </w:r>
          </w:p>
        </w:tc>
        <w:tc>
          <w:tcPr>
            <w:tcW w:w="1417" w:type="dxa"/>
            <w:hideMark/>
          </w:tcPr>
          <w:p w14:paraId="2CCD2929"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Prospective-descriptive</w:t>
            </w:r>
          </w:p>
        </w:tc>
        <w:tc>
          <w:tcPr>
            <w:tcW w:w="914" w:type="dxa"/>
            <w:hideMark/>
          </w:tcPr>
          <w:p w14:paraId="55B0D98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174</w:t>
            </w:r>
          </w:p>
        </w:tc>
        <w:tc>
          <w:tcPr>
            <w:tcW w:w="810" w:type="dxa"/>
            <w:hideMark/>
          </w:tcPr>
          <w:p w14:paraId="7C96868E"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 xml:space="preserve">6 – 70 </w:t>
            </w:r>
          </w:p>
        </w:tc>
        <w:tc>
          <w:tcPr>
            <w:tcW w:w="810" w:type="dxa"/>
            <w:hideMark/>
          </w:tcPr>
          <w:p w14:paraId="35B4E65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4.4:1</w:t>
            </w:r>
          </w:p>
        </w:tc>
        <w:tc>
          <w:tcPr>
            <w:tcW w:w="1530" w:type="dxa"/>
            <w:hideMark/>
          </w:tcPr>
          <w:p w14:paraId="77F5F2C5"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RTC= 79.9%</w:t>
            </w:r>
          </w:p>
          <w:p w14:paraId="316F54DF"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(MCC= 36.2%)</w:t>
            </w:r>
          </w:p>
          <w:p w14:paraId="1717B8A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Assault= 13.5%</w:t>
            </w:r>
          </w:p>
          <w:p w14:paraId="041440CE"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Sports= 4.6%</w:t>
            </w:r>
          </w:p>
          <w:p w14:paraId="1806D9A8"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Falls= 1.7%</w:t>
            </w:r>
          </w:p>
          <w:p w14:paraId="59D8CC0F"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Occupational injury= 0.6%</w:t>
            </w:r>
          </w:p>
        </w:tc>
        <w:tc>
          <w:tcPr>
            <w:tcW w:w="1890" w:type="dxa"/>
            <w:hideMark/>
          </w:tcPr>
          <w:p w14:paraId="6D1946F8"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Mandible= 100%</w:t>
            </w:r>
          </w:p>
        </w:tc>
        <w:tc>
          <w:tcPr>
            <w:tcW w:w="1350" w:type="dxa"/>
            <w:hideMark/>
          </w:tcPr>
          <w:p w14:paraId="7DC48B08"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NR</w:t>
            </w:r>
          </w:p>
        </w:tc>
        <w:tc>
          <w:tcPr>
            <w:tcW w:w="1440" w:type="dxa"/>
            <w:hideMark/>
          </w:tcPr>
          <w:p w14:paraId="7816A452"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Conservative= 14.4%</w:t>
            </w:r>
          </w:p>
          <w:p w14:paraId="17AAC5B8"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IMF= 81%</w:t>
            </w:r>
          </w:p>
          <w:p w14:paraId="0D6FD4E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ORIF= 4.6%</w:t>
            </w:r>
          </w:p>
        </w:tc>
        <w:tc>
          <w:tcPr>
            <w:tcW w:w="810" w:type="dxa"/>
            <w:hideMark/>
          </w:tcPr>
          <w:p w14:paraId="16483A9A" w14:textId="77777777" w:rsidR="007A73C9" w:rsidRDefault="007A73C9" w:rsidP="0026501C">
            <w:pPr>
              <w:tabs>
                <w:tab w:val="left" w:pos="1602"/>
                <w:tab w:val="left" w:pos="2142"/>
              </w:tabs>
              <w:ind w:right="244"/>
              <w:rPr>
                <w:rFonts w:ascii="Times New Roman" w:hAnsi="Times New Roman" w:cs="Times New Roman"/>
                <w:sz w:val="20"/>
                <w:szCs w:val="20"/>
              </w:rPr>
            </w:pPr>
            <w:r>
              <w:rPr>
                <w:rFonts w:ascii="Times New Roman" w:hAnsi="Times New Roman" w:cs="Times New Roman"/>
                <w:sz w:val="20"/>
                <w:szCs w:val="20"/>
              </w:rPr>
              <w:t>3/6</w:t>
            </w:r>
          </w:p>
        </w:tc>
      </w:tr>
      <w:tr w:rsidR="007A73C9" w14:paraId="0C73772E" w14:textId="77777777" w:rsidTr="007A73C9">
        <w:tc>
          <w:tcPr>
            <w:tcW w:w="465" w:type="dxa"/>
            <w:hideMark/>
          </w:tcPr>
          <w:p w14:paraId="60A079B6"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13</w:t>
            </w:r>
          </w:p>
        </w:tc>
        <w:tc>
          <w:tcPr>
            <w:tcW w:w="1245" w:type="dxa"/>
            <w:hideMark/>
          </w:tcPr>
          <w:p w14:paraId="076A2AD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Anyanechi et al, 2012</w:t>
            </w:r>
            <w:r w:rsidR="00447D36">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{"citationItems":[{"id":"ITEM-1","itemData":{"ISSN":"1115-2613 (Print)","PMID":"23304926","abstract":"BACKGROUND: Fractures of the zygomatic complex occur worldwide and are a  component part of injuries that can be sustained in the maxillofacial region. The objective was to analyze the clinical presentation and management ofzygomatic complex fractures. METHODS: This was a prospective study carried out over a period of five years at the University of Calabar Teaching Hospital, Nigeria. Data documented were patients' age, gender, time of presentation, cause and type of fracture, associated head and maxillofacial injuries, clinical features, types of plain radiographs, treatment methods, duration of follow-up and complications. RESULTS: Majority of the patients (n = 81, 63.3%) were in their third and fourth decades of life while the male to female ratio was 20.3:1. Road traffic accident (n = 111, 86.7%) was the most common cause of fracture. Fractures of the zygomatic complex alone (n = 105, 82.0%) were more common than isolated fractures of the arch (n = 13, 10.2%) and combined fractures of the zygomatic complex and arch (n = 10, 7.8%). CONCLUSION: While multi-disciplinary approach to treatment is important, majority of the fractures were treated by simple elevation and transosseous wire osteosynthesis. Delay in presentation, associated injuries and non-availability of mini-plating technique contributed to the development of complications.","author":[{"dropping-particle":"","family":"Anyanechi","given":"C E","non-dropping-particle":"","parse-names":false,"suffix":""},{"dropping-particle":"","family":"Saheeb","given":"B D","non-dropping-particle":"","parse-names":false,"suffix":""}],"container-title":"Nigerian journal of medicine : journal of the National Association of Resident  Doctors of Nigeria","id":"ITEM-1","issue":"3","issued":{"date-parts":[["2012"]]},"language":"eng","page":"308-312","publisher-place":"Nigeria","title":"The clinical presentation and management of zygomatic complex fractures in a  Nigeria Teaching Hospital.","type":"article-journal","volume":"21"},"uris":["http://www.mendeley.com/documents/?uuid=70d8ca3e-b03c-451a-996e-e35a3216f310"]}],"mendeley":{"formattedCitation":"&lt;sup&gt;32&lt;/sup&gt;","plainTextFormattedCitation":"32","previouslyFormattedCitation":"&lt;sup&gt;32&lt;/sup&gt;"},"properties":{"noteIndex":0},"schema":"https://github.com/citation-style-language/schema/raw/master/csl-citation.json"}</w:instrText>
            </w:r>
            <w:r w:rsidR="00447D36">
              <w:rPr>
                <w:rFonts w:ascii="Times New Roman" w:hAnsi="Times New Roman" w:cs="Times New Roman"/>
                <w:sz w:val="20"/>
                <w:szCs w:val="20"/>
              </w:rPr>
              <w:fldChar w:fldCharType="separate"/>
            </w:r>
            <w:r w:rsidRPr="005C6B15">
              <w:rPr>
                <w:rFonts w:ascii="Times New Roman" w:hAnsi="Times New Roman" w:cs="Times New Roman"/>
                <w:noProof/>
                <w:sz w:val="20"/>
                <w:szCs w:val="20"/>
                <w:vertAlign w:val="superscript"/>
              </w:rPr>
              <w:t>32</w:t>
            </w:r>
            <w:r w:rsidR="00447D36">
              <w:rPr>
                <w:rFonts w:ascii="Times New Roman" w:hAnsi="Times New Roman" w:cs="Times New Roman"/>
                <w:sz w:val="20"/>
                <w:szCs w:val="20"/>
              </w:rPr>
              <w:fldChar w:fldCharType="end"/>
            </w:r>
          </w:p>
        </w:tc>
        <w:tc>
          <w:tcPr>
            <w:tcW w:w="810" w:type="dxa"/>
            <w:hideMark/>
          </w:tcPr>
          <w:p w14:paraId="0EFA26E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2005-2009</w:t>
            </w:r>
          </w:p>
        </w:tc>
        <w:tc>
          <w:tcPr>
            <w:tcW w:w="639" w:type="dxa"/>
            <w:hideMark/>
          </w:tcPr>
          <w:p w14:paraId="2DB3AA5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SS</w:t>
            </w:r>
          </w:p>
        </w:tc>
        <w:tc>
          <w:tcPr>
            <w:tcW w:w="1417" w:type="dxa"/>
            <w:hideMark/>
          </w:tcPr>
          <w:p w14:paraId="6099879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Prospective-descriptive</w:t>
            </w:r>
          </w:p>
        </w:tc>
        <w:tc>
          <w:tcPr>
            <w:tcW w:w="914" w:type="dxa"/>
            <w:hideMark/>
          </w:tcPr>
          <w:p w14:paraId="7CF3A576"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128</w:t>
            </w:r>
          </w:p>
        </w:tc>
        <w:tc>
          <w:tcPr>
            <w:tcW w:w="810" w:type="dxa"/>
            <w:hideMark/>
          </w:tcPr>
          <w:p w14:paraId="2A1F9881"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 xml:space="preserve">17 – 80 </w:t>
            </w:r>
          </w:p>
        </w:tc>
        <w:tc>
          <w:tcPr>
            <w:tcW w:w="810" w:type="dxa"/>
            <w:hideMark/>
          </w:tcPr>
          <w:p w14:paraId="192A516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20.3:1</w:t>
            </w:r>
          </w:p>
        </w:tc>
        <w:tc>
          <w:tcPr>
            <w:tcW w:w="1530" w:type="dxa"/>
            <w:hideMark/>
          </w:tcPr>
          <w:p w14:paraId="07827DC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RTC= 86.7%</w:t>
            </w:r>
          </w:p>
          <w:p w14:paraId="34209B41"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(MCC= 34.4%)</w:t>
            </w:r>
          </w:p>
          <w:p w14:paraId="61F0E38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Assault= 11.7%</w:t>
            </w:r>
          </w:p>
          <w:p w14:paraId="7155A6D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Falls= 1.6%</w:t>
            </w:r>
          </w:p>
        </w:tc>
        <w:tc>
          <w:tcPr>
            <w:tcW w:w="1890" w:type="dxa"/>
            <w:hideMark/>
          </w:tcPr>
          <w:p w14:paraId="7DEF0036"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ZC= 82%</w:t>
            </w:r>
          </w:p>
          <w:p w14:paraId="54E8241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Zygomatic arch= 10.2%</w:t>
            </w:r>
          </w:p>
          <w:p w14:paraId="68BE0FD3"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Combination= 7.8%</w:t>
            </w:r>
          </w:p>
        </w:tc>
        <w:tc>
          <w:tcPr>
            <w:tcW w:w="1350" w:type="dxa"/>
            <w:hideMark/>
          </w:tcPr>
          <w:p w14:paraId="5E7200B2"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NR</w:t>
            </w:r>
          </w:p>
        </w:tc>
        <w:tc>
          <w:tcPr>
            <w:tcW w:w="1440" w:type="dxa"/>
            <w:hideMark/>
          </w:tcPr>
          <w:p w14:paraId="56918DD8"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Conservative= 14.3%</w:t>
            </w:r>
          </w:p>
          <w:p w14:paraId="28FB87D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IMF= 71.4%</w:t>
            </w:r>
          </w:p>
          <w:p w14:paraId="5497EE71"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ORIF= 14.3%</w:t>
            </w:r>
          </w:p>
        </w:tc>
        <w:tc>
          <w:tcPr>
            <w:tcW w:w="810" w:type="dxa"/>
            <w:hideMark/>
          </w:tcPr>
          <w:p w14:paraId="63A357FD" w14:textId="77777777" w:rsidR="007A73C9" w:rsidRDefault="007A73C9" w:rsidP="0026501C">
            <w:pPr>
              <w:tabs>
                <w:tab w:val="left" w:pos="1602"/>
                <w:tab w:val="left" w:pos="2142"/>
              </w:tabs>
              <w:ind w:right="244"/>
              <w:rPr>
                <w:rFonts w:ascii="Times New Roman" w:hAnsi="Times New Roman" w:cs="Times New Roman"/>
                <w:sz w:val="20"/>
                <w:szCs w:val="20"/>
              </w:rPr>
            </w:pPr>
            <w:r>
              <w:rPr>
                <w:rFonts w:ascii="Times New Roman" w:hAnsi="Times New Roman" w:cs="Times New Roman"/>
                <w:sz w:val="20"/>
                <w:szCs w:val="20"/>
              </w:rPr>
              <w:t>4/6</w:t>
            </w:r>
          </w:p>
        </w:tc>
      </w:tr>
      <w:tr w:rsidR="007A73C9" w14:paraId="462809B9" w14:textId="77777777" w:rsidTr="007A73C9">
        <w:tc>
          <w:tcPr>
            <w:tcW w:w="465" w:type="dxa"/>
            <w:hideMark/>
          </w:tcPr>
          <w:p w14:paraId="44AFD343"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14</w:t>
            </w:r>
          </w:p>
        </w:tc>
        <w:tc>
          <w:tcPr>
            <w:tcW w:w="1245" w:type="dxa"/>
            <w:hideMark/>
          </w:tcPr>
          <w:p w14:paraId="284889F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Anyanechi et al, 2014</w:t>
            </w:r>
            <w:r w:rsidR="00447D36">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{"citationItems":[{"id":"ITEM-1","itemData":{"DOI":"10.7727/wimj.2013.150","ISSN":"00433144","abstract":"Objective: The plethora of techniques available for the treatment of mandibular fractures suggests that there is controversy regarding their definitive outcome. The purpose of this study was to clinically study the complications associated with the different treatment methods of mandibular fractures at the University of Calabar Teaching Hospital (UCTH), Nigeria. Methods: This was a three-year prospective study carried out at the Dental and Maxillofacial Clinic of the hospital. Patients who met the inclusion criteria had their data recorded in a proforma questionnaire. Results: Out of the 256 patients studied, 17.2% developed complications. Complications were commoner (70.5%) between ages 21 and 50 years. Thirty-five (79.5%) were males while nine (20.5%) were females with a male:female ratio of 4.9:1. Following treatment by closed reduction, conservative and open reduction, 16.6%, 17.2% and 20.7% had complications, respectively. Whereas occlusal derangement was the most common complication, numbness of the cheek and lower lip was recorded following all treatment methods. Conclusion: Although the complications recorded in this patient population were managed during postoperative follow-up period, the methods of treatment available give good results, are cost-effective and patient compliance is good. This suggests that the older methods of treatment of mandibular fractures can still be used with reliability in contemporary dental practice.","author":[{"dropping-particle":"","family":"Anyanechi","given":"C. E.","non-dropping-particle":"","parse-names":false,"suffix":""},{"dropping-particle":"","family":"Saheeb","given":"B. D.","non-dropping-particle":"","parse-names":false,"suffix":""}],"container-title":"West Indian Medical Journal","id":"ITEM-1","issue":"4","issued":{"date-parts":[["2014"]]},"page":"349-353","title":"Complications of mandibular fracture: Study of the treatment methods in Calabar, Nigeria","type":"article-journal","volume":"63"},"uris":["http://www.mendeley.com/documents/?uuid=74a97246-0604-43aa-9d13-3e4a4a0a2380"]}],"mendeley":{"formattedCitation":"&lt;sup&gt;33&lt;/sup&gt;","plainTextFormattedCitation":"33","previouslyFormattedCitation":"&lt;sup&gt;33&lt;/sup&gt;"},"properties":{"noteIndex":0},"schema":"https://github.com/citation-style-language/schema/raw/master/csl-citation.json"}</w:instrText>
            </w:r>
            <w:r w:rsidR="00447D36">
              <w:rPr>
                <w:rFonts w:ascii="Times New Roman" w:hAnsi="Times New Roman" w:cs="Times New Roman"/>
                <w:sz w:val="20"/>
                <w:szCs w:val="20"/>
              </w:rPr>
              <w:fldChar w:fldCharType="separate"/>
            </w:r>
            <w:r w:rsidRPr="005C6B15">
              <w:rPr>
                <w:rFonts w:ascii="Times New Roman" w:hAnsi="Times New Roman" w:cs="Times New Roman"/>
                <w:noProof/>
                <w:sz w:val="20"/>
                <w:szCs w:val="20"/>
                <w:vertAlign w:val="superscript"/>
              </w:rPr>
              <w:t>33</w:t>
            </w:r>
            <w:r w:rsidR="00447D36">
              <w:rPr>
                <w:rFonts w:ascii="Times New Roman" w:hAnsi="Times New Roman" w:cs="Times New Roman"/>
                <w:sz w:val="20"/>
                <w:szCs w:val="20"/>
              </w:rPr>
              <w:fldChar w:fldCharType="end"/>
            </w:r>
          </w:p>
        </w:tc>
        <w:tc>
          <w:tcPr>
            <w:tcW w:w="810" w:type="dxa"/>
            <w:hideMark/>
          </w:tcPr>
          <w:p w14:paraId="01E23775"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2010-2012</w:t>
            </w:r>
          </w:p>
        </w:tc>
        <w:tc>
          <w:tcPr>
            <w:tcW w:w="639" w:type="dxa"/>
            <w:hideMark/>
          </w:tcPr>
          <w:p w14:paraId="5E762BB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SS</w:t>
            </w:r>
          </w:p>
        </w:tc>
        <w:tc>
          <w:tcPr>
            <w:tcW w:w="1417" w:type="dxa"/>
            <w:hideMark/>
          </w:tcPr>
          <w:p w14:paraId="7678E041"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Prospective-descriptive</w:t>
            </w:r>
          </w:p>
        </w:tc>
        <w:tc>
          <w:tcPr>
            <w:tcW w:w="914" w:type="dxa"/>
            <w:hideMark/>
          </w:tcPr>
          <w:p w14:paraId="1640125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256</w:t>
            </w:r>
          </w:p>
        </w:tc>
        <w:tc>
          <w:tcPr>
            <w:tcW w:w="810" w:type="dxa"/>
            <w:hideMark/>
          </w:tcPr>
          <w:p w14:paraId="330CE089"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 xml:space="preserve">6 – 69 </w:t>
            </w:r>
          </w:p>
        </w:tc>
        <w:tc>
          <w:tcPr>
            <w:tcW w:w="810" w:type="dxa"/>
            <w:hideMark/>
          </w:tcPr>
          <w:p w14:paraId="100EB972"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4.9:1</w:t>
            </w:r>
          </w:p>
        </w:tc>
        <w:tc>
          <w:tcPr>
            <w:tcW w:w="1530" w:type="dxa"/>
            <w:hideMark/>
          </w:tcPr>
          <w:p w14:paraId="1FECFD71"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RTC= 86.7%</w:t>
            </w:r>
          </w:p>
          <w:p w14:paraId="61C3A646"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Assault= 9.4%</w:t>
            </w:r>
          </w:p>
          <w:p w14:paraId="29CEBD8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Falls= 3.9%</w:t>
            </w:r>
          </w:p>
        </w:tc>
        <w:tc>
          <w:tcPr>
            <w:tcW w:w="1890" w:type="dxa"/>
            <w:hideMark/>
          </w:tcPr>
          <w:p w14:paraId="7B4A6FD5"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Mandible= 100%</w:t>
            </w:r>
          </w:p>
        </w:tc>
        <w:tc>
          <w:tcPr>
            <w:tcW w:w="1350" w:type="dxa"/>
            <w:hideMark/>
          </w:tcPr>
          <w:p w14:paraId="71B1459F"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NR</w:t>
            </w:r>
          </w:p>
        </w:tc>
        <w:tc>
          <w:tcPr>
            <w:tcW w:w="1440" w:type="dxa"/>
            <w:hideMark/>
          </w:tcPr>
          <w:p w14:paraId="38C8DFB8"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Conservative= 25%</w:t>
            </w:r>
          </w:p>
          <w:p w14:paraId="0D3B7289"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IMF= 63.7%</w:t>
            </w:r>
          </w:p>
          <w:p w14:paraId="3CA59955" w14:textId="77777777" w:rsidR="007A73C9" w:rsidRDefault="007A73C9" w:rsidP="0026501C">
            <w:pPr>
              <w:rPr>
                <w:rFonts w:ascii="Times New Roman" w:hAnsi="Times New Roman" w:cs="Times New Roman"/>
                <w:b/>
                <w:sz w:val="20"/>
                <w:szCs w:val="20"/>
              </w:rPr>
            </w:pPr>
            <w:r>
              <w:rPr>
                <w:rFonts w:ascii="Times New Roman" w:hAnsi="Times New Roman" w:cs="Times New Roman"/>
                <w:sz w:val="20"/>
                <w:szCs w:val="20"/>
              </w:rPr>
              <w:t>ORIF= 11.3%</w:t>
            </w:r>
          </w:p>
        </w:tc>
        <w:tc>
          <w:tcPr>
            <w:tcW w:w="810" w:type="dxa"/>
            <w:hideMark/>
          </w:tcPr>
          <w:p w14:paraId="37F8281F" w14:textId="77777777" w:rsidR="007A73C9" w:rsidRDefault="007A73C9" w:rsidP="0026501C">
            <w:pPr>
              <w:tabs>
                <w:tab w:val="left" w:pos="1602"/>
                <w:tab w:val="left" w:pos="2142"/>
              </w:tabs>
              <w:ind w:right="244"/>
              <w:rPr>
                <w:rFonts w:ascii="Times New Roman" w:hAnsi="Times New Roman" w:cs="Times New Roman"/>
                <w:sz w:val="20"/>
                <w:szCs w:val="20"/>
              </w:rPr>
            </w:pPr>
            <w:r>
              <w:rPr>
                <w:rFonts w:ascii="Times New Roman" w:hAnsi="Times New Roman" w:cs="Times New Roman"/>
                <w:sz w:val="20"/>
                <w:szCs w:val="20"/>
              </w:rPr>
              <w:t>4/6</w:t>
            </w:r>
          </w:p>
        </w:tc>
      </w:tr>
      <w:tr w:rsidR="007A73C9" w14:paraId="1AB5309D" w14:textId="77777777" w:rsidTr="007A73C9">
        <w:tc>
          <w:tcPr>
            <w:tcW w:w="465" w:type="dxa"/>
            <w:hideMark/>
          </w:tcPr>
          <w:p w14:paraId="0909DD98"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15</w:t>
            </w:r>
          </w:p>
        </w:tc>
        <w:tc>
          <w:tcPr>
            <w:tcW w:w="1245" w:type="dxa"/>
            <w:hideMark/>
          </w:tcPr>
          <w:p w14:paraId="5A86CC76"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Bassey et al, 2011</w:t>
            </w:r>
            <w:r w:rsidR="00447D36">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{"citationItems":[{"id":"ITEM-1","itemData":{"author":[{"dropping-particle":"","family":"Bassey","given":"G. O","non-dropping-particle":"","parse-names":false,"suffix":""},{"dropping-particle":"","family":"Anyanechi","given":"C. E.","non-dropping-particle":"","parse-names":false,"suffix":""},{"dropping-particle":"","family":"Chukwuneke","given":"F. N","non-dropping-particle":"","parse-names":false,"suffix":""}],"container-title":"Nigerian Journal of Medicine","id":"ITEM-1","issue":"2","issued":{"date-parts":[["2011"]]},"page":"245 - 249","title":"Maxillofacial Injuries in Calabar South-South, Nigeria: A 5 Year Study of Jawbone Fractures","type":"article-journal","volume":"20"},"uris":["http://www.mendeley.com/documents/?uuid=c76d6f14-3549-4a85-b40c-771cfcbd42f4"]}],"mendeley":{"formattedCitation":"&lt;sup&gt;34&lt;/sup&gt;","plainTextFormattedCitation":"34","previouslyFormattedCitation":"&lt;sup&gt;34&lt;/sup&gt;"},"properties":{"noteIndex":0},"schema":"https://github.com/citation-style-language/schema/raw/master/csl-citation.json"}</w:instrText>
            </w:r>
            <w:r w:rsidR="00447D36">
              <w:rPr>
                <w:rFonts w:ascii="Times New Roman" w:hAnsi="Times New Roman" w:cs="Times New Roman"/>
                <w:sz w:val="20"/>
                <w:szCs w:val="20"/>
              </w:rPr>
              <w:fldChar w:fldCharType="separate"/>
            </w:r>
            <w:r w:rsidRPr="005C6B15">
              <w:rPr>
                <w:rFonts w:ascii="Times New Roman" w:hAnsi="Times New Roman" w:cs="Times New Roman"/>
                <w:noProof/>
                <w:sz w:val="20"/>
                <w:szCs w:val="20"/>
                <w:vertAlign w:val="superscript"/>
              </w:rPr>
              <w:t>34</w:t>
            </w:r>
            <w:r w:rsidR="00447D36">
              <w:rPr>
                <w:rFonts w:ascii="Times New Roman" w:hAnsi="Times New Roman" w:cs="Times New Roman"/>
                <w:sz w:val="20"/>
                <w:szCs w:val="20"/>
              </w:rPr>
              <w:fldChar w:fldCharType="end"/>
            </w:r>
          </w:p>
        </w:tc>
        <w:tc>
          <w:tcPr>
            <w:tcW w:w="810" w:type="dxa"/>
            <w:hideMark/>
          </w:tcPr>
          <w:p w14:paraId="005EA636"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2000-2004</w:t>
            </w:r>
          </w:p>
        </w:tc>
        <w:tc>
          <w:tcPr>
            <w:tcW w:w="639" w:type="dxa"/>
            <w:hideMark/>
          </w:tcPr>
          <w:p w14:paraId="4A1B02D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SS</w:t>
            </w:r>
          </w:p>
        </w:tc>
        <w:tc>
          <w:tcPr>
            <w:tcW w:w="1417" w:type="dxa"/>
            <w:hideMark/>
          </w:tcPr>
          <w:p w14:paraId="0948C5CE"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Retrospective-descriptive</w:t>
            </w:r>
          </w:p>
        </w:tc>
        <w:tc>
          <w:tcPr>
            <w:tcW w:w="914" w:type="dxa"/>
            <w:hideMark/>
          </w:tcPr>
          <w:p w14:paraId="47D92D9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200</w:t>
            </w:r>
          </w:p>
        </w:tc>
        <w:tc>
          <w:tcPr>
            <w:tcW w:w="810" w:type="dxa"/>
            <w:hideMark/>
          </w:tcPr>
          <w:p w14:paraId="71B6540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 xml:space="preserve">21 – 40 </w:t>
            </w:r>
          </w:p>
        </w:tc>
        <w:tc>
          <w:tcPr>
            <w:tcW w:w="810" w:type="dxa"/>
            <w:hideMark/>
          </w:tcPr>
          <w:p w14:paraId="7AC201B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3.7: 1</w:t>
            </w:r>
          </w:p>
        </w:tc>
        <w:tc>
          <w:tcPr>
            <w:tcW w:w="1530" w:type="dxa"/>
            <w:hideMark/>
          </w:tcPr>
          <w:p w14:paraId="7FC8581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RTC= 68.5%</w:t>
            </w:r>
          </w:p>
          <w:p w14:paraId="43E85461"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(MCC= 37%)</w:t>
            </w:r>
          </w:p>
          <w:p w14:paraId="42F9E7F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Assault= 20%</w:t>
            </w:r>
          </w:p>
          <w:p w14:paraId="08453A6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Others= 11.5%</w:t>
            </w:r>
          </w:p>
        </w:tc>
        <w:tc>
          <w:tcPr>
            <w:tcW w:w="1890" w:type="dxa"/>
            <w:hideMark/>
          </w:tcPr>
          <w:p w14:paraId="62DDB643"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Mandible= 59.2%</w:t>
            </w:r>
          </w:p>
          <w:p w14:paraId="6EA6216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Midface= 18.4%</w:t>
            </w:r>
          </w:p>
          <w:p w14:paraId="765D1A73"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Combination= 22.4%</w:t>
            </w:r>
          </w:p>
        </w:tc>
        <w:tc>
          <w:tcPr>
            <w:tcW w:w="1350" w:type="dxa"/>
            <w:hideMark/>
          </w:tcPr>
          <w:p w14:paraId="6CCCB578"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NR</w:t>
            </w:r>
          </w:p>
        </w:tc>
        <w:tc>
          <w:tcPr>
            <w:tcW w:w="1440" w:type="dxa"/>
            <w:hideMark/>
          </w:tcPr>
          <w:p w14:paraId="045ABB0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IMF= 94.9%</w:t>
            </w:r>
          </w:p>
          <w:p w14:paraId="27C4B2F6"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ORIF= 5.1%</w:t>
            </w:r>
          </w:p>
        </w:tc>
        <w:tc>
          <w:tcPr>
            <w:tcW w:w="810" w:type="dxa"/>
            <w:hideMark/>
          </w:tcPr>
          <w:p w14:paraId="4012578A" w14:textId="77777777" w:rsidR="007A73C9" w:rsidRDefault="007A73C9" w:rsidP="0026501C">
            <w:pPr>
              <w:tabs>
                <w:tab w:val="left" w:pos="1602"/>
                <w:tab w:val="left" w:pos="2142"/>
              </w:tabs>
              <w:ind w:right="244"/>
              <w:rPr>
                <w:rFonts w:ascii="Times New Roman" w:hAnsi="Times New Roman" w:cs="Times New Roman"/>
                <w:sz w:val="20"/>
                <w:szCs w:val="20"/>
              </w:rPr>
            </w:pPr>
            <w:r>
              <w:rPr>
                <w:rFonts w:ascii="Times New Roman" w:hAnsi="Times New Roman" w:cs="Times New Roman"/>
                <w:sz w:val="20"/>
                <w:szCs w:val="20"/>
              </w:rPr>
              <w:t>3/6</w:t>
            </w:r>
          </w:p>
        </w:tc>
      </w:tr>
      <w:tr w:rsidR="007A73C9" w14:paraId="102D63FD" w14:textId="77777777" w:rsidTr="007A73C9">
        <w:tc>
          <w:tcPr>
            <w:tcW w:w="465" w:type="dxa"/>
            <w:hideMark/>
          </w:tcPr>
          <w:p w14:paraId="3416A498"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16</w:t>
            </w:r>
          </w:p>
        </w:tc>
        <w:tc>
          <w:tcPr>
            <w:tcW w:w="1245" w:type="dxa"/>
            <w:hideMark/>
          </w:tcPr>
          <w:p w14:paraId="63B51F7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Etetafia et al, 2014</w:t>
            </w:r>
            <w:r w:rsidR="00447D36">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10.14194/ijmbr.3.3.6","ISSN":"22770941","author":[{"dropping-particle":"","family":"Etetafia","given":"MO","non-dropping-particle":"","parse-names":false,"suffix":""},{"dropping-particle":"","family":"Odai","given":"ED","non-dropping-particle":"","parse-names":false,"suffix":""}],"container-title":"International Journal of Medicine and Biomedical Research","id":"ITEM-1","issue":"3","issued":{"date-parts":[["2014"]]},"page":"185-190","title":"An assessment of maxillofacial fractures treated in a suburban tertiary health facility: a 2-year study of 167 patients","type":"article-journal","volume":"3"},"uris":["http://www.mendeley.com/documents/?uuid=4aee4103-1629-4dd3-a5bb-14b7cc1369b4"]}],"mendeley":{"formattedCitation":"&lt;sup&gt;35&lt;/sup&gt;","plainTextFormattedCitation":"35","previouslyFormattedCitation":"&lt;sup&gt;35&lt;/sup&gt;"},"properties":{"noteIndex":0},"schema":"https://github.com/citation-style-language/schema/raw/master/csl-citation.json"}</w:instrText>
            </w:r>
            <w:r w:rsidR="00447D36">
              <w:rPr>
                <w:rFonts w:ascii="Times New Roman" w:hAnsi="Times New Roman" w:cs="Times New Roman"/>
                <w:sz w:val="20"/>
                <w:szCs w:val="20"/>
              </w:rPr>
              <w:fldChar w:fldCharType="separate"/>
            </w:r>
            <w:r w:rsidRPr="005C6B15">
              <w:rPr>
                <w:rFonts w:ascii="Times New Roman" w:hAnsi="Times New Roman" w:cs="Times New Roman"/>
                <w:noProof/>
                <w:sz w:val="20"/>
                <w:szCs w:val="20"/>
                <w:vertAlign w:val="superscript"/>
              </w:rPr>
              <w:t>35</w:t>
            </w:r>
            <w:r w:rsidR="00447D36">
              <w:rPr>
                <w:rFonts w:ascii="Times New Roman" w:hAnsi="Times New Roman" w:cs="Times New Roman"/>
                <w:sz w:val="20"/>
                <w:szCs w:val="20"/>
              </w:rPr>
              <w:fldChar w:fldCharType="end"/>
            </w:r>
          </w:p>
        </w:tc>
        <w:tc>
          <w:tcPr>
            <w:tcW w:w="810" w:type="dxa"/>
            <w:hideMark/>
          </w:tcPr>
          <w:p w14:paraId="3685775E"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2011-2012</w:t>
            </w:r>
          </w:p>
        </w:tc>
        <w:tc>
          <w:tcPr>
            <w:tcW w:w="639" w:type="dxa"/>
            <w:hideMark/>
          </w:tcPr>
          <w:p w14:paraId="3941282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SS</w:t>
            </w:r>
          </w:p>
        </w:tc>
        <w:tc>
          <w:tcPr>
            <w:tcW w:w="1417" w:type="dxa"/>
            <w:hideMark/>
          </w:tcPr>
          <w:p w14:paraId="13ADC28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Retrospective-descriptive</w:t>
            </w:r>
          </w:p>
        </w:tc>
        <w:tc>
          <w:tcPr>
            <w:tcW w:w="914" w:type="dxa"/>
            <w:hideMark/>
          </w:tcPr>
          <w:p w14:paraId="0C0B5EA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167</w:t>
            </w:r>
          </w:p>
        </w:tc>
        <w:tc>
          <w:tcPr>
            <w:tcW w:w="810" w:type="dxa"/>
            <w:hideMark/>
          </w:tcPr>
          <w:p w14:paraId="2B3BD2D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 xml:space="preserve">31 – 40 </w:t>
            </w:r>
          </w:p>
        </w:tc>
        <w:tc>
          <w:tcPr>
            <w:tcW w:w="810" w:type="dxa"/>
            <w:hideMark/>
          </w:tcPr>
          <w:p w14:paraId="31143A3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2.4:1</w:t>
            </w:r>
          </w:p>
        </w:tc>
        <w:tc>
          <w:tcPr>
            <w:tcW w:w="1530" w:type="dxa"/>
            <w:hideMark/>
          </w:tcPr>
          <w:p w14:paraId="700A9EC8"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RTC= 75%</w:t>
            </w:r>
          </w:p>
          <w:p w14:paraId="627A4515"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Assault= 18%</w:t>
            </w:r>
          </w:p>
          <w:p w14:paraId="07B91C29"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Falls= 5%</w:t>
            </w:r>
          </w:p>
          <w:p w14:paraId="637A091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Occupational injury= 2%</w:t>
            </w:r>
          </w:p>
        </w:tc>
        <w:tc>
          <w:tcPr>
            <w:tcW w:w="1890" w:type="dxa"/>
            <w:hideMark/>
          </w:tcPr>
          <w:p w14:paraId="5BBB9A09"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Mandible= 75.9%</w:t>
            </w:r>
          </w:p>
          <w:p w14:paraId="47112D93"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Midface= 15.9%</w:t>
            </w:r>
          </w:p>
          <w:p w14:paraId="790E463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Combination= 8.2%</w:t>
            </w:r>
          </w:p>
        </w:tc>
        <w:tc>
          <w:tcPr>
            <w:tcW w:w="1350" w:type="dxa"/>
            <w:hideMark/>
          </w:tcPr>
          <w:p w14:paraId="33A91981"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CNS= 50.3%</w:t>
            </w:r>
          </w:p>
          <w:p w14:paraId="79443C35"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Abdomen= 9%</w:t>
            </w:r>
          </w:p>
          <w:p w14:paraId="49C6AEFF"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Chest= 2.4%</w:t>
            </w:r>
          </w:p>
        </w:tc>
        <w:tc>
          <w:tcPr>
            <w:tcW w:w="1440" w:type="dxa"/>
            <w:hideMark/>
          </w:tcPr>
          <w:p w14:paraId="66343C49"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Conservative= 27.6%</w:t>
            </w:r>
          </w:p>
          <w:p w14:paraId="7CF9999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IMF= 47.9%</w:t>
            </w:r>
          </w:p>
          <w:p w14:paraId="0E85B389"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ORIF= 24.5%</w:t>
            </w:r>
          </w:p>
        </w:tc>
        <w:tc>
          <w:tcPr>
            <w:tcW w:w="810" w:type="dxa"/>
            <w:hideMark/>
          </w:tcPr>
          <w:p w14:paraId="3A45507B" w14:textId="77777777" w:rsidR="007A73C9" w:rsidRDefault="007A73C9" w:rsidP="0026501C">
            <w:pPr>
              <w:tabs>
                <w:tab w:val="left" w:pos="1602"/>
                <w:tab w:val="left" w:pos="2142"/>
              </w:tabs>
              <w:ind w:right="244"/>
              <w:rPr>
                <w:rFonts w:ascii="Times New Roman" w:hAnsi="Times New Roman" w:cs="Times New Roman"/>
                <w:sz w:val="20"/>
                <w:szCs w:val="20"/>
              </w:rPr>
            </w:pPr>
            <w:r>
              <w:rPr>
                <w:rFonts w:ascii="Times New Roman" w:hAnsi="Times New Roman" w:cs="Times New Roman"/>
                <w:sz w:val="20"/>
                <w:szCs w:val="20"/>
              </w:rPr>
              <w:t>3/6</w:t>
            </w:r>
          </w:p>
        </w:tc>
      </w:tr>
      <w:tr w:rsidR="007A73C9" w14:paraId="447DDD6E" w14:textId="77777777" w:rsidTr="007A73C9">
        <w:tc>
          <w:tcPr>
            <w:tcW w:w="465" w:type="dxa"/>
            <w:hideMark/>
          </w:tcPr>
          <w:p w14:paraId="3861AA91"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17</w:t>
            </w:r>
          </w:p>
        </w:tc>
        <w:tc>
          <w:tcPr>
            <w:tcW w:w="1245" w:type="dxa"/>
            <w:hideMark/>
          </w:tcPr>
          <w:p w14:paraId="15D9455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Ibikunle et al, 2016</w:t>
            </w:r>
            <w:r w:rsidR="00447D36">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{"citationItems":[{"id":"ITEM-1","itemData":{"DOI":"10.4103/ajt.ajt_15_16","ISSN":"1597-1112","abstract":"Background: Maxillofacial fractures constitute a significant proportion of fractures seen at tertiary hospitals. Management of maxillofacial fractures is challenging and often associated with reduced quality of life among patients if not properly managed. This study was designed to analyze the trend in management of maxillofacial fractures at Usmanu Danfodiyo University Teaching Hospital, Sokoto, Northwest Nigeria between 2011 and 2016. Materials and Methods: Data on the sociodemographic characteristics, etiology, type of fracture, and treatment done were retrieved. Data analysis was done with SPSS and comparisons were made using Chi-square and t-test. Statistical significance was set at P Results: A total of 341 fracture sites were observed in 201 patients, the majority were males giving a male to female ratio of 6.2:1. The overall modal age group at presentation was the 21–30 year age group accounting for 78 (36.3%) of all cases seen. Road traffic accident (RTA) was the principal etiological factor accounting for 137 (63.7%) of the fracture cases seen. The mandibular body and dentoalveolar sites were the most frequently occurring fracture sites on the mandible accounting for 69 (20.2%) and 42 (12.3%) of all fractures. A comparison of the etiological factors among groups of patients based on the year of presentation and gender was statistically significant (P = 0.02). A comparison of the mode of treatment (open reduction and internal fixation [ORIF] or closed reduction) among patients based on the year of treatment was statistically significant (P Conclusion: RTA remains the foremost cause of maxillofacial fractures in our environment. Despite a variety of challenges, ORIF is gradually being embraced as a viable mode of treatment in our center.","author":[{"dropping-particle":"","family":"Ibikunle","given":"AdebayoAremu","non-dropping-particle":"","parse-names":false,"suffix":""},{"dropping-particle":"","family":"Taiwo","given":"AbdurrazaqOlanrewaju","non-dropping-particle":"","parse-names":false,"suffix":""},{"dropping-particle":"","family":"Braimah","given":"RamatOyebunmi","non-dropping-particle":"","parse-names":false,"suffix":""},{"dropping-particle":"","family":"Gbotolorun","given":"OlalekanMicah","non-dropping-particle":"","parse-names":false,"suffix":""}],"container-title":"African Journal of Trauma","id":"ITEM-1","issue":"2","issued":{"date-parts":[["2016"]]},"page":"36","title":"Changing pattern in the treatment of mandibular fractures in North-Western Nigeria","type":"article-journal","volume":"5"},"uris":["http://www.mendeley.com/documents/?uuid=206b8042-9350-44b0-9c1c-7922f2fa69cc"]}],"mendeley":{"formattedCitation":"&lt;sup&gt;39&lt;/sup&gt;","plainTextFormattedCitation":"39","previouslyFormattedCitation":"&lt;sup&gt;39&lt;/sup&gt;"},"properties":{"noteIndex":0},"schema":"https://github.com/citation-style-language/schema/raw/master/csl-citation.json"}</w:instrText>
            </w:r>
            <w:r w:rsidR="00447D36">
              <w:rPr>
                <w:rFonts w:ascii="Times New Roman" w:hAnsi="Times New Roman" w:cs="Times New Roman"/>
                <w:sz w:val="20"/>
                <w:szCs w:val="20"/>
              </w:rPr>
              <w:fldChar w:fldCharType="separate"/>
            </w:r>
            <w:r w:rsidRPr="005C6B15">
              <w:rPr>
                <w:rFonts w:ascii="Times New Roman" w:hAnsi="Times New Roman" w:cs="Times New Roman"/>
                <w:noProof/>
                <w:sz w:val="20"/>
                <w:szCs w:val="20"/>
                <w:vertAlign w:val="superscript"/>
              </w:rPr>
              <w:t>39</w:t>
            </w:r>
            <w:r w:rsidR="00447D36">
              <w:rPr>
                <w:rFonts w:ascii="Times New Roman" w:hAnsi="Times New Roman" w:cs="Times New Roman"/>
                <w:sz w:val="20"/>
                <w:szCs w:val="20"/>
              </w:rPr>
              <w:fldChar w:fldCharType="end"/>
            </w:r>
          </w:p>
        </w:tc>
        <w:tc>
          <w:tcPr>
            <w:tcW w:w="810" w:type="dxa"/>
            <w:hideMark/>
          </w:tcPr>
          <w:p w14:paraId="4B46953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2011-2016</w:t>
            </w:r>
          </w:p>
        </w:tc>
        <w:tc>
          <w:tcPr>
            <w:tcW w:w="639" w:type="dxa"/>
            <w:hideMark/>
          </w:tcPr>
          <w:p w14:paraId="6DD8358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NW</w:t>
            </w:r>
          </w:p>
        </w:tc>
        <w:tc>
          <w:tcPr>
            <w:tcW w:w="1417" w:type="dxa"/>
            <w:hideMark/>
          </w:tcPr>
          <w:p w14:paraId="1A8B4DBF"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Retrospective-descriptive</w:t>
            </w:r>
          </w:p>
        </w:tc>
        <w:tc>
          <w:tcPr>
            <w:tcW w:w="914" w:type="dxa"/>
            <w:hideMark/>
          </w:tcPr>
          <w:p w14:paraId="6D326509"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215</w:t>
            </w:r>
          </w:p>
        </w:tc>
        <w:tc>
          <w:tcPr>
            <w:tcW w:w="810" w:type="dxa"/>
            <w:hideMark/>
          </w:tcPr>
          <w:p w14:paraId="415B0381"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 xml:space="preserve">3 – 65 </w:t>
            </w:r>
          </w:p>
        </w:tc>
        <w:tc>
          <w:tcPr>
            <w:tcW w:w="810" w:type="dxa"/>
            <w:hideMark/>
          </w:tcPr>
          <w:p w14:paraId="5BA241CE"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6.2: 1</w:t>
            </w:r>
          </w:p>
        </w:tc>
        <w:tc>
          <w:tcPr>
            <w:tcW w:w="1530" w:type="dxa"/>
            <w:hideMark/>
          </w:tcPr>
          <w:p w14:paraId="7AC362C9"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RTC= 63.7%</w:t>
            </w:r>
          </w:p>
          <w:p w14:paraId="34B1A8E3"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(MCC= 15.8%)</w:t>
            </w:r>
          </w:p>
          <w:p w14:paraId="1EA8EDA6"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lastRenderedPageBreak/>
              <w:t>Assault= 8.4%</w:t>
            </w:r>
          </w:p>
          <w:p w14:paraId="51B1C355"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Falls= 7.4%</w:t>
            </w:r>
          </w:p>
          <w:p w14:paraId="2B9F7F6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Iatrogenic= 5.2%</w:t>
            </w:r>
          </w:p>
          <w:p w14:paraId="20E75EFF"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Others= 15.3%</w:t>
            </w:r>
          </w:p>
        </w:tc>
        <w:tc>
          <w:tcPr>
            <w:tcW w:w="1890" w:type="dxa"/>
            <w:hideMark/>
          </w:tcPr>
          <w:p w14:paraId="67342889"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lastRenderedPageBreak/>
              <w:t>Maxillo-mandibular= 100%</w:t>
            </w:r>
          </w:p>
        </w:tc>
        <w:tc>
          <w:tcPr>
            <w:tcW w:w="1350" w:type="dxa"/>
            <w:hideMark/>
          </w:tcPr>
          <w:p w14:paraId="5704100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NR</w:t>
            </w:r>
          </w:p>
        </w:tc>
        <w:tc>
          <w:tcPr>
            <w:tcW w:w="1440" w:type="dxa"/>
            <w:hideMark/>
          </w:tcPr>
          <w:p w14:paraId="51E8750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Conservative= 10%</w:t>
            </w:r>
          </w:p>
          <w:p w14:paraId="5DDD564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lastRenderedPageBreak/>
              <w:t>IMF= 73.1%</w:t>
            </w:r>
          </w:p>
          <w:p w14:paraId="0F4363A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ORIF= 16.9%</w:t>
            </w:r>
          </w:p>
        </w:tc>
        <w:tc>
          <w:tcPr>
            <w:tcW w:w="810" w:type="dxa"/>
            <w:hideMark/>
          </w:tcPr>
          <w:p w14:paraId="27535F5B" w14:textId="77777777" w:rsidR="007A73C9" w:rsidRDefault="007A73C9" w:rsidP="0026501C">
            <w:pPr>
              <w:tabs>
                <w:tab w:val="left" w:pos="1602"/>
                <w:tab w:val="left" w:pos="2142"/>
              </w:tabs>
              <w:ind w:right="244"/>
              <w:rPr>
                <w:rFonts w:ascii="Times New Roman" w:hAnsi="Times New Roman" w:cs="Times New Roman"/>
                <w:sz w:val="20"/>
                <w:szCs w:val="20"/>
              </w:rPr>
            </w:pPr>
            <w:r>
              <w:rPr>
                <w:rFonts w:ascii="Times New Roman" w:hAnsi="Times New Roman" w:cs="Times New Roman"/>
                <w:sz w:val="20"/>
                <w:szCs w:val="20"/>
              </w:rPr>
              <w:lastRenderedPageBreak/>
              <w:t>3/6</w:t>
            </w:r>
          </w:p>
        </w:tc>
      </w:tr>
      <w:tr w:rsidR="007A73C9" w14:paraId="17BE1C7D" w14:textId="77777777" w:rsidTr="007A73C9">
        <w:tc>
          <w:tcPr>
            <w:tcW w:w="465" w:type="dxa"/>
            <w:hideMark/>
          </w:tcPr>
          <w:p w14:paraId="2BA4A7B8"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18</w:t>
            </w:r>
          </w:p>
        </w:tc>
        <w:tc>
          <w:tcPr>
            <w:tcW w:w="1245" w:type="dxa"/>
            <w:hideMark/>
          </w:tcPr>
          <w:p w14:paraId="66C300C1"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Nwashindi et al, 2015</w:t>
            </w:r>
            <w:r w:rsidR="00447D36">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10.4103/2349-4220.172886","ISSN":"2350-0298","author":[{"dropping-particle":"","family":"Nwashindi","given":"Arthur","non-dropping-particle":"","parse-names":false,"suffix":""},{"dropping-particle":"","family":"Dim","given":"EdwinMaduakonam","non-dropping-particle":"","parse-names":false,"suffix":""},{"dropping-particle":"","family":"Uduma","given":"FelixUduma","non-dropping-particle":"","parse-names":false,"suffix":""},{"dropping-particle":"","family":"Akhiwu","given":"BenjaminB","non-dropping-particle":"","parse-names":false,"suffix":""}],"container-title":"International Journal of Advanced Medical and Health Research","id":"ITEM-1","issue":"2","issued":{"date-parts":[["2015"]]},"page":"91","title":"Pattern of maxillofacial fractures in uyo, southern Nigeria","type":"article-journal","volume":"2"},"uris":["http://www.mendeley.com/documents/?uuid=4506d3f7-fc37-4e3f-aa4b-3bac089ff3bd"]}],"mendeley":{"formattedCitation":"&lt;sup&gt;36&lt;/sup&gt;","plainTextFormattedCitation":"36","previouslyFormattedCitation":"&lt;sup&gt;36&lt;/sup&gt;"},"properties":{"noteIndex":0},"schema":"https://github.com/citation-style-language/schema/raw/master/csl-citation.json"}</w:instrText>
            </w:r>
            <w:r w:rsidR="00447D36">
              <w:rPr>
                <w:rFonts w:ascii="Times New Roman" w:hAnsi="Times New Roman" w:cs="Times New Roman"/>
                <w:sz w:val="20"/>
                <w:szCs w:val="20"/>
              </w:rPr>
              <w:fldChar w:fldCharType="separate"/>
            </w:r>
            <w:r w:rsidRPr="005C6B15">
              <w:rPr>
                <w:rFonts w:ascii="Times New Roman" w:hAnsi="Times New Roman" w:cs="Times New Roman"/>
                <w:noProof/>
                <w:sz w:val="20"/>
                <w:szCs w:val="20"/>
                <w:vertAlign w:val="superscript"/>
              </w:rPr>
              <w:t>36</w:t>
            </w:r>
            <w:r w:rsidR="00447D36">
              <w:rPr>
                <w:rFonts w:ascii="Times New Roman" w:hAnsi="Times New Roman" w:cs="Times New Roman"/>
                <w:sz w:val="20"/>
                <w:szCs w:val="20"/>
              </w:rPr>
              <w:fldChar w:fldCharType="end"/>
            </w:r>
          </w:p>
        </w:tc>
        <w:tc>
          <w:tcPr>
            <w:tcW w:w="810" w:type="dxa"/>
            <w:hideMark/>
          </w:tcPr>
          <w:p w14:paraId="6200CDD1"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2008-2012</w:t>
            </w:r>
          </w:p>
        </w:tc>
        <w:tc>
          <w:tcPr>
            <w:tcW w:w="639" w:type="dxa"/>
            <w:hideMark/>
          </w:tcPr>
          <w:p w14:paraId="53E4C5B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SS</w:t>
            </w:r>
          </w:p>
        </w:tc>
        <w:tc>
          <w:tcPr>
            <w:tcW w:w="1417" w:type="dxa"/>
            <w:hideMark/>
          </w:tcPr>
          <w:p w14:paraId="0A828BF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Retrospective- descriptive</w:t>
            </w:r>
          </w:p>
        </w:tc>
        <w:tc>
          <w:tcPr>
            <w:tcW w:w="914" w:type="dxa"/>
            <w:hideMark/>
          </w:tcPr>
          <w:p w14:paraId="4D409EA8"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215</w:t>
            </w:r>
          </w:p>
        </w:tc>
        <w:tc>
          <w:tcPr>
            <w:tcW w:w="810" w:type="dxa"/>
            <w:hideMark/>
          </w:tcPr>
          <w:p w14:paraId="43136CA5"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 xml:space="preserve">10 – 70 </w:t>
            </w:r>
          </w:p>
        </w:tc>
        <w:tc>
          <w:tcPr>
            <w:tcW w:w="810" w:type="dxa"/>
            <w:hideMark/>
          </w:tcPr>
          <w:p w14:paraId="5B3BD912"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2.4:1</w:t>
            </w:r>
          </w:p>
        </w:tc>
        <w:tc>
          <w:tcPr>
            <w:tcW w:w="1530" w:type="dxa"/>
            <w:hideMark/>
          </w:tcPr>
          <w:p w14:paraId="22036D4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RTC= 80%</w:t>
            </w:r>
          </w:p>
          <w:p w14:paraId="7884A358"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Falls= 9%</w:t>
            </w:r>
          </w:p>
          <w:p w14:paraId="137B63A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Assaults= 6%</w:t>
            </w:r>
          </w:p>
          <w:p w14:paraId="7FAABAB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Sports= 3%</w:t>
            </w:r>
          </w:p>
          <w:p w14:paraId="53CA998F"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Industrial accidents= 2%</w:t>
            </w:r>
          </w:p>
        </w:tc>
        <w:tc>
          <w:tcPr>
            <w:tcW w:w="1890" w:type="dxa"/>
            <w:hideMark/>
          </w:tcPr>
          <w:p w14:paraId="1E71E615"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Mandible= 67%</w:t>
            </w:r>
          </w:p>
          <w:p w14:paraId="12947305"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Midface= 33%</w:t>
            </w:r>
          </w:p>
        </w:tc>
        <w:tc>
          <w:tcPr>
            <w:tcW w:w="1350" w:type="dxa"/>
            <w:hideMark/>
          </w:tcPr>
          <w:p w14:paraId="640D53E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NR</w:t>
            </w:r>
          </w:p>
        </w:tc>
        <w:tc>
          <w:tcPr>
            <w:tcW w:w="1440" w:type="dxa"/>
            <w:hideMark/>
          </w:tcPr>
          <w:p w14:paraId="6E5934B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NR</w:t>
            </w:r>
          </w:p>
        </w:tc>
        <w:tc>
          <w:tcPr>
            <w:tcW w:w="810" w:type="dxa"/>
            <w:hideMark/>
          </w:tcPr>
          <w:p w14:paraId="6F47275D" w14:textId="77777777" w:rsidR="007A73C9" w:rsidRDefault="007A73C9" w:rsidP="0026501C">
            <w:pPr>
              <w:tabs>
                <w:tab w:val="left" w:pos="1602"/>
                <w:tab w:val="left" w:pos="2142"/>
              </w:tabs>
              <w:ind w:right="244"/>
              <w:rPr>
                <w:rFonts w:ascii="Times New Roman" w:hAnsi="Times New Roman" w:cs="Times New Roman"/>
                <w:sz w:val="20"/>
                <w:szCs w:val="20"/>
              </w:rPr>
            </w:pPr>
            <w:r>
              <w:rPr>
                <w:rFonts w:ascii="Times New Roman" w:hAnsi="Times New Roman" w:cs="Times New Roman"/>
                <w:sz w:val="20"/>
                <w:szCs w:val="20"/>
              </w:rPr>
              <w:t>3/6</w:t>
            </w:r>
          </w:p>
        </w:tc>
      </w:tr>
      <w:tr w:rsidR="007A73C9" w14:paraId="588EFC6E" w14:textId="77777777" w:rsidTr="007A73C9">
        <w:tc>
          <w:tcPr>
            <w:tcW w:w="465" w:type="dxa"/>
            <w:hideMark/>
          </w:tcPr>
          <w:p w14:paraId="7357AB11"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19</w:t>
            </w:r>
          </w:p>
        </w:tc>
        <w:tc>
          <w:tcPr>
            <w:tcW w:w="1245" w:type="dxa"/>
            <w:hideMark/>
          </w:tcPr>
          <w:p w14:paraId="054AAC35"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Obimakinde et al, 2013</w:t>
            </w:r>
            <w:r w:rsidR="00447D36">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{"citationItems":[{"id":"ITEM-1","itemData":{"DOI":"10.4103/1117-6806.103114","ISBN":"1998;27:2869","ISSN":"1117-6806","abstract":"Background: Assault, though a major cause of maxillofacial injuries in the developed nations, has not been adequately investigated among Nigerian population. This study aimed to analyze the pattern of maxillofacial injuries caused by assault in our institution.Methods: A descriptive clinical survey of patients with assault-induced oral and maxillofacial injuries presenting to our maxillofacial surgery clinic/emergency ward was carried out. Demographic data and pattern of injuriesobtained from patients’ record and department trauma databasewere analyzed. Results: 156 patients presented with oral and maxillofacial injuries between October 2009 and December 2010. Thirty-four cases were due to assault and male to female ratio was 1.8:1. The mean age of the patients was 21.4±6.26 years (age range 2–48 years). 23.6% (n=8) of the injuries were due to domestic violence between spouses while 35.3% (n=12) resulted from fight. Students unrest and armed robbery attack accountedfor six cases each (17.7%, n=6), while there were two cases due tochild battering. 64.3% (n=22) of the injuries sustained involved soft tissues while 35.7% involved hard tissues. Contusion was the most common isolated soft tissue injury accounting for 56% (n=10) while dentoalveolar fracture was the most encountered hard tissue injury (62.5%, n=16). Conclusion: There is need for preventive strategies to reduce the incidence of assault-induced maxillofacial injuries.Keywords: Assault, oral and maxillofacial injuries, pattern","author":[{"dropping-particle":"","family":"Obimakinde","given":"OS","non-dropping-particle":"","parse-names":false,"suffix":""},{"dropping-particle":"","family":"Okoje","given":"VN","non-dropping-particle":"","parse-names":false,"suffix":""},{"dropping-particle":"","family":"Fasola","given":"AO","non-dropping-particle":"","parse-names":false,"suffix":""}],"container-title":"Nigerian Journal of Surgery","id":"ITEM-1","issue":"2","issued":{"date-parts":[["2013"]]},"page":"88-90","title":"Pattern of Assault-induced Oral and Maxillofacial Injuries in Ado-Ekiti, Nigeria","type":"article-journal","volume":"18"},"uris":["http://www.mendeley.com/documents/?uuid=c4c484d6-77f6-4b52-b414-bb3c24811e54"]}],"mendeley":{"formattedCitation":"&lt;sup&gt;18&lt;/sup&gt;","plainTextFormattedCitation":"18","previouslyFormattedCitation":"&lt;sup&gt;18&lt;/sup&gt;"},"properties":{"noteIndex":0},"schema":"https://github.com/citation-style-language/schema/raw/master/csl-citation.json"}</w:instrText>
            </w:r>
            <w:r w:rsidR="00447D36">
              <w:rPr>
                <w:rFonts w:ascii="Times New Roman" w:hAnsi="Times New Roman" w:cs="Times New Roman"/>
                <w:sz w:val="20"/>
                <w:szCs w:val="20"/>
              </w:rPr>
              <w:fldChar w:fldCharType="separate"/>
            </w:r>
            <w:r w:rsidRPr="005C6B15">
              <w:rPr>
                <w:rFonts w:ascii="Times New Roman" w:hAnsi="Times New Roman" w:cs="Times New Roman"/>
                <w:noProof/>
                <w:sz w:val="20"/>
                <w:szCs w:val="20"/>
                <w:vertAlign w:val="superscript"/>
              </w:rPr>
              <w:t>18</w:t>
            </w:r>
            <w:r w:rsidR="00447D36">
              <w:rPr>
                <w:rFonts w:ascii="Times New Roman" w:hAnsi="Times New Roman" w:cs="Times New Roman"/>
                <w:sz w:val="20"/>
                <w:szCs w:val="20"/>
              </w:rPr>
              <w:fldChar w:fldCharType="end"/>
            </w:r>
          </w:p>
        </w:tc>
        <w:tc>
          <w:tcPr>
            <w:tcW w:w="810" w:type="dxa"/>
            <w:hideMark/>
          </w:tcPr>
          <w:p w14:paraId="1CBD18A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2009-2010</w:t>
            </w:r>
          </w:p>
        </w:tc>
        <w:tc>
          <w:tcPr>
            <w:tcW w:w="639" w:type="dxa"/>
            <w:hideMark/>
          </w:tcPr>
          <w:p w14:paraId="1D670593"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SW</w:t>
            </w:r>
          </w:p>
        </w:tc>
        <w:tc>
          <w:tcPr>
            <w:tcW w:w="1417" w:type="dxa"/>
            <w:hideMark/>
          </w:tcPr>
          <w:p w14:paraId="144DA282"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 xml:space="preserve">Retrospective-descriptive </w:t>
            </w:r>
          </w:p>
        </w:tc>
        <w:tc>
          <w:tcPr>
            <w:tcW w:w="914" w:type="dxa"/>
            <w:hideMark/>
          </w:tcPr>
          <w:p w14:paraId="0160215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34</w:t>
            </w:r>
          </w:p>
        </w:tc>
        <w:tc>
          <w:tcPr>
            <w:tcW w:w="810" w:type="dxa"/>
            <w:hideMark/>
          </w:tcPr>
          <w:p w14:paraId="5FEC6883"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 xml:space="preserve">2 – 48 </w:t>
            </w:r>
          </w:p>
        </w:tc>
        <w:tc>
          <w:tcPr>
            <w:tcW w:w="810" w:type="dxa"/>
            <w:hideMark/>
          </w:tcPr>
          <w:p w14:paraId="0B725C3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1.8:1</w:t>
            </w:r>
          </w:p>
        </w:tc>
        <w:tc>
          <w:tcPr>
            <w:tcW w:w="1530" w:type="dxa"/>
          </w:tcPr>
          <w:p w14:paraId="3D49254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Assault 100%</w:t>
            </w:r>
          </w:p>
          <w:p w14:paraId="3A286A44" w14:textId="77777777" w:rsidR="007A73C9" w:rsidRDefault="007A73C9" w:rsidP="0026501C">
            <w:pPr>
              <w:rPr>
                <w:rFonts w:ascii="Times New Roman" w:hAnsi="Times New Roman" w:cs="Times New Roman"/>
                <w:sz w:val="20"/>
                <w:szCs w:val="20"/>
              </w:rPr>
            </w:pPr>
          </w:p>
          <w:p w14:paraId="3B817923"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Fights= 35.3%</w:t>
            </w:r>
          </w:p>
          <w:p w14:paraId="711103A9"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Domestic= 23.6%</w:t>
            </w:r>
          </w:p>
          <w:p w14:paraId="34C6635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Unrest= 17.7%</w:t>
            </w:r>
          </w:p>
          <w:p w14:paraId="39DD6DF3"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Robbery= 17.7%</w:t>
            </w:r>
          </w:p>
          <w:p w14:paraId="7ECFD459"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Child abuse= 5.7%</w:t>
            </w:r>
          </w:p>
        </w:tc>
        <w:tc>
          <w:tcPr>
            <w:tcW w:w="1890" w:type="dxa"/>
            <w:hideMark/>
          </w:tcPr>
          <w:p w14:paraId="061248B5"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Soft tissue= 52.9%</w:t>
            </w:r>
          </w:p>
          <w:p w14:paraId="067BEA4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Dentoalveolar= 29.4%</w:t>
            </w:r>
          </w:p>
          <w:p w14:paraId="5AD83555"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Mandible= 5.9%</w:t>
            </w:r>
          </w:p>
          <w:p w14:paraId="3382E1E9"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Nasal= 5.9%</w:t>
            </w:r>
          </w:p>
          <w:p w14:paraId="3F216DE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Tooth avulsion= 5.9%</w:t>
            </w:r>
          </w:p>
        </w:tc>
        <w:tc>
          <w:tcPr>
            <w:tcW w:w="1350" w:type="dxa"/>
            <w:hideMark/>
          </w:tcPr>
          <w:p w14:paraId="0083057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Absent</w:t>
            </w:r>
          </w:p>
        </w:tc>
        <w:tc>
          <w:tcPr>
            <w:tcW w:w="1440" w:type="dxa"/>
          </w:tcPr>
          <w:p w14:paraId="3D75CDC5"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Suturing for soft tissues</w:t>
            </w:r>
          </w:p>
          <w:p w14:paraId="6B63DE19"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Closed reduction for nasal</w:t>
            </w:r>
          </w:p>
          <w:p w14:paraId="714C6116"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IMF/ splinting for dento-alveolar and mandibular</w:t>
            </w:r>
          </w:p>
          <w:p w14:paraId="1A357A83" w14:textId="77777777" w:rsidR="007A73C9" w:rsidRDefault="007A73C9" w:rsidP="0026501C">
            <w:pPr>
              <w:rPr>
                <w:rFonts w:ascii="Times New Roman" w:hAnsi="Times New Roman" w:cs="Times New Roman"/>
                <w:sz w:val="20"/>
                <w:szCs w:val="20"/>
              </w:rPr>
            </w:pPr>
          </w:p>
        </w:tc>
        <w:tc>
          <w:tcPr>
            <w:tcW w:w="810" w:type="dxa"/>
            <w:hideMark/>
          </w:tcPr>
          <w:p w14:paraId="10A9AE43" w14:textId="77777777" w:rsidR="007A73C9" w:rsidRDefault="007A73C9" w:rsidP="0026501C">
            <w:pPr>
              <w:tabs>
                <w:tab w:val="left" w:pos="1602"/>
                <w:tab w:val="left" w:pos="2142"/>
              </w:tabs>
              <w:ind w:right="244"/>
              <w:rPr>
                <w:rFonts w:ascii="Times New Roman" w:hAnsi="Times New Roman" w:cs="Times New Roman"/>
                <w:sz w:val="20"/>
                <w:szCs w:val="20"/>
              </w:rPr>
            </w:pPr>
            <w:r>
              <w:rPr>
                <w:rFonts w:ascii="Times New Roman" w:hAnsi="Times New Roman" w:cs="Times New Roman"/>
                <w:sz w:val="20"/>
                <w:szCs w:val="20"/>
              </w:rPr>
              <w:t>4/6</w:t>
            </w:r>
          </w:p>
        </w:tc>
      </w:tr>
      <w:tr w:rsidR="007A73C9" w14:paraId="44E301CF" w14:textId="77777777" w:rsidTr="007A73C9">
        <w:tc>
          <w:tcPr>
            <w:tcW w:w="465" w:type="dxa"/>
            <w:hideMark/>
          </w:tcPr>
          <w:p w14:paraId="0076FBB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20</w:t>
            </w:r>
          </w:p>
        </w:tc>
        <w:tc>
          <w:tcPr>
            <w:tcW w:w="1245" w:type="dxa"/>
            <w:hideMark/>
          </w:tcPr>
          <w:p w14:paraId="6FA3DA65"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Obimakinde et al, 2017</w:t>
            </w:r>
            <w:r w:rsidR="00447D36">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{"citationItems":[{"id":"ITEM-1","itemData":{"DOI":"10.11604/pamj.2017.26.218.11621","ISSN":"19378688","PMID":"28690732","abstract":"Introduction: Previous reports indicated that there is geographic and sociodemographic variation in the epidemiology of maxillofacial fractures. Audit of maxillofacial injuries managed at any institution is therefore necessary to understand the trends and proffer strategies for prevention. We therefore embarked on this study to determine the pattern of maxillofacial fractures and concomitant injuries in our institution. Methods: We carried out a retrospective review of information on demography, aetiology and type of maxillofacial fracture, patients' status, type of crash, level of consciousness and concomitant injuries. The data collected was analysed with SPSS Version 20. Results: A total of 233 patients aged 2 to 66 years were reviewed. A higher male preponderance (M:F 3.4:1) was observed. Road traffic crashes (RTC) accounted for 78.5% of injuries. Motorcycle related crashes were responsible for 69.4% of RTC and 54.5% of all fractures. Fracture of the mandible (63.2% n=172) was the most predominant skeletal injury and the body (25% n=43) was the most common site of fracture while the zygoma (29%) was predominantly affected in the midface. Ninety three patients (40%) suffered loss of consciousness. The relationship between aetiology of injuries and consciousness level of the patients was statistically significant (p=0.001). Of the 43 patients who had concomitant injuries, craniocerebral affectation (60.5%) was the commonest. Conclusion: RTC remains the major aetiology of maxillofacial fractures. The mandible was mostly affected and nearly half of the patients have associated loss of consciousness. There is need for continual advocacy and enforcement of laws on preventive measures among road users.","author":[{"dropping-particle":"","family":"Obimakinde","given":"Obitade Sunday","non-dropping-particle":"","parse-names":false,"suffix":""},{"dropping-particle":"","family":"Ogundipe","given":"Kolawole Olubunmi","non-dropping-particle":"","parse-names":false,"suffix":""},{"dropping-particle":"","family":"Rabiu","given":"Taopheeq Bamidele","non-dropping-particle":"","parse-names":false,"suffix":""},{"dropping-particle":"","family":"Okoje","given":"Victoria Nwebuni","non-dropping-particle":"","parse-names":false,"suffix":""}],"container-title":"Pan African Medical Journal","id":"ITEM-1","issued":{"date-parts":[["2017"]]},"page":"1-9","title":"Maxillofacial fractures in a budding teaching hospital: A study of pattern of presentation and care","type":"article-journal","volume":"26"},"uris":["http://www.mendeley.com/documents/?uuid=19d1741b-81b4-404c-b174-e8632dd8bec2"]}],"mendeley":{"formattedCitation":"&lt;sup&gt;19&lt;/sup&gt;","plainTextFormattedCitation":"19","previouslyFormattedCitation":"&lt;sup&gt;19&lt;/sup&gt;"},"properties":{"noteIndex":0},"schema":"https://github.com/citation-style-language/schema/raw/master/csl-citation.json"}</w:instrText>
            </w:r>
            <w:r w:rsidR="00447D36">
              <w:rPr>
                <w:rFonts w:ascii="Times New Roman" w:hAnsi="Times New Roman" w:cs="Times New Roman"/>
                <w:sz w:val="20"/>
                <w:szCs w:val="20"/>
              </w:rPr>
              <w:fldChar w:fldCharType="separate"/>
            </w:r>
            <w:r w:rsidRPr="005C6B15">
              <w:rPr>
                <w:rFonts w:ascii="Times New Roman" w:hAnsi="Times New Roman" w:cs="Times New Roman"/>
                <w:noProof/>
                <w:sz w:val="20"/>
                <w:szCs w:val="20"/>
                <w:vertAlign w:val="superscript"/>
              </w:rPr>
              <w:t>19</w:t>
            </w:r>
            <w:r w:rsidR="00447D36">
              <w:rPr>
                <w:rFonts w:ascii="Times New Roman" w:hAnsi="Times New Roman" w:cs="Times New Roman"/>
                <w:sz w:val="20"/>
                <w:szCs w:val="20"/>
              </w:rPr>
              <w:fldChar w:fldCharType="end"/>
            </w:r>
          </w:p>
        </w:tc>
        <w:tc>
          <w:tcPr>
            <w:tcW w:w="810" w:type="dxa"/>
            <w:hideMark/>
          </w:tcPr>
          <w:p w14:paraId="7BFE4E0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2010-2014</w:t>
            </w:r>
          </w:p>
        </w:tc>
        <w:tc>
          <w:tcPr>
            <w:tcW w:w="639" w:type="dxa"/>
            <w:hideMark/>
          </w:tcPr>
          <w:p w14:paraId="66033E6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SW</w:t>
            </w:r>
          </w:p>
        </w:tc>
        <w:tc>
          <w:tcPr>
            <w:tcW w:w="1417" w:type="dxa"/>
            <w:hideMark/>
          </w:tcPr>
          <w:p w14:paraId="257CC3C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Retrospective-descriptive</w:t>
            </w:r>
          </w:p>
        </w:tc>
        <w:tc>
          <w:tcPr>
            <w:tcW w:w="914" w:type="dxa"/>
            <w:hideMark/>
          </w:tcPr>
          <w:p w14:paraId="3E6EF658"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233</w:t>
            </w:r>
          </w:p>
        </w:tc>
        <w:tc>
          <w:tcPr>
            <w:tcW w:w="810" w:type="dxa"/>
            <w:hideMark/>
          </w:tcPr>
          <w:p w14:paraId="41ED540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 xml:space="preserve">2 – 66 </w:t>
            </w:r>
          </w:p>
        </w:tc>
        <w:tc>
          <w:tcPr>
            <w:tcW w:w="810" w:type="dxa"/>
            <w:hideMark/>
          </w:tcPr>
          <w:p w14:paraId="48BD6403"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3.7:1</w:t>
            </w:r>
          </w:p>
        </w:tc>
        <w:tc>
          <w:tcPr>
            <w:tcW w:w="1530" w:type="dxa"/>
            <w:hideMark/>
          </w:tcPr>
          <w:p w14:paraId="24B2AE45"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RTC= 78.5%</w:t>
            </w:r>
          </w:p>
          <w:p w14:paraId="75D4451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(MCC= 54.5%)</w:t>
            </w:r>
          </w:p>
          <w:p w14:paraId="6B6C3E4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Assault= 19.7%</w:t>
            </w:r>
          </w:p>
          <w:p w14:paraId="329E146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Falls= 0.9%</w:t>
            </w:r>
          </w:p>
          <w:p w14:paraId="758212A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Sport= 0.9%</w:t>
            </w:r>
          </w:p>
        </w:tc>
        <w:tc>
          <w:tcPr>
            <w:tcW w:w="1890" w:type="dxa"/>
            <w:hideMark/>
          </w:tcPr>
          <w:p w14:paraId="1A118873"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Mandible= 63.2%</w:t>
            </w:r>
          </w:p>
          <w:p w14:paraId="2DAC753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Midface= 31.8%</w:t>
            </w:r>
          </w:p>
        </w:tc>
        <w:tc>
          <w:tcPr>
            <w:tcW w:w="1350" w:type="dxa"/>
            <w:hideMark/>
          </w:tcPr>
          <w:p w14:paraId="4C19F68E"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CNS= 11.2%</w:t>
            </w:r>
          </w:p>
          <w:p w14:paraId="1B14802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 xml:space="preserve">Cervical spine= 3.4% </w:t>
            </w:r>
          </w:p>
          <w:p w14:paraId="7C8608F9"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 xml:space="preserve">Rib fracture= 0.9% </w:t>
            </w:r>
          </w:p>
          <w:p w14:paraId="3D13355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 xml:space="preserve">Upper limb= 0.9% </w:t>
            </w:r>
          </w:p>
          <w:p w14:paraId="24F302D5"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Lower limb= 1.3%</w:t>
            </w:r>
          </w:p>
          <w:p w14:paraId="19C07B4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Eye globe= 0.9%</w:t>
            </w:r>
          </w:p>
        </w:tc>
        <w:tc>
          <w:tcPr>
            <w:tcW w:w="1440" w:type="dxa"/>
            <w:hideMark/>
          </w:tcPr>
          <w:p w14:paraId="0844FFE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Conservative= 28.7%</w:t>
            </w:r>
          </w:p>
          <w:p w14:paraId="5A18DBA3"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IMF= 46%</w:t>
            </w:r>
          </w:p>
          <w:p w14:paraId="06AEDCF3"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ORIF= 25.3%</w:t>
            </w:r>
          </w:p>
        </w:tc>
        <w:tc>
          <w:tcPr>
            <w:tcW w:w="810" w:type="dxa"/>
            <w:hideMark/>
          </w:tcPr>
          <w:p w14:paraId="7D5F1CDB" w14:textId="77777777" w:rsidR="007A73C9" w:rsidRDefault="007A73C9" w:rsidP="0026501C">
            <w:pPr>
              <w:tabs>
                <w:tab w:val="left" w:pos="1602"/>
                <w:tab w:val="left" w:pos="2142"/>
              </w:tabs>
              <w:ind w:right="244"/>
              <w:rPr>
                <w:rFonts w:ascii="Times New Roman" w:hAnsi="Times New Roman" w:cs="Times New Roman"/>
                <w:sz w:val="20"/>
                <w:szCs w:val="20"/>
              </w:rPr>
            </w:pPr>
            <w:r>
              <w:rPr>
                <w:rFonts w:ascii="Times New Roman" w:hAnsi="Times New Roman" w:cs="Times New Roman"/>
                <w:sz w:val="20"/>
                <w:szCs w:val="20"/>
              </w:rPr>
              <w:t>3/6</w:t>
            </w:r>
          </w:p>
        </w:tc>
      </w:tr>
      <w:tr w:rsidR="007A73C9" w14:paraId="42E68988" w14:textId="77777777" w:rsidTr="007A73C9">
        <w:tc>
          <w:tcPr>
            <w:tcW w:w="465" w:type="dxa"/>
            <w:hideMark/>
          </w:tcPr>
          <w:p w14:paraId="53C92C9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21</w:t>
            </w:r>
          </w:p>
        </w:tc>
        <w:tc>
          <w:tcPr>
            <w:tcW w:w="1245" w:type="dxa"/>
            <w:hideMark/>
          </w:tcPr>
          <w:p w14:paraId="67C0F7F2"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Obuekwe et al, 2005</w:t>
            </w:r>
            <w:r w:rsidR="00447D36">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{"citationItems":[{"id":"ITEM-1","itemData":{"ISSN":"0027-9684 (Print)","PMID":"16080669","abstract":"PURPOSE: To document the etiology and clinical data of patients with fractures of  the zygomatic complex seen in two university teaching hospitals in Nigeria and to compare the findings with other studies in the literature. PATIENTS AND METHODS: A six-year retrospective study involving 134 patients with zygomatic complex fractures. These patients were selected from a pool of 960 patients who sustained maxillofacial fractures during the period under review. Recorded were demographic, etiologic and clinical data as well as radiologic findings, treatment and postoperative complications. The Chi-squared test was used to test for significance and p values &lt; 0.05 were regarded as significant. RESULTS: 76.1% were males and 23.9% females. Most (46.3%) patients were aged 21-30 years and road traffic accidents (82.1%) caused the most injuries (p &lt; 0.05). Regarding the site of fracture, 88.8% of the patients had fractures of the zygomatic bone, 8.2% had fractures of the arch, and 3.0% had fractures of both the zygomatic bone and arch. The most frequently associated maxillofacial fracture was mandibular (21.0%). The commonest clinical feature was subconjunctival ecchymosis (63.4%), while the commonest radiologic findings were fractures at the zygomatico-frontal and zygomatico-maxillary sutures (38.8%). The Gillies approach (23.4%) was the commonest method of reduction. CONCLUSION: This study has shown that road traffic accidents are responsible for most zygomatic complex fractures in our environment. Urgent enforcement of road traffic legislation is therefore necessary to minimize zygomatic complex fractures due to road traffic accidents. It also showed a low utilization of technological advances in the imaging and treatment of these fractures. These may play a role in the frequency of postoperative complications.","author":[{"dropping-particle":"","family":"Obuekwe","given":"Ozoemene","non-dropping-particle":"","parse-names":false,"suffix":""},{"dropping-particle":"","family":"Owotade","given":"Folusho","non-dropping-particle":"","parse-names":false,"suffix":""},{"dropping-particle":"","family":"Osaiyuwu","given":"Omokaro","non-dropping-particle":"","parse-names":false,"suffix":""}],"container-title":"Journal of the National Medical Association","id":"ITEM-1","issue":"7","issued":{"date-parts":[["2005","7"]]},"language":"eng","page":"992-996","title":"Etiology and pattern of zygomatic complex fractures: a retrospective study.","type":"article-journal","volume":"97"},"uris":["http://www.mendeley.com/documents/?uuid=194caf84-bf71-491a-a209-1dac48c9618f"]}],"mendeley":{"formattedCitation":"&lt;sup&gt;20&lt;/sup&gt;","plainTextFormattedCitation":"20","previouslyFormattedCitation":"&lt;sup&gt;20&lt;/sup&gt;"},"properties":{"noteIndex":0},"schema":"https://github.com/citation-style-language/schema/raw/master/csl-citation.json"}</w:instrText>
            </w:r>
            <w:r w:rsidR="00447D36">
              <w:rPr>
                <w:rFonts w:ascii="Times New Roman" w:hAnsi="Times New Roman" w:cs="Times New Roman"/>
                <w:sz w:val="20"/>
                <w:szCs w:val="20"/>
              </w:rPr>
              <w:fldChar w:fldCharType="separate"/>
            </w:r>
            <w:r w:rsidRPr="005C6B15">
              <w:rPr>
                <w:rFonts w:ascii="Times New Roman" w:hAnsi="Times New Roman" w:cs="Times New Roman"/>
                <w:noProof/>
                <w:sz w:val="20"/>
                <w:szCs w:val="20"/>
                <w:vertAlign w:val="superscript"/>
              </w:rPr>
              <w:t>20</w:t>
            </w:r>
            <w:r w:rsidR="00447D36">
              <w:rPr>
                <w:rFonts w:ascii="Times New Roman" w:hAnsi="Times New Roman" w:cs="Times New Roman"/>
                <w:sz w:val="20"/>
                <w:szCs w:val="20"/>
              </w:rPr>
              <w:fldChar w:fldCharType="end"/>
            </w:r>
          </w:p>
        </w:tc>
        <w:tc>
          <w:tcPr>
            <w:tcW w:w="810" w:type="dxa"/>
            <w:hideMark/>
          </w:tcPr>
          <w:p w14:paraId="70F4DD3F"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1999-2003</w:t>
            </w:r>
          </w:p>
        </w:tc>
        <w:tc>
          <w:tcPr>
            <w:tcW w:w="639" w:type="dxa"/>
            <w:hideMark/>
          </w:tcPr>
          <w:p w14:paraId="7CD8AE06"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SW</w:t>
            </w:r>
          </w:p>
        </w:tc>
        <w:tc>
          <w:tcPr>
            <w:tcW w:w="1417" w:type="dxa"/>
            <w:hideMark/>
          </w:tcPr>
          <w:p w14:paraId="1F990B0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Retrospective- descriptive</w:t>
            </w:r>
          </w:p>
        </w:tc>
        <w:tc>
          <w:tcPr>
            <w:tcW w:w="914" w:type="dxa"/>
            <w:hideMark/>
          </w:tcPr>
          <w:p w14:paraId="4D47CB5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134</w:t>
            </w:r>
          </w:p>
        </w:tc>
        <w:tc>
          <w:tcPr>
            <w:tcW w:w="810" w:type="dxa"/>
            <w:hideMark/>
          </w:tcPr>
          <w:p w14:paraId="5651190E"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18 – 70</w:t>
            </w:r>
          </w:p>
        </w:tc>
        <w:tc>
          <w:tcPr>
            <w:tcW w:w="810" w:type="dxa"/>
            <w:hideMark/>
          </w:tcPr>
          <w:p w14:paraId="003B145E"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3.2:1</w:t>
            </w:r>
          </w:p>
        </w:tc>
        <w:tc>
          <w:tcPr>
            <w:tcW w:w="1530" w:type="dxa"/>
            <w:hideMark/>
          </w:tcPr>
          <w:p w14:paraId="75890B4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RTC= 82.1%</w:t>
            </w:r>
          </w:p>
          <w:p w14:paraId="258368CF"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Assault= 13.5%</w:t>
            </w:r>
          </w:p>
          <w:p w14:paraId="3D589B5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Falls= 3.7%</w:t>
            </w:r>
          </w:p>
          <w:p w14:paraId="0B4C907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Sports= 0.7%</w:t>
            </w:r>
          </w:p>
        </w:tc>
        <w:tc>
          <w:tcPr>
            <w:tcW w:w="1890" w:type="dxa"/>
            <w:hideMark/>
          </w:tcPr>
          <w:p w14:paraId="134F8EC9"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Midface= 100%</w:t>
            </w:r>
          </w:p>
        </w:tc>
        <w:tc>
          <w:tcPr>
            <w:tcW w:w="1350" w:type="dxa"/>
            <w:hideMark/>
          </w:tcPr>
          <w:p w14:paraId="6E256F29"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NR</w:t>
            </w:r>
          </w:p>
        </w:tc>
        <w:tc>
          <w:tcPr>
            <w:tcW w:w="1440" w:type="dxa"/>
            <w:hideMark/>
          </w:tcPr>
          <w:p w14:paraId="2D26764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Conservative= 7%</w:t>
            </w:r>
          </w:p>
          <w:p w14:paraId="37952BEF"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IMF= 41.5%</w:t>
            </w:r>
          </w:p>
          <w:p w14:paraId="70C33FFF"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ORIF= 51.5%</w:t>
            </w:r>
          </w:p>
        </w:tc>
        <w:tc>
          <w:tcPr>
            <w:tcW w:w="810" w:type="dxa"/>
            <w:hideMark/>
          </w:tcPr>
          <w:p w14:paraId="0D7B011E" w14:textId="77777777" w:rsidR="007A73C9" w:rsidRDefault="007A73C9" w:rsidP="0026501C">
            <w:pPr>
              <w:tabs>
                <w:tab w:val="left" w:pos="1602"/>
                <w:tab w:val="left" w:pos="2142"/>
              </w:tabs>
              <w:ind w:right="244"/>
              <w:rPr>
                <w:rFonts w:ascii="Times New Roman" w:hAnsi="Times New Roman" w:cs="Times New Roman"/>
                <w:sz w:val="20"/>
                <w:szCs w:val="20"/>
              </w:rPr>
            </w:pPr>
            <w:r>
              <w:rPr>
                <w:rFonts w:ascii="Times New Roman" w:hAnsi="Times New Roman" w:cs="Times New Roman"/>
                <w:sz w:val="20"/>
                <w:szCs w:val="20"/>
              </w:rPr>
              <w:t>3/6</w:t>
            </w:r>
          </w:p>
        </w:tc>
      </w:tr>
      <w:tr w:rsidR="007A73C9" w14:paraId="7EDDD4D5" w14:textId="77777777" w:rsidTr="007A73C9">
        <w:tc>
          <w:tcPr>
            <w:tcW w:w="465" w:type="dxa"/>
          </w:tcPr>
          <w:p w14:paraId="2136F1A3"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22</w:t>
            </w:r>
          </w:p>
        </w:tc>
        <w:tc>
          <w:tcPr>
            <w:tcW w:w="1245" w:type="dxa"/>
          </w:tcPr>
          <w:p w14:paraId="53E0BBC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Oginni et al, 2006</w:t>
            </w:r>
            <w:r w:rsidR="00447D36">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{"citationItems":[{"id":"ITEM-1","itemData":{"DOI":"10.1016/j.joms.2005.09.027","ISSN":"02782391","PMID":"16360857","abstract":"Purpose: We sought to determine the etiology and pattern of motorcycle-related maxillofacial injuries among intracity road users in Nigeria. Patients and Methods: We conducted a prospective review of all patients presenting at the maxillofacial surgery units of the Obafemi Awolowo University Teaching Hospital Ile-Ife and Usmanu Dan Fodiyo University Teaching Hospital Sokoto with motorcycle-related injuries. Results: One hundred seven patients were included in the study. A significant male preponderance was observed (P = .002). Overall, the peak age incidence was 20 to 29 years, whereas female patients had a peak age incidence of 10 to 19 years. Victims were mostly riders (50.5%) but none of them was a female. While 8.4% of accidents occurred on motorcycles with more than one pillion passenger, none of the victims reported using a crash helmet. Mechanism of accident was mostly head-on collision (39.2%). The injuries sustained were predominantly soft tissue injuries or in combination with bone injury. Bone and dental injuries were attributed mostly to falls. Facial bone injuries occurred mostly in the mandible (64 of 104). A symmetric distribution of injuries was observed in the upper, middle, and lower thirds of the face, but the middle third had the highest injury sites while the upper third had the least. Conclusions: Motorcycle-related maxillofacial injuries among Nigerians affect males predominantly. The injuries sustained have a symmetric distribution and were mostly soft tissue injuries in isolation or in combination with bony injuries. The middle third of the face is most vulnerable. Mandatory use of safety helmets and education of cyclists on the appropriate number of pillion passengers are imperative to minimize the morbidity and mortality associated with motorcycle accidents. © 2006 American Association of Oral and Maxillofacial Surgeons.","author":[{"dropping-particle":"","family":"Oginni","given":"Fadekemi Olufunmilayo","non-dropping-particle":"","parse-names":false,"suffix":""},{"dropping-particle":"","family":"Ugboko","given":"Vincent Ifechukwukwu","non-dropping-particle":"","parse-names":false,"suffix":""},{"dropping-particle":"","family":"Ogundipe","given":"Olukunle","non-dropping-particle":"","parse-names":false,"suffix":""},{"dropping-particle":"","family":"Adegbehingbe","given":"Bernice Oluwakemi","non-dropping-particle":"","parse-names":false,"suffix":""}],"container-title":"Journal of Oral and Maxillofacial Surgery","id":"ITEM-1","issue":"1","issued":{"date-parts":[["2006"]]},"page":"56-62","title":"Motorcycle-related maxillofacial injuries among nigerian intracity road users","type":"article-journal","volume":"64"},"uris":["http://www.mendeley.com/documents/?uuid=2e21bbb8-1d25-4095-916c-eec05859b51d"]}],"mendeley":{"formattedCitation":"&lt;sup&gt;43&lt;/sup&gt;","plainTextFormattedCitation":"43","previouslyFormattedCitation":"&lt;sup&gt;43&lt;/sup&gt;"},"properties":{"noteIndex":0},"schema":"https://github.com/citation-style-language/schema/raw/master/csl-citation.json"}</w:instrText>
            </w:r>
            <w:r w:rsidR="00447D36">
              <w:rPr>
                <w:rFonts w:ascii="Times New Roman" w:hAnsi="Times New Roman" w:cs="Times New Roman"/>
                <w:sz w:val="20"/>
                <w:szCs w:val="20"/>
              </w:rPr>
              <w:fldChar w:fldCharType="separate"/>
            </w:r>
            <w:r w:rsidRPr="005C6B15">
              <w:rPr>
                <w:rFonts w:ascii="Times New Roman" w:hAnsi="Times New Roman" w:cs="Times New Roman"/>
                <w:noProof/>
                <w:sz w:val="20"/>
                <w:szCs w:val="20"/>
                <w:vertAlign w:val="superscript"/>
              </w:rPr>
              <w:t>43</w:t>
            </w:r>
            <w:r w:rsidR="00447D36">
              <w:rPr>
                <w:rFonts w:ascii="Times New Roman" w:hAnsi="Times New Roman" w:cs="Times New Roman"/>
                <w:sz w:val="20"/>
                <w:szCs w:val="20"/>
              </w:rPr>
              <w:fldChar w:fldCharType="end"/>
            </w:r>
          </w:p>
        </w:tc>
        <w:tc>
          <w:tcPr>
            <w:tcW w:w="810" w:type="dxa"/>
          </w:tcPr>
          <w:p w14:paraId="6F9098A8"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2003-2004</w:t>
            </w:r>
          </w:p>
        </w:tc>
        <w:tc>
          <w:tcPr>
            <w:tcW w:w="639" w:type="dxa"/>
          </w:tcPr>
          <w:p w14:paraId="193D5D4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SW, NW</w:t>
            </w:r>
          </w:p>
        </w:tc>
        <w:tc>
          <w:tcPr>
            <w:tcW w:w="1417" w:type="dxa"/>
          </w:tcPr>
          <w:p w14:paraId="6230CE4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Prospective, descriptive</w:t>
            </w:r>
          </w:p>
        </w:tc>
        <w:tc>
          <w:tcPr>
            <w:tcW w:w="914" w:type="dxa"/>
          </w:tcPr>
          <w:p w14:paraId="05655C73"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107</w:t>
            </w:r>
          </w:p>
        </w:tc>
        <w:tc>
          <w:tcPr>
            <w:tcW w:w="810" w:type="dxa"/>
          </w:tcPr>
          <w:p w14:paraId="1C984A2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 xml:space="preserve">6 – 68 </w:t>
            </w:r>
          </w:p>
        </w:tc>
        <w:tc>
          <w:tcPr>
            <w:tcW w:w="810" w:type="dxa"/>
          </w:tcPr>
          <w:p w14:paraId="19623BC6"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3.5:1</w:t>
            </w:r>
          </w:p>
        </w:tc>
        <w:tc>
          <w:tcPr>
            <w:tcW w:w="1530" w:type="dxa"/>
          </w:tcPr>
          <w:p w14:paraId="689BE0D6"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MCC=100%</w:t>
            </w:r>
          </w:p>
        </w:tc>
        <w:tc>
          <w:tcPr>
            <w:tcW w:w="1890" w:type="dxa"/>
          </w:tcPr>
          <w:p w14:paraId="3F0D5DA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Mandible=59.8%</w:t>
            </w:r>
          </w:p>
          <w:p w14:paraId="7ECE25A1"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Midface=32.7%</w:t>
            </w:r>
          </w:p>
          <w:p w14:paraId="45869583"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Upper face=1.9%</w:t>
            </w:r>
          </w:p>
          <w:p w14:paraId="57229E8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Combination=5.6%</w:t>
            </w:r>
          </w:p>
        </w:tc>
        <w:tc>
          <w:tcPr>
            <w:tcW w:w="1350" w:type="dxa"/>
          </w:tcPr>
          <w:p w14:paraId="66287602"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Soft tissue injuries= 70.6%</w:t>
            </w:r>
          </w:p>
        </w:tc>
        <w:tc>
          <w:tcPr>
            <w:tcW w:w="1440" w:type="dxa"/>
          </w:tcPr>
          <w:p w14:paraId="39442A2E"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NR</w:t>
            </w:r>
          </w:p>
        </w:tc>
        <w:tc>
          <w:tcPr>
            <w:tcW w:w="810" w:type="dxa"/>
          </w:tcPr>
          <w:p w14:paraId="0712FF6E" w14:textId="77777777" w:rsidR="007A73C9" w:rsidRDefault="007A73C9" w:rsidP="0026501C">
            <w:pPr>
              <w:tabs>
                <w:tab w:val="left" w:pos="1602"/>
                <w:tab w:val="left" w:pos="2142"/>
              </w:tabs>
              <w:ind w:right="244"/>
              <w:rPr>
                <w:rFonts w:ascii="Times New Roman" w:hAnsi="Times New Roman" w:cs="Times New Roman"/>
                <w:sz w:val="20"/>
                <w:szCs w:val="20"/>
              </w:rPr>
            </w:pPr>
            <w:r>
              <w:rPr>
                <w:rFonts w:ascii="Times New Roman" w:hAnsi="Times New Roman" w:cs="Times New Roman"/>
                <w:sz w:val="20"/>
                <w:szCs w:val="20"/>
              </w:rPr>
              <w:t>3/6</w:t>
            </w:r>
          </w:p>
        </w:tc>
      </w:tr>
      <w:tr w:rsidR="007A73C9" w14:paraId="475EDB2D" w14:textId="77777777" w:rsidTr="007A73C9">
        <w:tc>
          <w:tcPr>
            <w:tcW w:w="465" w:type="dxa"/>
          </w:tcPr>
          <w:p w14:paraId="1F3AE039"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lastRenderedPageBreak/>
              <w:t>23</w:t>
            </w:r>
          </w:p>
        </w:tc>
        <w:tc>
          <w:tcPr>
            <w:tcW w:w="1245" w:type="dxa"/>
          </w:tcPr>
          <w:p w14:paraId="30B8B37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Oginni et al, 2009</w:t>
            </w:r>
            <w:r w:rsidR="00447D36">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{"citationItems":[{"id":"ITEM-1","itemData":{"DOI":"10.1080/15389580802496968","ISSN":"15389588","PMID":"19214880","abstract":"Objective: This 12-month prospective multi-center study was designed to ascertain the entire injury profile, injury severity, and risk factors in motorcycle injured Nigerian maxillofacial patients. Methods: With a validated investigator-administered questionnaire, we obtained data from motorcycle-injured in- and out-patients managed in the maxillofacial units of four Nigerian teaching hospitals. Standardized information on host factors, agent, and type of crash as well as location, type, and extent of injury were elicited. Injuries were scored using the Facial Injury Severity and Abbreviated Injury scales (FISS, AIS). Results: A significant male preponderance was observed (p = 0.003) with peak age 21-30 years; 62.7% of the patients were riders. Alcohol/substance abuse was implicated in 31.2% of riders, fatigue in 13.5%, and bad roads in 17.6%. The rate of helmet use was 3%. The predominant type of crash was head-on collision (HOC) 58%). Glasgow Coma Scale (GCS) score ranged from 5 to 15 with mean 13.3 (3.5); Facial Injury Severity Score (FISS) ranged from 1 to 11, mean 3.7 (1.9); and Abbreviated Injury Score was mostly 2. FISS was not significantly different between both genders (p = 0.26) and road types (p 0.05). The mean FISS was greater with multiple passengers than with single or no passengers (p = 0.12) and lower with crashes involving motorcycles carrying heavier loads (p = 0.022). Six of the patients died (2.7% fatality) in the course of their hospitalization all within a month of injury. Conclusion: We advocate prompt legislation of a ban on greater than one passenger on a motorcycle, impaired (substance abuse) operation on a motorcycle, and stronger enforcement of speed limit and adoption of legislation that would make it mandatory to wear a full-face helmet when operating a motorcycle in Nigeria.","author":[{"dropping-particle":"","family":"Oginni","given":"F. O.","non-dropping-particle":"","parse-names":false,"suffix":""},{"dropping-particle":"","family":"Ajike","given":"S. O.","non-dropping-particle":"","parse-names":false,"suffix":""},{"dropping-particle":"","family":"Obuekwe","given":"O. N.","non-dropping-particle":"","parse-names":false,"suffix":""},{"dropping-particle":"","family":"Fasola","given":"O.","non-dropping-particle":"","parse-names":false,"suffix":""}],"container-title":"Traffic Injury Prevention","id":"ITEM-1","issue":"1","issued":{"date-parts":[["2009"]]},"page":"70-75","title":"A prospective multicenter study of injury profile, severity and risk factors in 221 motorcycle-injured nigerian maxillofacial patients","type":"article-journal","volume":"10"},"uris":["http://www.mendeley.com/documents/?uuid=a979133b-c43b-41f3-ae96-fa7e71c3c972"]}],"mendeley":{"formattedCitation":"&lt;sup&gt;44&lt;/sup&gt;","plainTextFormattedCitation":"44","previouslyFormattedCitation":"&lt;sup&gt;44&lt;/sup&gt;"},"properties":{"noteIndex":0},"schema":"https://github.com/citation-style-language/schema/raw/master/csl-citation.json"}</w:instrText>
            </w:r>
            <w:r w:rsidR="00447D36">
              <w:rPr>
                <w:rFonts w:ascii="Times New Roman" w:hAnsi="Times New Roman" w:cs="Times New Roman"/>
                <w:sz w:val="20"/>
                <w:szCs w:val="20"/>
              </w:rPr>
              <w:fldChar w:fldCharType="separate"/>
            </w:r>
            <w:r w:rsidRPr="005C6B15">
              <w:rPr>
                <w:rFonts w:ascii="Times New Roman" w:hAnsi="Times New Roman" w:cs="Times New Roman"/>
                <w:noProof/>
                <w:sz w:val="20"/>
                <w:szCs w:val="20"/>
                <w:vertAlign w:val="superscript"/>
              </w:rPr>
              <w:t>44</w:t>
            </w:r>
            <w:r w:rsidR="00447D36">
              <w:rPr>
                <w:rFonts w:ascii="Times New Roman" w:hAnsi="Times New Roman" w:cs="Times New Roman"/>
                <w:sz w:val="20"/>
                <w:szCs w:val="20"/>
              </w:rPr>
              <w:fldChar w:fldCharType="end"/>
            </w:r>
          </w:p>
        </w:tc>
        <w:tc>
          <w:tcPr>
            <w:tcW w:w="810" w:type="dxa"/>
          </w:tcPr>
          <w:p w14:paraId="38C99E05"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2004-2005</w:t>
            </w:r>
          </w:p>
        </w:tc>
        <w:tc>
          <w:tcPr>
            <w:tcW w:w="639" w:type="dxa"/>
          </w:tcPr>
          <w:p w14:paraId="29BFEBB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SW, SS, NW</w:t>
            </w:r>
          </w:p>
        </w:tc>
        <w:tc>
          <w:tcPr>
            <w:tcW w:w="1417" w:type="dxa"/>
          </w:tcPr>
          <w:p w14:paraId="42C3041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Prospective-descriptive</w:t>
            </w:r>
          </w:p>
        </w:tc>
        <w:tc>
          <w:tcPr>
            <w:tcW w:w="914" w:type="dxa"/>
          </w:tcPr>
          <w:p w14:paraId="4E8148D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221</w:t>
            </w:r>
          </w:p>
        </w:tc>
        <w:tc>
          <w:tcPr>
            <w:tcW w:w="810" w:type="dxa"/>
          </w:tcPr>
          <w:p w14:paraId="50D523F2"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 xml:space="preserve">4 – 75 </w:t>
            </w:r>
          </w:p>
        </w:tc>
        <w:tc>
          <w:tcPr>
            <w:tcW w:w="810" w:type="dxa"/>
          </w:tcPr>
          <w:p w14:paraId="1BD0D6B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7.8:1</w:t>
            </w:r>
          </w:p>
        </w:tc>
        <w:tc>
          <w:tcPr>
            <w:tcW w:w="1530" w:type="dxa"/>
          </w:tcPr>
          <w:p w14:paraId="35C97E6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MCC=100%</w:t>
            </w:r>
          </w:p>
        </w:tc>
        <w:tc>
          <w:tcPr>
            <w:tcW w:w="1890" w:type="dxa"/>
          </w:tcPr>
          <w:p w14:paraId="0E03D692"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Mandible=37.4%</w:t>
            </w:r>
          </w:p>
          <w:p w14:paraId="444B50A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Midface=44.7%</w:t>
            </w:r>
          </w:p>
          <w:p w14:paraId="186186D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Combination=17.9%</w:t>
            </w:r>
          </w:p>
        </w:tc>
        <w:tc>
          <w:tcPr>
            <w:tcW w:w="1350" w:type="dxa"/>
          </w:tcPr>
          <w:p w14:paraId="707F733F"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CNS=2.7</w:t>
            </w:r>
          </w:p>
          <w:p w14:paraId="6475231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Upper limb=15.4%</w:t>
            </w:r>
          </w:p>
          <w:p w14:paraId="7CD0C04F"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Lower limb=23.1%</w:t>
            </w:r>
          </w:p>
        </w:tc>
        <w:tc>
          <w:tcPr>
            <w:tcW w:w="1440" w:type="dxa"/>
          </w:tcPr>
          <w:p w14:paraId="6F6EA06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NR</w:t>
            </w:r>
          </w:p>
        </w:tc>
        <w:tc>
          <w:tcPr>
            <w:tcW w:w="810" w:type="dxa"/>
          </w:tcPr>
          <w:p w14:paraId="020CFD52" w14:textId="77777777" w:rsidR="007A73C9" w:rsidRDefault="007A73C9" w:rsidP="0026501C">
            <w:pPr>
              <w:tabs>
                <w:tab w:val="left" w:pos="1602"/>
                <w:tab w:val="left" w:pos="2142"/>
              </w:tabs>
              <w:ind w:right="244"/>
              <w:rPr>
                <w:rFonts w:ascii="Times New Roman" w:hAnsi="Times New Roman" w:cs="Times New Roman"/>
                <w:sz w:val="20"/>
                <w:szCs w:val="20"/>
              </w:rPr>
            </w:pPr>
            <w:r>
              <w:rPr>
                <w:rFonts w:ascii="Times New Roman" w:hAnsi="Times New Roman" w:cs="Times New Roman"/>
                <w:sz w:val="20"/>
                <w:szCs w:val="20"/>
              </w:rPr>
              <w:t>4/6</w:t>
            </w:r>
          </w:p>
        </w:tc>
      </w:tr>
      <w:tr w:rsidR="007A73C9" w14:paraId="01705760" w14:textId="77777777" w:rsidTr="007A73C9">
        <w:tc>
          <w:tcPr>
            <w:tcW w:w="465" w:type="dxa"/>
            <w:hideMark/>
          </w:tcPr>
          <w:p w14:paraId="1D0B2385"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24</w:t>
            </w:r>
          </w:p>
        </w:tc>
        <w:tc>
          <w:tcPr>
            <w:tcW w:w="1245" w:type="dxa"/>
            <w:hideMark/>
          </w:tcPr>
          <w:p w14:paraId="4F5E6B73"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Oginni et al, 2016</w:t>
            </w:r>
            <w:r w:rsidR="00447D36">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{"citationItems":[{"id":"ITEM-1","itemData":{"DOI":"10.1007/s12663-015-0826-x","ISSN":"0972-8279 (Print)","PMID":"27298542","abstract":"AIMS: Traumatic injuries remain a major cause of morbidity, mortality and  economic loss worldwide. An audit of maxillofacial injuries presenting and managed at any facility is key to understanding the trends, strategies for prevention and improving outcome of care. We sought to study the pattern and treatment of facial bone fractures managed at the Department of Maxillofacial Surgery, Obafemi Awolowo University Teaching Hospital, Ile-Ife, between 2005 and 2013. Also, to compare these with the pattern in the preceding 29 years. METHODS: Data on patients' socio-demographics, dates of injury and presentation, interval before presentation, agent of injury, type of crash, patient's status, type(s) of fracture, extent of injury, treatment offered and outcome were collected and analyzed. RESULTS: 311 patients aged 5-72 years were reviewed. A male preponderance was observed. Peak age incidence was 21-30 years and 86.1 % of injuries resulted from road traffic crashes (RTC) most (67.5 %) of which were motorcycle related injuries. 215 patients sustained mandibular fractures in 311 sites while 141 patients sustained 225 midface fractures. Of the 242 patients managed definitively, only 11.2 % had open reduction and internal fixation. CONCLUSION: Motorcycle related RTC remains the major cause of facial bone fractures. Management with osteosynthesis is gradually emerging, although demonstrating fewer complications, it is unaffordable for a majority.","author":[{"dropping-particle":"","family":"Oginni","given":"Fadekemi Olufunmilayo","non-dropping-particle":"","parse-names":false,"suffix":""},{"dropping-particle":"","family":"Oladejo","given":"Taoreed","non-dropping-particle":"","parse-names":false,"suffix":""},{"dropping-particle":"","family":"Alake","given":"Dayo Paul","non-dropping-particle":"","parse-names":false,"suffix":""},{"dropping-particle":"","family":"Oguntoba","given":"Jolaiya Olufunke","non-dropping-particle":"","parse-names":false,"suffix":""},{"dropping-particle":"","family":"Adebayo","given":"Olawande Funmilola","non-dropping-particle":"","parse-names":false,"suffix":""}],"container-title":"Journal of maxillofacial and oral surgery","id":"ITEM-1","issue":"2","issued":{"date-parts":[["2016","6"]]},"language":"eng","page":"184-190","title":"Facial Bone Fractures in Ile-Ife, Nigeria: An Update on Pattern of Presentation  and Care.","type":"article-journal","volume":"15"},"uris":["http://www.mendeley.com/documents/?uuid=50a422a3-9085-4027-b78b-d135db932906"]}],"mendeley":{"formattedCitation":"&lt;sup&gt;21&lt;/sup&gt;","plainTextFormattedCitation":"21","previouslyFormattedCitation":"&lt;sup&gt;21&lt;/sup&gt;"},"properties":{"noteIndex":0},"schema":"https://github.com/citation-style-language/schema/raw/master/csl-citation.json"}</w:instrText>
            </w:r>
            <w:r w:rsidR="00447D36">
              <w:rPr>
                <w:rFonts w:ascii="Times New Roman" w:hAnsi="Times New Roman" w:cs="Times New Roman"/>
                <w:sz w:val="20"/>
                <w:szCs w:val="20"/>
              </w:rPr>
              <w:fldChar w:fldCharType="separate"/>
            </w:r>
            <w:r w:rsidRPr="005C6B15">
              <w:rPr>
                <w:rFonts w:ascii="Times New Roman" w:hAnsi="Times New Roman" w:cs="Times New Roman"/>
                <w:noProof/>
                <w:sz w:val="20"/>
                <w:szCs w:val="20"/>
                <w:vertAlign w:val="superscript"/>
              </w:rPr>
              <w:t>21</w:t>
            </w:r>
            <w:r w:rsidR="00447D36">
              <w:rPr>
                <w:rFonts w:ascii="Times New Roman" w:hAnsi="Times New Roman" w:cs="Times New Roman"/>
                <w:sz w:val="20"/>
                <w:szCs w:val="20"/>
              </w:rPr>
              <w:fldChar w:fldCharType="end"/>
            </w:r>
          </w:p>
        </w:tc>
        <w:tc>
          <w:tcPr>
            <w:tcW w:w="810" w:type="dxa"/>
            <w:hideMark/>
          </w:tcPr>
          <w:p w14:paraId="744CF53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2005-2013</w:t>
            </w:r>
          </w:p>
        </w:tc>
        <w:tc>
          <w:tcPr>
            <w:tcW w:w="639" w:type="dxa"/>
            <w:hideMark/>
          </w:tcPr>
          <w:p w14:paraId="47682209"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SW</w:t>
            </w:r>
          </w:p>
        </w:tc>
        <w:tc>
          <w:tcPr>
            <w:tcW w:w="1417" w:type="dxa"/>
            <w:hideMark/>
          </w:tcPr>
          <w:p w14:paraId="00EE9235"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Retrospective- descriptive</w:t>
            </w:r>
          </w:p>
        </w:tc>
        <w:tc>
          <w:tcPr>
            <w:tcW w:w="914" w:type="dxa"/>
            <w:hideMark/>
          </w:tcPr>
          <w:p w14:paraId="5B6BB40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311</w:t>
            </w:r>
          </w:p>
        </w:tc>
        <w:tc>
          <w:tcPr>
            <w:tcW w:w="810" w:type="dxa"/>
            <w:hideMark/>
          </w:tcPr>
          <w:p w14:paraId="4DE7246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 xml:space="preserve">5 – 72 </w:t>
            </w:r>
          </w:p>
        </w:tc>
        <w:tc>
          <w:tcPr>
            <w:tcW w:w="810" w:type="dxa"/>
            <w:hideMark/>
          </w:tcPr>
          <w:p w14:paraId="376D3666"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4.4:1</w:t>
            </w:r>
          </w:p>
        </w:tc>
        <w:tc>
          <w:tcPr>
            <w:tcW w:w="1530" w:type="dxa"/>
            <w:hideMark/>
          </w:tcPr>
          <w:p w14:paraId="73CCC7D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RTC= 86.1%</w:t>
            </w:r>
          </w:p>
          <w:p w14:paraId="121C36D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(MCC= 67.5%)</w:t>
            </w:r>
          </w:p>
          <w:p w14:paraId="5F70899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Assaults= 8%</w:t>
            </w:r>
          </w:p>
          <w:p w14:paraId="7B5AEAC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Falls= 4.9%</w:t>
            </w:r>
          </w:p>
          <w:p w14:paraId="69EE93D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Sports= 1%</w:t>
            </w:r>
          </w:p>
        </w:tc>
        <w:tc>
          <w:tcPr>
            <w:tcW w:w="1890" w:type="dxa"/>
            <w:hideMark/>
          </w:tcPr>
          <w:p w14:paraId="00AB539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Mandible= 54.7%</w:t>
            </w:r>
          </w:p>
          <w:p w14:paraId="47B27436"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Midface= 30.9%</w:t>
            </w:r>
          </w:p>
          <w:p w14:paraId="242129D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Combination= 14.4%</w:t>
            </w:r>
          </w:p>
        </w:tc>
        <w:tc>
          <w:tcPr>
            <w:tcW w:w="1350" w:type="dxa"/>
            <w:hideMark/>
          </w:tcPr>
          <w:p w14:paraId="274EE37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NR</w:t>
            </w:r>
          </w:p>
        </w:tc>
        <w:tc>
          <w:tcPr>
            <w:tcW w:w="1440" w:type="dxa"/>
            <w:hideMark/>
          </w:tcPr>
          <w:p w14:paraId="1879153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Conservative= 11%</w:t>
            </w:r>
          </w:p>
          <w:p w14:paraId="782F8F4E"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IMF= 77.8%</w:t>
            </w:r>
          </w:p>
          <w:p w14:paraId="5399A99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ORIF= 11.2%</w:t>
            </w:r>
          </w:p>
        </w:tc>
        <w:tc>
          <w:tcPr>
            <w:tcW w:w="810" w:type="dxa"/>
            <w:hideMark/>
          </w:tcPr>
          <w:p w14:paraId="490C8C54" w14:textId="77777777" w:rsidR="007A73C9" w:rsidRDefault="007A73C9" w:rsidP="0026501C">
            <w:pPr>
              <w:tabs>
                <w:tab w:val="left" w:pos="1602"/>
                <w:tab w:val="left" w:pos="2142"/>
              </w:tabs>
              <w:ind w:right="244"/>
              <w:rPr>
                <w:rFonts w:ascii="Times New Roman" w:hAnsi="Times New Roman" w:cs="Times New Roman"/>
                <w:sz w:val="20"/>
                <w:szCs w:val="20"/>
              </w:rPr>
            </w:pPr>
            <w:r>
              <w:rPr>
                <w:rFonts w:ascii="Times New Roman" w:hAnsi="Times New Roman" w:cs="Times New Roman"/>
                <w:sz w:val="20"/>
                <w:szCs w:val="20"/>
              </w:rPr>
              <w:t>4/6</w:t>
            </w:r>
          </w:p>
        </w:tc>
      </w:tr>
      <w:tr w:rsidR="007A73C9" w14:paraId="204BF49D" w14:textId="77777777" w:rsidTr="007A73C9">
        <w:tc>
          <w:tcPr>
            <w:tcW w:w="465" w:type="dxa"/>
          </w:tcPr>
          <w:p w14:paraId="4DD49DB8"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25</w:t>
            </w:r>
          </w:p>
        </w:tc>
        <w:tc>
          <w:tcPr>
            <w:tcW w:w="1245" w:type="dxa"/>
          </w:tcPr>
          <w:p w14:paraId="70B37D4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Ogundipe et al, 2012</w:t>
            </w:r>
            <w:r w:rsidR="00447D36">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{"citationItems":[{"id":"ITEM-1","itemData":{"DOI":"10.4172/2161-1122.1000132","abstract":"Aims and objectives: Earlier reports have shown that maxillofacial fractures have a geographic and socio-demographic pattern. The aim of this paper is to document the pattern of maxillofacial fractures and evaluate the treatment outcome for such injuries in Owo, a suburban community in South Western Nigeria. Materials and methods: Medical records of patients who sustained maxillofacial fractures and were treated between were retrospectively reviewed. Demographic data and clinical information were recorded and analyzed using SPSS. Results: Seventy-nine patients representing 12.3% (79/644) of all trauma related admissions in the hospital and 1.3% (9/6226) of all attendees at the dental clinic for the period under review were seen by the maxillofacial Unit (yearly total =19.8). Patients' ages range from 2 to 75 years (mean 32.9 +/-13.3 years). Male to female ratio was 12.2:1. The majority of the facial fractures were due to motorcycle accident and Inter-Maxillary Fixation (IMF) was the commonest treatment modality. Post-operative complications were recorded in 11 patients (17.7%). Conclusion: Young males on motorcycle are more at risk and should be targeted for education on preventive measures. Relevant legislations should be enacted and enforced to curb motorcycle accidents.","author":[{"dropping-particle":"","family":"Ogundipe","given":"OK","non-dropping-particle":"","parse-names":false,"suffix":""},{"dropping-particle":"","family":"Afolabi","given":"AO","non-dropping-particle":"","parse-names":false,"suffix":""},{"dropping-particle":"","family":"Adebayo","given":"O","non-dropping-particle":"","parse-names":false,"suffix":""}],"container-title":"Dentistry","id":"ITEM-1","issue":"04","issued":{"date-parts":[["2012"]]},"page":"4-6","title":"Maxillofacial Fractures in Owo, South Western Nigeria. A 4 Year Retrospective Review of Pattern and Treatment Outcome","type":"article-journal","volume":"02"},"uris":["http://www.mendeley.com/documents/?uuid=00413e40-898b-49cd-9f9c-45b3f939e722"]}],"mendeley":{"formattedCitation":"&lt;sup&gt;22&lt;/sup&gt;","plainTextFormattedCitation":"22","previouslyFormattedCitation":"&lt;sup&gt;22&lt;/sup&gt;"},"properties":{"noteIndex":0},"schema":"https://github.com/citation-style-language/schema/raw/master/csl-citation.json"}</w:instrText>
            </w:r>
            <w:r w:rsidR="00447D36">
              <w:rPr>
                <w:rFonts w:ascii="Times New Roman" w:hAnsi="Times New Roman" w:cs="Times New Roman"/>
                <w:sz w:val="20"/>
                <w:szCs w:val="20"/>
              </w:rPr>
              <w:fldChar w:fldCharType="separate"/>
            </w:r>
            <w:r w:rsidRPr="005C6B15">
              <w:rPr>
                <w:rFonts w:ascii="Times New Roman" w:hAnsi="Times New Roman" w:cs="Times New Roman"/>
                <w:noProof/>
                <w:sz w:val="20"/>
                <w:szCs w:val="20"/>
                <w:vertAlign w:val="superscript"/>
              </w:rPr>
              <w:t>22</w:t>
            </w:r>
            <w:r w:rsidR="00447D36">
              <w:rPr>
                <w:rFonts w:ascii="Times New Roman" w:hAnsi="Times New Roman" w:cs="Times New Roman"/>
                <w:sz w:val="20"/>
                <w:szCs w:val="20"/>
              </w:rPr>
              <w:fldChar w:fldCharType="end"/>
            </w:r>
          </w:p>
        </w:tc>
        <w:tc>
          <w:tcPr>
            <w:tcW w:w="810" w:type="dxa"/>
          </w:tcPr>
          <w:p w14:paraId="30D8EAA6"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2007-2010</w:t>
            </w:r>
          </w:p>
        </w:tc>
        <w:tc>
          <w:tcPr>
            <w:tcW w:w="639" w:type="dxa"/>
          </w:tcPr>
          <w:p w14:paraId="0CAEB973"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SW</w:t>
            </w:r>
          </w:p>
        </w:tc>
        <w:tc>
          <w:tcPr>
            <w:tcW w:w="1417" w:type="dxa"/>
          </w:tcPr>
          <w:p w14:paraId="260D2DC5"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Retrospective- descriptive</w:t>
            </w:r>
          </w:p>
        </w:tc>
        <w:tc>
          <w:tcPr>
            <w:tcW w:w="914" w:type="dxa"/>
          </w:tcPr>
          <w:p w14:paraId="62A1B2D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79</w:t>
            </w:r>
          </w:p>
        </w:tc>
        <w:tc>
          <w:tcPr>
            <w:tcW w:w="810" w:type="dxa"/>
          </w:tcPr>
          <w:p w14:paraId="70578905"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 xml:space="preserve">2 – 75 </w:t>
            </w:r>
          </w:p>
        </w:tc>
        <w:tc>
          <w:tcPr>
            <w:tcW w:w="810" w:type="dxa"/>
          </w:tcPr>
          <w:p w14:paraId="6930829E"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12.2:1</w:t>
            </w:r>
          </w:p>
        </w:tc>
        <w:tc>
          <w:tcPr>
            <w:tcW w:w="1530" w:type="dxa"/>
          </w:tcPr>
          <w:p w14:paraId="050FE6B5"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RTC=92.4</w:t>
            </w:r>
          </w:p>
          <w:p w14:paraId="4E12522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(MCC=64.6)</w:t>
            </w:r>
          </w:p>
          <w:p w14:paraId="2FE7201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Occupational injury= 2.5%</w:t>
            </w:r>
          </w:p>
          <w:p w14:paraId="50C74F2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Assault= 3.8%</w:t>
            </w:r>
          </w:p>
          <w:p w14:paraId="0935410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Sports= 1.3%</w:t>
            </w:r>
          </w:p>
        </w:tc>
        <w:tc>
          <w:tcPr>
            <w:tcW w:w="1890" w:type="dxa"/>
          </w:tcPr>
          <w:p w14:paraId="5B0B53B2"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Mandible= 44.7%</w:t>
            </w:r>
          </w:p>
          <w:p w14:paraId="5C96C46E"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Midface= 55.3%</w:t>
            </w:r>
          </w:p>
          <w:p w14:paraId="1EFA97F7" w14:textId="77777777" w:rsidR="007A73C9" w:rsidRDefault="007A73C9" w:rsidP="0026501C">
            <w:pPr>
              <w:rPr>
                <w:rFonts w:ascii="Times New Roman" w:hAnsi="Times New Roman" w:cs="Times New Roman"/>
                <w:sz w:val="20"/>
                <w:szCs w:val="20"/>
              </w:rPr>
            </w:pPr>
          </w:p>
          <w:p w14:paraId="0EA496B5"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Plus dentoalveolar=44.3%</w:t>
            </w:r>
          </w:p>
        </w:tc>
        <w:tc>
          <w:tcPr>
            <w:tcW w:w="1350" w:type="dxa"/>
          </w:tcPr>
          <w:p w14:paraId="5B36452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CNS=25.3%</w:t>
            </w:r>
          </w:p>
          <w:p w14:paraId="4C084AE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Limbs=16.5%</w:t>
            </w:r>
          </w:p>
          <w:p w14:paraId="752F4AC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Ocular=6.3%</w:t>
            </w:r>
          </w:p>
          <w:p w14:paraId="3255791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Chest=2.5%</w:t>
            </w:r>
          </w:p>
        </w:tc>
        <w:tc>
          <w:tcPr>
            <w:tcW w:w="1440" w:type="dxa"/>
          </w:tcPr>
          <w:p w14:paraId="1413EA89"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None=21.6%</w:t>
            </w:r>
          </w:p>
          <w:p w14:paraId="5B19488F"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Conservative=17.7%</w:t>
            </w:r>
          </w:p>
          <w:p w14:paraId="7401780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IMF only= 30.4%</w:t>
            </w:r>
          </w:p>
          <w:p w14:paraId="77669BD3"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IMF plus others=17.7%</w:t>
            </w:r>
          </w:p>
          <w:p w14:paraId="3674F473"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Only Gilles reduction = 6.3%</w:t>
            </w:r>
          </w:p>
          <w:p w14:paraId="3FD2B0E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ORIF= 6.3%</w:t>
            </w:r>
          </w:p>
        </w:tc>
        <w:tc>
          <w:tcPr>
            <w:tcW w:w="810" w:type="dxa"/>
          </w:tcPr>
          <w:p w14:paraId="10DA4313" w14:textId="77777777" w:rsidR="007A73C9" w:rsidRDefault="007A73C9" w:rsidP="0026501C">
            <w:pPr>
              <w:tabs>
                <w:tab w:val="left" w:pos="1602"/>
                <w:tab w:val="left" w:pos="2142"/>
              </w:tabs>
              <w:ind w:right="244"/>
              <w:rPr>
                <w:rFonts w:ascii="Times New Roman" w:hAnsi="Times New Roman" w:cs="Times New Roman"/>
                <w:sz w:val="20"/>
                <w:szCs w:val="20"/>
              </w:rPr>
            </w:pPr>
            <w:r>
              <w:rPr>
                <w:rFonts w:ascii="Times New Roman" w:hAnsi="Times New Roman" w:cs="Times New Roman"/>
                <w:sz w:val="20"/>
                <w:szCs w:val="20"/>
              </w:rPr>
              <w:t>4/6</w:t>
            </w:r>
          </w:p>
        </w:tc>
      </w:tr>
      <w:tr w:rsidR="007A73C9" w14:paraId="7EACE029" w14:textId="77777777" w:rsidTr="007A73C9">
        <w:tc>
          <w:tcPr>
            <w:tcW w:w="465" w:type="dxa"/>
            <w:hideMark/>
          </w:tcPr>
          <w:p w14:paraId="1CF3F42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26</w:t>
            </w:r>
          </w:p>
        </w:tc>
        <w:tc>
          <w:tcPr>
            <w:tcW w:w="1245" w:type="dxa"/>
            <w:hideMark/>
          </w:tcPr>
          <w:p w14:paraId="55EAD3E3"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Ogundipe et al, 2016</w:t>
            </w:r>
            <w:r w:rsidR="00447D36">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{"citationItems":[{"id":"ITEM-1","itemData":{"DOI":"10.4103/1597-1112.212628","ISSN":"1597-1112","abstract":"Background: This report describes treatment outcome following delayed miniplate osteosynthesis (MPO) of maxillofacial fractures. Materials and Methods: The records of patients who underwent delayed MPO of facial fractures from January 2011 to December 2014 at the Oral and Maxillofacial surgery Unit of the Federal Medical Centre, Owo, Nigeria were retrospectively reviewed. Data retrieved were age, gender, etiology of trauma, site of fractures, and time lapse from injury to treatment. Follow-up at postoperative intervals consisted of clinical and radiographic examinations. Outcome variables such as wound infection, wound dehiscence, malocclusion, hardware failure, fracture stability, and neurosensory disturbance were recorded. Results: Thirty-one patients with 52 facial fractures were treated. There were 18 (58.1%) mandibular, 8 (25.8%) maxillary fracture while 5 (16.1%) fractures occurred in both jaws. All patients had a stable fixation and normal healing. Thirteen complications occurred in 11 patients representing 35.5% of the total. Malocclusion and wound infection were the most common complication. More complications occurred in late treatment group. Conclusion: MPO with or without postoperative intermaxillary fixation is effective in the delayed facial fracture. Treatment delay may increase the incidence of complications.","author":[{"dropping-particle":"","family":"Ogundipe","given":"OlufemiK","non-dropping-particle":"","parse-names":false,"suffix":""},{"dropping-particle":"","family":"Elekwachi","given":"Gabriel","non-dropping-particle":"","parse-names":false,"suffix":""},{"dropping-particle":"","family":"Babatola","given":"Odunayo","non-dropping-particle":"","parse-names":false,"suffix":""}],"container-title":"African Journal of Trauma","id":"ITEM-1","issue":"2","issued":{"date-parts":[["2016"]]},"page":"31","title":"Outcome of delayed miniplate osteosynthesis of maxillofacial fractures in a Nigerian tertiary institution","type":"article-journal","volume":"5"},"uris":["http://www.mendeley.com/documents/?uuid=401762ae-0ed5-4df2-9a8a-4f09a657f232"]}],"mendeley":{"formattedCitation":"&lt;sup&gt;23&lt;/sup&gt;","plainTextFormattedCitation":"23","previouslyFormattedCitation":"&lt;sup&gt;23&lt;/sup&gt;"},"properties":{"noteIndex":0},"schema":"https://github.com/citation-style-language/schema/raw/master/csl-citation.json"}</w:instrText>
            </w:r>
            <w:r w:rsidR="00447D36">
              <w:rPr>
                <w:rFonts w:ascii="Times New Roman" w:hAnsi="Times New Roman" w:cs="Times New Roman"/>
                <w:sz w:val="20"/>
                <w:szCs w:val="20"/>
              </w:rPr>
              <w:fldChar w:fldCharType="separate"/>
            </w:r>
            <w:r w:rsidRPr="005C6B15">
              <w:rPr>
                <w:rFonts w:ascii="Times New Roman" w:hAnsi="Times New Roman" w:cs="Times New Roman"/>
                <w:noProof/>
                <w:sz w:val="20"/>
                <w:szCs w:val="20"/>
                <w:vertAlign w:val="superscript"/>
              </w:rPr>
              <w:t>23</w:t>
            </w:r>
            <w:r w:rsidR="00447D36">
              <w:rPr>
                <w:rFonts w:ascii="Times New Roman" w:hAnsi="Times New Roman" w:cs="Times New Roman"/>
                <w:sz w:val="20"/>
                <w:szCs w:val="20"/>
              </w:rPr>
              <w:fldChar w:fldCharType="end"/>
            </w:r>
          </w:p>
        </w:tc>
        <w:tc>
          <w:tcPr>
            <w:tcW w:w="810" w:type="dxa"/>
            <w:hideMark/>
          </w:tcPr>
          <w:p w14:paraId="2CCF8322"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2011-2014</w:t>
            </w:r>
          </w:p>
        </w:tc>
        <w:tc>
          <w:tcPr>
            <w:tcW w:w="639" w:type="dxa"/>
            <w:hideMark/>
          </w:tcPr>
          <w:p w14:paraId="2FE676C2"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SW</w:t>
            </w:r>
          </w:p>
        </w:tc>
        <w:tc>
          <w:tcPr>
            <w:tcW w:w="1417" w:type="dxa"/>
            <w:hideMark/>
          </w:tcPr>
          <w:p w14:paraId="3766CE4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Retrospective- descriptive</w:t>
            </w:r>
          </w:p>
        </w:tc>
        <w:tc>
          <w:tcPr>
            <w:tcW w:w="914" w:type="dxa"/>
            <w:hideMark/>
          </w:tcPr>
          <w:p w14:paraId="7E04B03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31</w:t>
            </w:r>
          </w:p>
        </w:tc>
        <w:tc>
          <w:tcPr>
            <w:tcW w:w="810" w:type="dxa"/>
            <w:hideMark/>
          </w:tcPr>
          <w:p w14:paraId="14EA1FAE"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 xml:space="preserve">16 – 65 </w:t>
            </w:r>
          </w:p>
        </w:tc>
        <w:tc>
          <w:tcPr>
            <w:tcW w:w="810" w:type="dxa"/>
            <w:hideMark/>
          </w:tcPr>
          <w:p w14:paraId="74CE1213"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30: 1</w:t>
            </w:r>
          </w:p>
        </w:tc>
        <w:tc>
          <w:tcPr>
            <w:tcW w:w="1530" w:type="dxa"/>
            <w:hideMark/>
          </w:tcPr>
          <w:p w14:paraId="20986821"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RTC= 96.8%</w:t>
            </w:r>
          </w:p>
          <w:p w14:paraId="11DF6BF8"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(MCC= 32.3%)</w:t>
            </w:r>
          </w:p>
          <w:p w14:paraId="433DC27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Occupational injury= 3.2%</w:t>
            </w:r>
          </w:p>
        </w:tc>
        <w:tc>
          <w:tcPr>
            <w:tcW w:w="1890" w:type="dxa"/>
            <w:hideMark/>
          </w:tcPr>
          <w:p w14:paraId="335B147F"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Mandible= 58.1%</w:t>
            </w:r>
          </w:p>
          <w:p w14:paraId="482E12DE"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Maxilla= 25.8%</w:t>
            </w:r>
          </w:p>
          <w:p w14:paraId="2A96BA79"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Combination= 16.1%</w:t>
            </w:r>
          </w:p>
        </w:tc>
        <w:tc>
          <w:tcPr>
            <w:tcW w:w="1350" w:type="dxa"/>
            <w:hideMark/>
          </w:tcPr>
          <w:p w14:paraId="737C760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NR</w:t>
            </w:r>
          </w:p>
        </w:tc>
        <w:tc>
          <w:tcPr>
            <w:tcW w:w="1440" w:type="dxa"/>
            <w:hideMark/>
          </w:tcPr>
          <w:p w14:paraId="08C965C8"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ORIF+ IMF= 54.8%</w:t>
            </w:r>
          </w:p>
          <w:p w14:paraId="31525EC8"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ORIF= 45.2%</w:t>
            </w:r>
          </w:p>
        </w:tc>
        <w:tc>
          <w:tcPr>
            <w:tcW w:w="810" w:type="dxa"/>
            <w:hideMark/>
          </w:tcPr>
          <w:p w14:paraId="400AF02E" w14:textId="77777777" w:rsidR="007A73C9" w:rsidRDefault="007A73C9" w:rsidP="0026501C">
            <w:pPr>
              <w:tabs>
                <w:tab w:val="left" w:pos="1602"/>
                <w:tab w:val="left" w:pos="2142"/>
              </w:tabs>
              <w:ind w:right="244"/>
              <w:rPr>
                <w:rFonts w:ascii="Times New Roman" w:hAnsi="Times New Roman" w:cs="Times New Roman"/>
                <w:sz w:val="20"/>
                <w:szCs w:val="20"/>
              </w:rPr>
            </w:pPr>
            <w:r>
              <w:rPr>
                <w:rFonts w:ascii="Times New Roman" w:hAnsi="Times New Roman" w:cs="Times New Roman"/>
                <w:sz w:val="20"/>
                <w:szCs w:val="20"/>
              </w:rPr>
              <w:t>4/6</w:t>
            </w:r>
          </w:p>
        </w:tc>
      </w:tr>
      <w:tr w:rsidR="007A73C9" w14:paraId="14C13553" w14:textId="77777777" w:rsidTr="007A73C9">
        <w:tc>
          <w:tcPr>
            <w:tcW w:w="465" w:type="dxa"/>
            <w:hideMark/>
          </w:tcPr>
          <w:p w14:paraId="492081B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27</w:t>
            </w:r>
          </w:p>
        </w:tc>
        <w:tc>
          <w:tcPr>
            <w:tcW w:w="1245" w:type="dxa"/>
            <w:hideMark/>
          </w:tcPr>
          <w:p w14:paraId="7F1D87B8"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Ogunlewe et al, 2006</w:t>
            </w:r>
            <w:r w:rsidR="00447D36">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{"citationItems":[{"id":"ITEM-1","itemData":{"DOI":"10.1111/j.1365-263X.2006.00757.x","ISSN":"09607439","PMID":"16879334","abstract":"Background. Maxillofacial fractures in children are rare when compared to those occurring in adults. Aim. To establish the incidence, pattern, and aetiology of maxillofacial fractures in children aged 15 years and below in Lagos, Nigeria. Design. A review of patients with maxillofacial fractures aged 15 years and below seen and treated at the Lagos University Teaching Hospital, Lagos, Nigeria between January 1997 and December 2004 was conducted. Results. Of the 225 patients with maxillofacial fractures seen within the study period, 37 (16.4%) were children aged 15 years and below, with a male-to-female ratio of 1.5:1. The highest incidence recorded was found within the age group 12-15 years (41%), with the lowest incidence occurring in the age group 0-5 years (27%). Multiple fractures were commoner in older patients (P &gt; 0.05), and in boys (P &gt; 0.05). There were no statistically significant relationships between the age of the patients, gender distribution, and mechanisms of injury. Road traffic crashes were the most common aetiological factor (64.9%), with the mandible being the most involved facial bone (63.8%). Majority of the mandibular fractures (33.3%) were located in parasymphyseal region. Zygomatic complex fractures were the most common in the mid-facial region. Most of the fractures (81.1%) were immobilized by simple methods (arch bars, eyelet wires, acrylic splint with circum-mandibular wiring) with or without intermaxillary fixation. Of the cases, 18.9% were managed conservatively. Conclusion. The incidence of facial fractures in this study was found to be higher than previously reported in Nigeria and worldwide, with almost two-thirds of cases a result of road traffic crashes. There is a need to enforce legislation aimed at preventing road traffic crashes to reduce maxillofacial injuries in children. © 2006 The Authors.","author":[{"dropping-particle":"","family":"Ogunlewe","given":"M. O.","non-dropping-particle":"","parse-names":false,"suffix":""},{"dropping-particle":"","family":"James","given":"O.","non-dropping-particle":"","parse-names":false,"suffix":""},{"dropping-particle":"","family":"Ladeinde","given":"A. L.","non-dropping-particle":"","parse-names":false,"suffix":""},{"dropping-particle":"","family":"Adeyemo","given":"W. L.","non-dropping-particle":"","parse-names":false,"suffix":""}],"container-title":"International Journal of Paediatric Dentistry","id":"ITEM-1","issue":"5","issued":{"date-parts":[["2006"]]},"page":"358-362","title":"Pattern of paediatric maxillofacial fractures in Lagos, Nigeria","type":"article-journal","volume":"16"},"uris":["http://www.mendeley.com/documents/?uuid=2833af4e-2707-46b6-8a46-98817e7bcc78"]}],"mendeley":{"formattedCitation":"&lt;sup&gt;24&lt;/sup&gt;","plainTextFormattedCitation":"24","previouslyFormattedCitation":"&lt;sup&gt;24&lt;/sup&gt;"},"properties":{"noteIndex":0},"schema":"https://github.com/citation-style-language/schema/raw/master/csl-citation.json"}</w:instrText>
            </w:r>
            <w:r w:rsidR="00447D36">
              <w:rPr>
                <w:rFonts w:ascii="Times New Roman" w:hAnsi="Times New Roman" w:cs="Times New Roman"/>
                <w:sz w:val="20"/>
                <w:szCs w:val="20"/>
              </w:rPr>
              <w:fldChar w:fldCharType="separate"/>
            </w:r>
            <w:r w:rsidRPr="005C6B15">
              <w:rPr>
                <w:rFonts w:ascii="Times New Roman" w:hAnsi="Times New Roman" w:cs="Times New Roman"/>
                <w:noProof/>
                <w:sz w:val="20"/>
                <w:szCs w:val="20"/>
                <w:vertAlign w:val="superscript"/>
              </w:rPr>
              <w:t>24</w:t>
            </w:r>
            <w:r w:rsidR="00447D36">
              <w:rPr>
                <w:rFonts w:ascii="Times New Roman" w:hAnsi="Times New Roman" w:cs="Times New Roman"/>
                <w:sz w:val="20"/>
                <w:szCs w:val="20"/>
              </w:rPr>
              <w:fldChar w:fldCharType="end"/>
            </w:r>
          </w:p>
        </w:tc>
        <w:tc>
          <w:tcPr>
            <w:tcW w:w="810" w:type="dxa"/>
            <w:hideMark/>
          </w:tcPr>
          <w:p w14:paraId="2AECA52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1997-2004</w:t>
            </w:r>
          </w:p>
        </w:tc>
        <w:tc>
          <w:tcPr>
            <w:tcW w:w="639" w:type="dxa"/>
            <w:hideMark/>
          </w:tcPr>
          <w:p w14:paraId="538917E5"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SW</w:t>
            </w:r>
          </w:p>
        </w:tc>
        <w:tc>
          <w:tcPr>
            <w:tcW w:w="1417" w:type="dxa"/>
            <w:hideMark/>
          </w:tcPr>
          <w:p w14:paraId="4D668BA6"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Retrospective- descriptive</w:t>
            </w:r>
          </w:p>
        </w:tc>
        <w:tc>
          <w:tcPr>
            <w:tcW w:w="914" w:type="dxa"/>
            <w:hideMark/>
          </w:tcPr>
          <w:p w14:paraId="720848E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37</w:t>
            </w:r>
          </w:p>
        </w:tc>
        <w:tc>
          <w:tcPr>
            <w:tcW w:w="810" w:type="dxa"/>
            <w:hideMark/>
          </w:tcPr>
          <w:p w14:paraId="42E0B6F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 xml:space="preserve">0.8 – 15 </w:t>
            </w:r>
          </w:p>
        </w:tc>
        <w:tc>
          <w:tcPr>
            <w:tcW w:w="810" w:type="dxa"/>
            <w:hideMark/>
          </w:tcPr>
          <w:p w14:paraId="41D798F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1.5:1</w:t>
            </w:r>
          </w:p>
        </w:tc>
        <w:tc>
          <w:tcPr>
            <w:tcW w:w="1530" w:type="dxa"/>
            <w:hideMark/>
          </w:tcPr>
          <w:p w14:paraId="07140BE8"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RTC= 64.9%</w:t>
            </w:r>
          </w:p>
          <w:p w14:paraId="27198465"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(MCC= 16.2%)</w:t>
            </w:r>
          </w:p>
          <w:p w14:paraId="18F8EA9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Falls= 24.3%</w:t>
            </w:r>
          </w:p>
          <w:p w14:paraId="204D4D4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Assaults= 8.1%</w:t>
            </w:r>
          </w:p>
          <w:p w14:paraId="509B224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Others= 2.7%</w:t>
            </w:r>
          </w:p>
        </w:tc>
        <w:tc>
          <w:tcPr>
            <w:tcW w:w="1890" w:type="dxa"/>
            <w:hideMark/>
          </w:tcPr>
          <w:p w14:paraId="6A7F6E3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Mandible= 63.8%</w:t>
            </w:r>
          </w:p>
          <w:p w14:paraId="35B4EF9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Lefort II= 8.5%</w:t>
            </w:r>
          </w:p>
          <w:p w14:paraId="7957DD4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ZC= 12.8%</w:t>
            </w:r>
          </w:p>
          <w:p w14:paraId="3AD1B953"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Palatal split= 4.3%</w:t>
            </w:r>
          </w:p>
          <w:p w14:paraId="1ABF83C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Orbit= 2.1%</w:t>
            </w:r>
          </w:p>
          <w:p w14:paraId="402F9FA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Dentoalveolar, maxilla= 8.5%</w:t>
            </w:r>
          </w:p>
        </w:tc>
        <w:tc>
          <w:tcPr>
            <w:tcW w:w="1350" w:type="dxa"/>
            <w:hideMark/>
          </w:tcPr>
          <w:p w14:paraId="7E0D414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NR</w:t>
            </w:r>
          </w:p>
        </w:tc>
        <w:tc>
          <w:tcPr>
            <w:tcW w:w="1440" w:type="dxa"/>
          </w:tcPr>
          <w:p w14:paraId="5D8F3389"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Conservative= 18.9%</w:t>
            </w:r>
          </w:p>
          <w:p w14:paraId="59B905AE"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IMF= 81.1%</w:t>
            </w:r>
          </w:p>
          <w:p w14:paraId="2A1BC82B" w14:textId="77777777" w:rsidR="007A73C9" w:rsidRDefault="007A73C9" w:rsidP="0026501C">
            <w:pPr>
              <w:rPr>
                <w:rFonts w:ascii="Times New Roman" w:hAnsi="Times New Roman" w:cs="Times New Roman"/>
                <w:sz w:val="20"/>
                <w:szCs w:val="20"/>
              </w:rPr>
            </w:pPr>
          </w:p>
        </w:tc>
        <w:tc>
          <w:tcPr>
            <w:tcW w:w="810" w:type="dxa"/>
            <w:hideMark/>
          </w:tcPr>
          <w:p w14:paraId="06DAD8F0" w14:textId="77777777" w:rsidR="007A73C9" w:rsidRDefault="007A73C9" w:rsidP="0026501C">
            <w:pPr>
              <w:tabs>
                <w:tab w:val="left" w:pos="1602"/>
                <w:tab w:val="left" w:pos="2142"/>
              </w:tabs>
              <w:ind w:right="244"/>
              <w:rPr>
                <w:rFonts w:ascii="Times New Roman" w:hAnsi="Times New Roman" w:cs="Times New Roman"/>
                <w:sz w:val="20"/>
                <w:szCs w:val="20"/>
              </w:rPr>
            </w:pPr>
            <w:r>
              <w:rPr>
                <w:rFonts w:ascii="Times New Roman" w:hAnsi="Times New Roman" w:cs="Times New Roman"/>
                <w:sz w:val="20"/>
                <w:szCs w:val="20"/>
              </w:rPr>
              <w:t>4/6</w:t>
            </w:r>
          </w:p>
        </w:tc>
      </w:tr>
      <w:tr w:rsidR="007A73C9" w14:paraId="538C4AD4" w14:textId="77777777" w:rsidTr="007A73C9">
        <w:tc>
          <w:tcPr>
            <w:tcW w:w="465" w:type="dxa"/>
            <w:hideMark/>
          </w:tcPr>
          <w:p w14:paraId="5327653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28</w:t>
            </w:r>
          </w:p>
        </w:tc>
        <w:tc>
          <w:tcPr>
            <w:tcW w:w="1245" w:type="dxa"/>
            <w:hideMark/>
          </w:tcPr>
          <w:p w14:paraId="29634521"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Ogunmuyiwa et al, 2015</w:t>
            </w:r>
            <w:r w:rsidR="00447D36">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{"citationItems":[{"id":"ITEM-1","itemData":{"DOI":"10.4103/1117-6806.152732","ISSN":"1117-6806 (Print)","PMID":"25838765","abstract":"BACKGROUND: Trauma remains a leading cause of maxillofacial injury globally.  Changing etiological factors and patterns of maxillofacial injury continue to be reported and are largely modulated by socio-geographic and environmental factors. It is important to have an in-depth understanding of the pattern and etiology in a particular region before effective preventive measures can be developed. AIM: The aim was to evaluate the patterns, etiological factors, and management of maxillofacial injuries in Ogun state, Nigeria. MATERIALS AND METHODS: A prospective descriptive cohort study of all consecutive patients that presented with maxillofacial injuries at our center between January and December 2013. Information about demographic data, types of maxillofacial and associated injury, etiology of injury, treatment received and complications were collected and analyzed. RESULTS: Seventy patients presented with maxillofacial injury during the study period with a male to female ratio of 4:1. The age range was 9 months to 60 years with a mean of 30.11 ± standard deviation 14.97 years. Majority of the facial fractures were due to motorcycle related crashes. There were 57.1% mandibular fractures and 55.7% middle third fractures. Closed reduction with maxillo-mandibular fixation was the major method of treatment of facial fractures. Postoperative complications were observed in 11.4% of patients. CONCLUSION: Road traffic crashes (RTCs) remain the leading etiological factor of maxillofacial injuries in our center. Enforcement of stricter traffic regulations and possibly replacement of motorcycles with tricycles for commercial transportation may help to reduce the incidence of RTCs.","author":[{"dropping-particle":"","family":"Ogunmuyiwa","given":"Stella Aimiede","non-dropping-particle":"","parse-names":false,"suffix":""},{"dropping-particle":"","family":"Gbolahan","given":"Olalere Omoyosola","non-dropping-particle":"","parse-names":false,"suffix":""},{"dropping-particle":"","family":"Ayantunde","given":"Abiodun Abraham","non-dropping-particle":"","parse-names":false,"suffix":""},{"dropping-particle":"","family":"Odewabi","given":"Adenike Abidemi","non-dropping-particle":"","parse-names":false,"suffix":""}],"container-title":"Nigerian journal of surgery : official publication of the Nigerian Surgical  Research Society","id":"ITEM-1","issue":"1","issued":{"date-parts":[["2015"]]},"language":"eng","page":"38-42","title":"Patterns, severity, and management of maxillofacial injuries in a suburban South  Western Nigeria tertiary center.","type":"article-journal","volume":"21"},"uris":["http://www.mendeley.com/documents/?uuid=5d36d626-dcb1-4cd8-a441-fec8e6c12a5f"]}],"mendeley":{"formattedCitation":"&lt;sup&gt;25&lt;/sup&gt;","plainTextFormattedCitation":"25","previouslyFormattedCitation":"&lt;sup&gt;25&lt;/sup&gt;"},"properties":{"noteIndex":0},"schema":"https://github.com/citation-style-language/schema/raw/master/csl-citation.json"}</w:instrText>
            </w:r>
            <w:r w:rsidR="00447D36">
              <w:rPr>
                <w:rFonts w:ascii="Times New Roman" w:hAnsi="Times New Roman" w:cs="Times New Roman"/>
                <w:sz w:val="20"/>
                <w:szCs w:val="20"/>
              </w:rPr>
              <w:fldChar w:fldCharType="separate"/>
            </w:r>
            <w:r w:rsidRPr="005C6B15">
              <w:rPr>
                <w:rFonts w:ascii="Times New Roman" w:hAnsi="Times New Roman" w:cs="Times New Roman"/>
                <w:noProof/>
                <w:sz w:val="20"/>
                <w:szCs w:val="20"/>
                <w:vertAlign w:val="superscript"/>
              </w:rPr>
              <w:t>25</w:t>
            </w:r>
            <w:r w:rsidR="00447D36">
              <w:rPr>
                <w:rFonts w:ascii="Times New Roman" w:hAnsi="Times New Roman" w:cs="Times New Roman"/>
                <w:sz w:val="20"/>
                <w:szCs w:val="20"/>
              </w:rPr>
              <w:fldChar w:fldCharType="end"/>
            </w:r>
          </w:p>
        </w:tc>
        <w:tc>
          <w:tcPr>
            <w:tcW w:w="810" w:type="dxa"/>
            <w:hideMark/>
          </w:tcPr>
          <w:p w14:paraId="605FBB68"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2015</w:t>
            </w:r>
          </w:p>
        </w:tc>
        <w:tc>
          <w:tcPr>
            <w:tcW w:w="639" w:type="dxa"/>
            <w:hideMark/>
          </w:tcPr>
          <w:p w14:paraId="53A57C5E"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SW</w:t>
            </w:r>
          </w:p>
        </w:tc>
        <w:tc>
          <w:tcPr>
            <w:tcW w:w="1417" w:type="dxa"/>
            <w:hideMark/>
          </w:tcPr>
          <w:p w14:paraId="0EA0F818"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Prospective- cohort</w:t>
            </w:r>
          </w:p>
        </w:tc>
        <w:tc>
          <w:tcPr>
            <w:tcW w:w="914" w:type="dxa"/>
            <w:hideMark/>
          </w:tcPr>
          <w:p w14:paraId="505A714E"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70</w:t>
            </w:r>
          </w:p>
        </w:tc>
        <w:tc>
          <w:tcPr>
            <w:tcW w:w="810" w:type="dxa"/>
            <w:hideMark/>
          </w:tcPr>
          <w:p w14:paraId="38B9AD3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 xml:space="preserve">0.8 – 60 </w:t>
            </w:r>
          </w:p>
        </w:tc>
        <w:tc>
          <w:tcPr>
            <w:tcW w:w="810" w:type="dxa"/>
            <w:hideMark/>
          </w:tcPr>
          <w:p w14:paraId="463684FF"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4:1</w:t>
            </w:r>
          </w:p>
        </w:tc>
        <w:tc>
          <w:tcPr>
            <w:tcW w:w="1530" w:type="dxa"/>
            <w:hideMark/>
          </w:tcPr>
          <w:p w14:paraId="3499141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RTC= 70%</w:t>
            </w:r>
          </w:p>
          <w:p w14:paraId="6FA3731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Falls= 12.9%</w:t>
            </w:r>
          </w:p>
          <w:p w14:paraId="6C832BE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Assault= 11.4%</w:t>
            </w:r>
          </w:p>
          <w:p w14:paraId="7F38CC3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Others= 5.7%</w:t>
            </w:r>
          </w:p>
        </w:tc>
        <w:tc>
          <w:tcPr>
            <w:tcW w:w="1890" w:type="dxa"/>
            <w:hideMark/>
          </w:tcPr>
          <w:p w14:paraId="40FFE8FF"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Mandible= 31.4%</w:t>
            </w:r>
          </w:p>
          <w:p w14:paraId="349A585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Midface= 15.7%</w:t>
            </w:r>
          </w:p>
          <w:p w14:paraId="203B5241"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Combination= 12.9%</w:t>
            </w:r>
          </w:p>
          <w:p w14:paraId="1ECF42E2"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 xml:space="preserve">Soft tissue= 40% </w:t>
            </w:r>
          </w:p>
        </w:tc>
        <w:tc>
          <w:tcPr>
            <w:tcW w:w="1350" w:type="dxa"/>
            <w:hideMark/>
          </w:tcPr>
          <w:p w14:paraId="1045A595"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Concomitant injuries= 74%</w:t>
            </w:r>
          </w:p>
        </w:tc>
        <w:tc>
          <w:tcPr>
            <w:tcW w:w="1440" w:type="dxa"/>
            <w:hideMark/>
          </w:tcPr>
          <w:p w14:paraId="5AEDF18F"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Conservative= 2.8%</w:t>
            </w:r>
          </w:p>
          <w:p w14:paraId="7558F022"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IMF= 35.7%</w:t>
            </w:r>
          </w:p>
          <w:p w14:paraId="70014BD9"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ORIF= 2.9%</w:t>
            </w:r>
          </w:p>
          <w:p w14:paraId="7CC7BBA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Debridement and suturing= 42.9%</w:t>
            </w:r>
          </w:p>
          <w:p w14:paraId="15766D81"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 xml:space="preserve">Combination= </w:t>
            </w:r>
            <w:r>
              <w:rPr>
                <w:rFonts w:ascii="Times New Roman" w:hAnsi="Times New Roman" w:cs="Times New Roman"/>
                <w:sz w:val="20"/>
                <w:szCs w:val="20"/>
              </w:rPr>
              <w:lastRenderedPageBreak/>
              <w:t>15.7%</w:t>
            </w:r>
          </w:p>
        </w:tc>
        <w:tc>
          <w:tcPr>
            <w:tcW w:w="810" w:type="dxa"/>
            <w:hideMark/>
          </w:tcPr>
          <w:p w14:paraId="7B53A921" w14:textId="77777777" w:rsidR="007A73C9" w:rsidRDefault="007A73C9" w:rsidP="0026501C">
            <w:pPr>
              <w:tabs>
                <w:tab w:val="left" w:pos="1602"/>
                <w:tab w:val="left" w:pos="2142"/>
              </w:tabs>
              <w:ind w:right="244"/>
              <w:rPr>
                <w:rFonts w:ascii="Times New Roman" w:hAnsi="Times New Roman" w:cs="Times New Roman"/>
                <w:sz w:val="20"/>
                <w:szCs w:val="20"/>
              </w:rPr>
            </w:pPr>
            <w:r>
              <w:rPr>
                <w:rFonts w:ascii="Times New Roman" w:hAnsi="Times New Roman" w:cs="Times New Roman"/>
                <w:sz w:val="20"/>
                <w:szCs w:val="20"/>
              </w:rPr>
              <w:lastRenderedPageBreak/>
              <w:t>4/6</w:t>
            </w:r>
          </w:p>
        </w:tc>
      </w:tr>
      <w:tr w:rsidR="007A73C9" w14:paraId="1E6EDF7D" w14:textId="77777777" w:rsidTr="007A73C9">
        <w:tc>
          <w:tcPr>
            <w:tcW w:w="465" w:type="dxa"/>
            <w:hideMark/>
          </w:tcPr>
          <w:p w14:paraId="481F79F6"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29</w:t>
            </w:r>
          </w:p>
        </w:tc>
        <w:tc>
          <w:tcPr>
            <w:tcW w:w="1245" w:type="dxa"/>
            <w:hideMark/>
          </w:tcPr>
          <w:p w14:paraId="7A96AF2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 xml:space="preserve">Olaitan et al, </w:t>
            </w:r>
          </w:p>
          <w:p w14:paraId="01C959E3"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2007</w:t>
            </w:r>
            <w:r w:rsidR="00447D36">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{"citationItems":[{"id":"ITEM-1","itemData":{"DOI":"10.5555/afhs.2007.7.1.50","ISSN":"1729-0503 (Electronic)","PMID":"17604527","abstract":"BACKGROUND: Human bites of the face present to the surgeon sometimes with a  dilemma as to the method and timing of surgery. Often patients present with soft tissue defects as a result of the injury sustained. Reconstruction therefore becomes absolutely necessary to avoid psychosocial complications. OBJECTIVES: The aim of this paper is to review human bites of the face, which presented to the Plastic Surgery Department of the National Orthopaedic Hospital, Enugu, Nigeria over a 10-year period and highlight the epidemiology, presentation, management and its outcome. METHODS: A retrospective review of the cases of human bites of the face that presented within a ten year period was carried out. Sources of information were the case notes and operation registers. Information obtained includes age, gender of the patients as well as that of the assailants and the relationship of the assailants to the patients. Sites of the injuries, management and outcome were also obtained. RESULTS: There were 54 patients seen and treated during the period with the age range 16-54 years (Mean age, 33.8+/-2.3). The male to female ratio was 1:1.6. Various surgical procedures including wedge excision and direct closure (for the lip); midline forehead flap cover, composite auricular graft and nasolabial flaps (for the nose) were carried out. Three of the 9 noses bitten were skin grafted and 3 had primary direct closure. Few complications occurred. CONCLUSION: We conclude that human bites still remain common in our environment. These sometimes need reconstruction due to loss of parts. Minimal debridement with primary closure/reconstruction of human bites of the face; when presented early, gives a good result.","author":[{"dropping-particle":"","family":"Olaitan","given":"Peter B","non-dropping-particle":"","parse-names":false,"suffix":""},{"dropping-particle":"","family":"Uduezue","given":"Antonia O","non-dropping-particle":"","parse-names":false,"suffix":""},{"dropping-particle":"","family":"Ugwueze","given":"Godwin C","non-dropping-particle":"","parse-names":false,"suffix":""},{"dropping-particle":"","family":"Ogbonnaya","given":"Iheuko S","non-dropping-particle":"","parse-names":false,"suffix":""},{"dropping-particle":"","family":"Achebe","given":"Uche J","non-dropping-particle":"","parse-names":false,"suffix":""}],"container-title":"African health sciences","id":"ITEM-1","issue":"1","issued":{"date-parts":[["2007","3"]]},"language":"eng","page":"50-54","title":"Management of human bites of the face in Enugu, Nigeria.","type":"article-journal","volume":"7"},"uris":["http://www.mendeley.com/documents/?uuid=89010340-12a7-43d3-af59-ef65952ea7f9"]}],"mendeley":{"formattedCitation":"&lt;sup&gt;42&lt;/sup&gt;","plainTextFormattedCitation":"42","previouslyFormattedCitation":"&lt;sup&gt;42&lt;/sup&gt;"},"properties":{"noteIndex":0},"schema":"https://github.com/citation-style-language/schema/raw/master/csl-citation.json"}</w:instrText>
            </w:r>
            <w:r w:rsidR="00447D36">
              <w:rPr>
                <w:rFonts w:ascii="Times New Roman" w:hAnsi="Times New Roman" w:cs="Times New Roman"/>
                <w:sz w:val="20"/>
                <w:szCs w:val="20"/>
              </w:rPr>
              <w:fldChar w:fldCharType="separate"/>
            </w:r>
            <w:r w:rsidRPr="005C6B15">
              <w:rPr>
                <w:rFonts w:ascii="Times New Roman" w:hAnsi="Times New Roman" w:cs="Times New Roman"/>
                <w:noProof/>
                <w:sz w:val="20"/>
                <w:szCs w:val="20"/>
                <w:vertAlign w:val="superscript"/>
              </w:rPr>
              <w:t>42</w:t>
            </w:r>
            <w:r w:rsidR="00447D36">
              <w:rPr>
                <w:rFonts w:ascii="Times New Roman" w:hAnsi="Times New Roman" w:cs="Times New Roman"/>
                <w:sz w:val="20"/>
                <w:szCs w:val="20"/>
              </w:rPr>
              <w:fldChar w:fldCharType="end"/>
            </w:r>
          </w:p>
        </w:tc>
        <w:tc>
          <w:tcPr>
            <w:tcW w:w="810" w:type="dxa"/>
            <w:hideMark/>
          </w:tcPr>
          <w:p w14:paraId="248A054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1994-2003</w:t>
            </w:r>
          </w:p>
        </w:tc>
        <w:tc>
          <w:tcPr>
            <w:tcW w:w="639" w:type="dxa"/>
            <w:hideMark/>
          </w:tcPr>
          <w:p w14:paraId="5DFA186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SE</w:t>
            </w:r>
          </w:p>
        </w:tc>
        <w:tc>
          <w:tcPr>
            <w:tcW w:w="1417" w:type="dxa"/>
            <w:hideMark/>
          </w:tcPr>
          <w:p w14:paraId="5E87894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Retrospective- descriptive</w:t>
            </w:r>
          </w:p>
        </w:tc>
        <w:tc>
          <w:tcPr>
            <w:tcW w:w="914" w:type="dxa"/>
            <w:hideMark/>
          </w:tcPr>
          <w:p w14:paraId="10A947E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54</w:t>
            </w:r>
          </w:p>
        </w:tc>
        <w:tc>
          <w:tcPr>
            <w:tcW w:w="810" w:type="dxa"/>
            <w:hideMark/>
          </w:tcPr>
          <w:p w14:paraId="4939033F"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 xml:space="preserve">16 – 54 </w:t>
            </w:r>
          </w:p>
        </w:tc>
        <w:tc>
          <w:tcPr>
            <w:tcW w:w="810" w:type="dxa"/>
            <w:hideMark/>
          </w:tcPr>
          <w:p w14:paraId="2B3E71E9"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1.6:1</w:t>
            </w:r>
          </w:p>
        </w:tc>
        <w:tc>
          <w:tcPr>
            <w:tcW w:w="1530" w:type="dxa"/>
            <w:hideMark/>
          </w:tcPr>
          <w:p w14:paraId="15A4D25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Assault (human bite to the face)= 100%</w:t>
            </w:r>
          </w:p>
        </w:tc>
        <w:tc>
          <w:tcPr>
            <w:tcW w:w="1890" w:type="dxa"/>
            <w:hideMark/>
          </w:tcPr>
          <w:p w14:paraId="6F24F24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Sift tissue injuries 100%</w:t>
            </w:r>
          </w:p>
          <w:p w14:paraId="7770200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Ears= 16.7%</w:t>
            </w:r>
          </w:p>
          <w:p w14:paraId="2389A541"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Lips= 59.3%</w:t>
            </w:r>
          </w:p>
          <w:p w14:paraId="72957A1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Nose= 20.4%</w:t>
            </w:r>
          </w:p>
          <w:p w14:paraId="6B78B4A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Eyelids= 1.9%</w:t>
            </w:r>
          </w:p>
          <w:p w14:paraId="10B6E919"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Others= 1,7%</w:t>
            </w:r>
          </w:p>
        </w:tc>
        <w:tc>
          <w:tcPr>
            <w:tcW w:w="1350" w:type="dxa"/>
            <w:hideMark/>
          </w:tcPr>
          <w:p w14:paraId="54191EC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Absent</w:t>
            </w:r>
          </w:p>
        </w:tc>
        <w:tc>
          <w:tcPr>
            <w:tcW w:w="1440" w:type="dxa"/>
            <w:hideMark/>
          </w:tcPr>
          <w:p w14:paraId="62BD8E3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Debridement and suturing= 37%</w:t>
            </w:r>
          </w:p>
          <w:p w14:paraId="1D0554A8"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Flap repair= 25.9%</w:t>
            </w:r>
          </w:p>
          <w:p w14:paraId="708D7CD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Combination= 37.1%</w:t>
            </w:r>
          </w:p>
        </w:tc>
        <w:tc>
          <w:tcPr>
            <w:tcW w:w="810" w:type="dxa"/>
            <w:hideMark/>
          </w:tcPr>
          <w:p w14:paraId="7EFBD6DD" w14:textId="77777777" w:rsidR="007A73C9" w:rsidRDefault="007A73C9" w:rsidP="0026501C">
            <w:pPr>
              <w:tabs>
                <w:tab w:val="left" w:pos="1602"/>
                <w:tab w:val="left" w:pos="2142"/>
              </w:tabs>
              <w:ind w:right="244"/>
              <w:rPr>
                <w:rFonts w:ascii="Times New Roman" w:hAnsi="Times New Roman" w:cs="Times New Roman"/>
                <w:sz w:val="20"/>
                <w:szCs w:val="20"/>
              </w:rPr>
            </w:pPr>
            <w:r>
              <w:rPr>
                <w:rFonts w:ascii="Times New Roman" w:hAnsi="Times New Roman" w:cs="Times New Roman"/>
                <w:sz w:val="20"/>
                <w:szCs w:val="20"/>
              </w:rPr>
              <w:t>3/6</w:t>
            </w:r>
          </w:p>
        </w:tc>
      </w:tr>
      <w:tr w:rsidR="007A73C9" w14:paraId="7717561C" w14:textId="77777777" w:rsidTr="007A73C9">
        <w:tc>
          <w:tcPr>
            <w:tcW w:w="465" w:type="dxa"/>
            <w:hideMark/>
          </w:tcPr>
          <w:p w14:paraId="1E8073F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30</w:t>
            </w:r>
          </w:p>
        </w:tc>
        <w:tc>
          <w:tcPr>
            <w:tcW w:w="1245" w:type="dxa"/>
            <w:hideMark/>
          </w:tcPr>
          <w:p w14:paraId="40EE5F8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Olusanya et al, 2015</w:t>
            </w:r>
            <w:r w:rsidR="00447D36">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{"citationItems":[{"id":"ITEM-1","itemData":{"DOI":"10.1055/s-0034-1384740","ISSN":"1943-3875 (Print)","PMID":"25709753","abstract":"Many studies have been undertaken in Nigeria on maxillofacial trauma. However,  only a few have considered both the skeletal and soft tissue injuries (in general) involving all the aspects of the maxillofacial region or considered other etiological sources of trauma apart from road traffic crashes. Fewer still have reviewed the outcome of management of facial injuries in our low-resource environment. This study sets out to examine the recent trends in both the clinical and epidemiological patterns of all facial injuries from all causes seen in a low-resource practice of a developing country. It also assessed the in-hospital treatment outcomes, and the levels of the patients' satisfaction with treatment received in this setting. Over a 12-month period, the clinical records of consecutive patients who were evaluated and treated for maxillofacial injuries in our unit were prospectively acquired, entered into predesigned forms and subsequently analyzed. There were 259 patients (79.5% males) during the study period. The mean age was 32.21( ± 16.588) years. Overall, motor bike crashes, 42.1%, were the commonest source of these traumas; and armed robbery was the commonest form (69.0%) of assault. Mandibular fractures were the commonest maxillofacial fractures (37.8%) whereas head injury had the highest frequency among the associated injuries (71.4%). Closed reduction and immobilization was deployed in 88.0% of those who had treatment and majority was satisfied with the esthetic outcome of the treatment received. Mean length of hospital stay was 12.6 ( ± 4.423) days. Maxillofacial trauma poses a significant socioeconomic burden on affected individuals in this study population. This is made worse by the presence of associated injuries in the other body systems. More local studies on the outcome of management of maxillofacial trauma will improve the available literature in this region.","author":[{"dropping-particle":"","family":"Olusanya","given":"Adeola Adenike","non-dropping-particle":"","parse-names":false,"suffix":""},{"dropping-particle":"","family":"Adeleye","given":"Amos Olufemi","non-dropping-particle":"","parse-names":false,"suffix":""},{"dropping-particle":"","family":"Aladelusi","given":"Timothy Olukunle","non-dropping-particle":"","parse-names":false,"suffix":""},{"dropping-particle":"","family":"Fasola","given":"Abiodun Olubayo","non-dropping-particle":"","parse-names":false,"suffix":""}],"container-title":"Craniomaxillofacial trauma &amp; reconstruction","id":"ITEM-1","issue":"1","issued":{"date-parts":[["2015","3"]]},"language":"eng","page":"50-58","title":"Updates on the epidemiology and pattern of traumatic maxillofacial injuries in a  nigerian university teaching hospital: a 12-month prospective cohort in-hospital outcome study.","type":"article-journal","volume":"8"},"uris":["http://www.mendeley.com/documents/?uuid=72ce86c9-014c-4ab6-ab96-620d8980a7aa"]}],"mendeley":{"formattedCitation":"&lt;sup&gt;26&lt;/sup&gt;","plainTextFormattedCitation":"26","previouslyFormattedCitation":"&lt;sup&gt;26&lt;/sup&gt;"},"properties":{"noteIndex":0},"schema":"https://github.com/citation-style-language/schema/raw/master/csl-citation.json"}</w:instrText>
            </w:r>
            <w:r w:rsidR="00447D36">
              <w:rPr>
                <w:rFonts w:ascii="Times New Roman" w:hAnsi="Times New Roman" w:cs="Times New Roman"/>
                <w:sz w:val="20"/>
                <w:szCs w:val="20"/>
              </w:rPr>
              <w:fldChar w:fldCharType="separate"/>
            </w:r>
            <w:r w:rsidRPr="005C6B15">
              <w:rPr>
                <w:rFonts w:ascii="Times New Roman" w:hAnsi="Times New Roman" w:cs="Times New Roman"/>
                <w:noProof/>
                <w:sz w:val="20"/>
                <w:szCs w:val="20"/>
                <w:vertAlign w:val="superscript"/>
              </w:rPr>
              <w:t>26</w:t>
            </w:r>
            <w:r w:rsidR="00447D36">
              <w:rPr>
                <w:rFonts w:ascii="Times New Roman" w:hAnsi="Times New Roman" w:cs="Times New Roman"/>
                <w:sz w:val="20"/>
                <w:szCs w:val="20"/>
              </w:rPr>
              <w:fldChar w:fldCharType="end"/>
            </w:r>
          </w:p>
        </w:tc>
        <w:tc>
          <w:tcPr>
            <w:tcW w:w="810" w:type="dxa"/>
            <w:hideMark/>
          </w:tcPr>
          <w:p w14:paraId="13D3240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2015</w:t>
            </w:r>
          </w:p>
        </w:tc>
        <w:tc>
          <w:tcPr>
            <w:tcW w:w="639" w:type="dxa"/>
            <w:hideMark/>
          </w:tcPr>
          <w:p w14:paraId="261A92B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SW</w:t>
            </w:r>
          </w:p>
        </w:tc>
        <w:tc>
          <w:tcPr>
            <w:tcW w:w="1417" w:type="dxa"/>
            <w:hideMark/>
          </w:tcPr>
          <w:p w14:paraId="647B2C5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Prospective- cohort</w:t>
            </w:r>
          </w:p>
        </w:tc>
        <w:tc>
          <w:tcPr>
            <w:tcW w:w="914" w:type="dxa"/>
            <w:hideMark/>
          </w:tcPr>
          <w:p w14:paraId="64616989"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259</w:t>
            </w:r>
          </w:p>
        </w:tc>
        <w:tc>
          <w:tcPr>
            <w:tcW w:w="810" w:type="dxa"/>
            <w:hideMark/>
          </w:tcPr>
          <w:p w14:paraId="081A9BBE"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 – 85</w:t>
            </w:r>
          </w:p>
        </w:tc>
        <w:tc>
          <w:tcPr>
            <w:tcW w:w="810" w:type="dxa"/>
            <w:hideMark/>
          </w:tcPr>
          <w:p w14:paraId="7FD57BDF"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3.9:1</w:t>
            </w:r>
          </w:p>
        </w:tc>
        <w:tc>
          <w:tcPr>
            <w:tcW w:w="1530" w:type="dxa"/>
            <w:hideMark/>
          </w:tcPr>
          <w:p w14:paraId="3BFE0E8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RTC= 79.7%</w:t>
            </w:r>
          </w:p>
          <w:p w14:paraId="1C8015E8"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(MCC= 42.1%)</w:t>
            </w:r>
          </w:p>
          <w:p w14:paraId="78D515F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Assault= 11.3%</w:t>
            </w:r>
          </w:p>
          <w:p w14:paraId="21B940F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Sports= 8.6%</w:t>
            </w:r>
          </w:p>
          <w:p w14:paraId="5AFCE95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Others= 0.4%</w:t>
            </w:r>
          </w:p>
        </w:tc>
        <w:tc>
          <w:tcPr>
            <w:tcW w:w="1890" w:type="dxa"/>
            <w:hideMark/>
          </w:tcPr>
          <w:p w14:paraId="338F8FC2"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Mandible= 22.7%</w:t>
            </w:r>
          </w:p>
          <w:p w14:paraId="258ADC52"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Midface= 18.2%</w:t>
            </w:r>
          </w:p>
          <w:p w14:paraId="5B32FD45"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Skull= 11.6%</w:t>
            </w:r>
          </w:p>
          <w:p w14:paraId="4E2B24D8"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Combination= 15.8%</w:t>
            </w:r>
          </w:p>
          <w:p w14:paraId="68315812"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Soft tissue= 31.7%</w:t>
            </w:r>
          </w:p>
        </w:tc>
        <w:tc>
          <w:tcPr>
            <w:tcW w:w="1350" w:type="dxa"/>
            <w:hideMark/>
          </w:tcPr>
          <w:p w14:paraId="480C9011"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CNS= 44.4%</w:t>
            </w:r>
          </w:p>
          <w:p w14:paraId="24FFBAB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Combination= 39.8%</w:t>
            </w:r>
          </w:p>
        </w:tc>
        <w:tc>
          <w:tcPr>
            <w:tcW w:w="1440" w:type="dxa"/>
          </w:tcPr>
          <w:p w14:paraId="01ABA0F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IMF= 88%</w:t>
            </w:r>
          </w:p>
          <w:p w14:paraId="304B7921"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ORIF= 12%</w:t>
            </w:r>
          </w:p>
          <w:p w14:paraId="5A72A674" w14:textId="77777777" w:rsidR="007A73C9" w:rsidRDefault="007A73C9" w:rsidP="0026501C">
            <w:pPr>
              <w:rPr>
                <w:rFonts w:ascii="Times New Roman" w:hAnsi="Times New Roman" w:cs="Times New Roman"/>
                <w:sz w:val="20"/>
                <w:szCs w:val="20"/>
              </w:rPr>
            </w:pPr>
          </w:p>
        </w:tc>
        <w:tc>
          <w:tcPr>
            <w:tcW w:w="810" w:type="dxa"/>
            <w:hideMark/>
          </w:tcPr>
          <w:p w14:paraId="7B689B36" w14:textId="77777777" w:rsidR="007A73C9" w:rsidRDefault="007A73C9" w:rsidP="0026501C">
            <w:pPr>
              <w:tabs>
                <w:tab w:val="left" w:pos="1602"/>
                <w:tab w:val="left" w:pos="2142"/>
              </w:tabs>
              <w:ind w:right="244"/>
              <w:rPr>
                <w:rFonts w:ascii="Times New Roman" w:hAnsi="Times New Roman" w:cs="Times New Roman"/>
                <w:sz w:val="20"/>
                <w:szCs w:val="20"/>
              </w:rPr>
            </w:pPr>
            <w:r>
              <w:rPr>
                <w:rFonts w:ascii="Times New Roman" w:hAnsi="Times New Roman" w:cs="Times New Roman"/>
                <w:sz w:val="20"/>
                <w:szCs w:val="20"/>
              </w:rPr>
              <w:t>4/6</w:t>
            </w:r>
          </w:p>
        </w:tc>
      </w:tr>
      <w:tr w:rsidR="007A73C9" w14:paraId="68E0F0D2" w14:textId="77777777" w:rsidTr="007A73C9">
        <w:tc>
          <w:tcPr>
            <w:tcW w:w="465" w:type="dxa"/>
          </w:tcPr>
          <w:p w14:paraId="554F54C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31</w:t>
            </w:r>
          </w:p>
        </w:tc>
        <w:tc>
          <w:tcPr>
            <w:tcW w:w="1245" w:type="dxa"/>
          </w:tcPr>
          <w:p w14:paraId="5F751436"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Osaghae et al, 2019</w:t>
            </w:r>
            <w:r w:rsidR="00447D36">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{"citationItems":[{"id":"ITEM-1","itemData":{"author":[{"dropping-particle":"","family":"Osaghae IP, Eriamiator CO","given":"Inanoremhe L","non-dropping-particle":"","parse-names":false,"suffix":""}],"container-title":"Nigerian Journal of Dental and Maxillofacial Traumatology","id":"ITEM-1","issue":"1&amp;2","issued":{"date-parts":[["2019"]]},"page":"43-50","title":"Pattern of orofacial injuries between the genders following interpersonal conflicts in Benin-City , Edo State , Nigeria","type":"article-journal","volume":"2"},"uris":["http://www.mendeley.com/documents/?uuid=9ddbef01-757c-49ec-bff9-6116ede3794c"]}],"mendeley":{"formattedCitation":"&lt;sup&gt;37&lt;/sup&gt;","plainTextFormattedCitation":"37","previouslyFormattedCitation":"&lt;sup&gt;37&lt;/sup&gt;"},"properties":{"noteIndex":0},"schema":"https://github.com/citation-style-language/schema/raw/master/csl-citation.json"}</w:instrText>
            </w:r>
            <w:r w:rsidR="00447D36">
              <w:rPr>
                <w:rFonts w:ascii="Times New Roman" w:hAnsi="Times New Roman" w:cs="Times New Roman"/>
                <w:sz w:val="20"/>
                <w:szCs w:val="20"/>
              </w:rPr>
              <w:fldChar w:fldCharType="separate"/>
            </w:r>
            <w:r w:rsidRPr="005C6B15">
              <w:rPr>
                <w:rFonts w:ascii="Times New Roman" w:hAnsi="Times New Roman" w:cs="Times New Roman"/>
                <w:noProof/>
                <w:sz w:val="20"/>
                <w:szCs w:val="20"/>
                <w:vertAlign w:val="superscript"/>
              </w:rPr>
              <w:t>37</w:t>
            </w:r>
            <w:r w:rsidR="00447D36">
              <w:rPr>
                <w:rFonts w:ascii="Times New Roman" w:hAnsi="Times New Roman" w:cs="Times New Roman"/>
                <w:sz w:val="20"/>
                <w:szCs w:val="20"/>
              </w:rPr>
              <w:fldChar w:fldCharType="end"/>
            </w:r>
          </w:p>
        </w:tc>
        <w:tc>
          <w:tcPr>
            <w:tcW w:w="810" w:type="dxa"/>
          </w:tcPr>
          <w:p w14:paraId="2995505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2014-2019</w:t>
            </w:r>
          </w:p>
        </w:tc>
        <w:tc>
          <w:tcPr>
            <w:tcW w:w="639" w:type="dxa"/>
          </w:tcPr>
          <w:p w14:paraId="60388CBF"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SS</w:t>
            </w:r>
          </w:p>
        </w:tc>
        <w:tc>
          <w:tcPr>
            <w:tcW w:w="1417" w:type="dxa"/>
          </w:tcPr>
          <w:p w14:paraId="747C657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Prospective-descriptive</w:t>
            </w:r>
          </w:p>
        </w:tc>
        <w:tc>
          <w:tcPr>
            <w:tcW w:w="914" w:type="dxa"/>
          </w:tcPr>
          <w:p w14:paraId="634E27A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68</w:t>
            </w:r>
          </w:p>
        </w:tc>
        <w:tc>
          <w:tcPr>
            <w:tcW w:w="810" w:type="dxa"/>
          </w:tcPr>
          <w:p w14:paraId="48550BC3"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 xml:space="preserve">10 – 65 </w:t>
            </w:r>
          </w:p>
        </w:tc>
        <w:tc>
          <w:tcPr>
            <w:tcW w:w="810" w:type="dxa"/>
          </w:tcPr>
          <w:p w14:paraId="01B1119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1:1.06</w:t>
            </w:r>
          </w:p>
        </w:tc>
        <w:tc>
          <w:tcPr>
            <w:tcW w:w="1530" w:type="dxa"/>
          </w:tcPr>
          <w:p w14:paraId="00FD320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Assault=100%</w:t>
            </w:r>
          </w:p>
        </w:tc>
        <w:tc>
          <w:tcPr>
            <w:tcW w:w="1890" w:type="dxa"/>
          </w:tcPr>
          <w:p w14:paraId="0C747A9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Facial bone fracture=11.8%</w:t>
            </w:r>
          </w:p>
          <w:p w14:paraId="6B904AC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Dento-alveolar facture=19.1%</w:t>
            </w:r>
          </w:p>
          <w:p w14:paraId="19922732"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Others=69.1%</w:t>
            </w:r>
          </w:p>
        </w:tc>
        <w:tc>
          <w:tcPr>
            <w:tcW w:w="1350" w:type="dxa"/>
          </w:tcPr>
          <w:p w14:paraId="16F65FF1"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Soft tissue injuries=85.3%</w:t>
            </w:r>
          </w:p>
          <w:p w14:paraId="04CB4B9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Dental injury=97.1%</w:t>
            </w:r>
          </w:p>
        </w:tc>
        <w:tc>
          <w:tcPr>
            <w:tcW w:w="1440" w:type="dxa"/>
          </w:tcPr>
          <w:p w14:paraId="061E90D5"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NR</w:t>
            </w:r>
          </w:p>
        </w:tc>
        <w:tc>
          <w:tcPr>
            <w:tcW w:w="810" w:type="dxa"/>
          </w:tcPr>
          <w:p w14:paraId="5DA6F3B9" w14:textId="77777777" w:rsidR="007A73C9" w:rsidRDefault="007A73C9" w:rsidP="0026501C">
            <w:pPr>
              <w:tabs>
                <w:tab w:val="left" w:pos="1602"/>
                <w:tab w:val="left" w:pos="2142"/>
              </w:tabs>
              <w:ind w:right="244"/>
              <w:rPr>
                <w:rFonts w:ascii="Times New Roman" w:hAnsi="Times New Roman" w:cs="Times New Roman"/>
                <w:sz w:val="20"/>
                <w:szCs w:val="20"/>
              </w:rPr>
            </w:pPr>
            <w:r>
              <w:rPr>
                <w:rFonts w:ascii="Times New Roman" w:hAnsi="Times New Roman" w:cs="Times New Roman"/>
                <w:sz w:val="20"/>
                <w:szCs w:val="20"/>
              </w:rPr>
              <w:t>3/6</w:t>
            </w:r>
          </w:p>
        </w:tc>
      </w:tr>
      <w:tr w:rsidR="007A73C9" w14:paraId="698E8180" w14:textId="77777777" w:rsidTr="007A73C9">
        <w:tc>
          <w:tcPr>
            <w:tcW w:w="465" w:type="dxa"/>
            <w:hideMark/>
          </w:tcPr>
          <w:p w14:paraId="1883A8B8"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32</w:t>
            </w:r>
          </w:p>
        </w:tc>
        <w:tc>
          <w:tcPr>
            <w:tcW w:w="1245" w:type="dxa"/>
            <w:hideMark/>
          </w:tcPr>
          <w:p w14:paraId="0DEC5B1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Osunde et al, 2013</w:t>
            </w:r>
            <w:r w:rsidR="00447D36">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{"citationItems":[{"id":"ITEM-1","itemData":{"DOI":"10.4103/1119-3077.110126","ISSN":"11193077","PMID":"23563452","abstract":"Aim: To determine the nature of pediatric maxillofacial injuries, according to etiology and characteristics of patients. Materials and Methods: The records of patients aged 15 years and below who presented with maxillofacial trauma to the Maxillofacial Clinic of Aminu Kano Teaching Hospital, Kano, Nigeria over a 3-year period were retrospectively examined. Patients' demographic and etiologic factors were obtained and analyzed. A P value of &lt;0.05 was considered significant. Results: A total of 160 patients comprising males, 102 (63.8%) and females 58 (36.2%), were seen over the period of study. The age of patients range from 4 months to 15 years, mean 7.07 ± 4.52 years. There was no gender difference in terms of age (P &lt; 0.05). Road traffic accident (RTA) was the most common etiologic factor accounting for 45.0% of cases. This was followed by fall (40.6%). Animal related injury and violence accounted equally for 3.8%. Soft tissue injuries in the form of abrasion, laceration and avulsion accounted for 70.0% of cases. Other anatomical sites included the mandible (16.3%), dento-alveolar fractures(12.5%), and midface (1.3%). Conclusion: Road traffic accident and falls still remains the leading cause of maxillofacial injuries in children in this part of the globe. There is a need to reinforce existing traffic laws that aimed at minimizing the menace of RTA-related accidents.","author":[{"dropping-particle":"","family":"Osunde","given":"O. D.","non-dropping-particle":"","parse-names":false,"suffix":""},{"dropping-particle":"","family":"Amole","given":"I. O.","non-dropping-particle":"","parse-names":false,"suffix":""},{"dropping-particle":"","family":"Ver-Or","given":"N.","non-dropping-particle":"","parse-names":false,"suffix":""},{"dropping-particle":"","family":"Akhiwu","given":"B. I.","non-dropping-particle":"","parse-names":false,"suffix":""},{"dropping-particle":"","family":"Adebola","given":"R. A.","non-dropping-particle":"","parse-names":false,"suffix":""},{"dropping-particle":"","family":"Iyogun","given":"C. A.","non-dropping-particle":"","parse-names":false,"suffix":""},{"dropping-particle":"","family":"Efunkoya","given":"A. A.","non-dropping-particle":"","parse-names":false,"suffix":""}],"container-title":"Nigerian Journal of Clinical Practice","id":"ITEM-1","issue":"2","issued":{"date-parts":[["2013"]]},"page":"149-154","title":"Pediatric maxillofacial injuries at a Nigerian teaching hospital: A three-year review","type":"article-journal","volume":"16"},"uris":["http://www.mendeley.com/documents/?uuid=29dc78d5-b060-4909-a7d4-a343a8f86b25"]}],"mendeley":{"formattedCitation":"&lt;sup&gt;40&lt;/sup&gt;","plainTextFormattedCitation":"40","previouslyFormattedCitation":"&lt;sup&gt;40&lt;/sup&gt;"},"properties":{"noteIndex":0},"schema":"https://github.com/citation-style-language/schema/raw/master/csl-citation.json"}</w:instrText>
            </w:r>
            <w:r w:rsidR="00447D36">
              <w:rPr>
                <w:rFonts w:ascii="Times New Roman" w:hAnsi="Times New Roman" w:cs="Times New Roman"/>
                <w:sz w:val="20"/>
                <w:szCs w:val="20"/>
              </w:rPr>
              <w:fldChar w:fldCharType="separate"/>
            </w:r>
            <w:r w:rsidRPr="005C6B15">
              <w:rPr>
                <w:rFonts w:ascii="Times New Roman" w:hAnsi="Times New Roman" w:cs="Times New Roman"/>
                <w:noProof/>
                <w:sz w:val="20"/>
                <w:szCs w:val="20"/>
                <w:vertAlign w:val="superscript"/>
              </w:rPr>
              <w:t>40</w:t>
            </w:r>
            <w:r w:rsidR="00447D36">
              <w:rPr>
                <w:rFonts w:ascii="Times New Roman" w:hAnsi="Times New Roman" w:cs="Times New Roman"/>
                <w:sz w:val="20"/>
                <w:szCs w:val="20"/>
              </w:rPr>
              <w:fldChar w:fldCharType="end"/>
            </w:r>
          </w:p>
        </w:tc>
        <w:tc>
          <w:tcPr>
            <w:tcW w:w="810" w:type="dxa"/>
            <w:hideMark/>
          </w:tcPr>
          <w:p w14:paraId="3F6E1B7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2008-2010</w:t>
            </w:r>
          </w:p>
        </w:tc>
        <w:tc>
          <w:tcPr>
            <w:tcW w:w="639" w:type="dxa"/>
            <w:hideMark/>
          </w:tcPr>
          <w:p w14:paraId="7E20E6A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NW</w:t>
            </w:r>
          </w:p>
        </w:tc>
        <w:tc>
          <w:tcPr>
            <w:tcW w:w="1417" w:type="dxa"/>
            <w:hideMark/>
          </w:tcPr>
          <w:p w14:paraId="4F3E15A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Retrospective- descriptive</w:t>
            </w:r>
          </w:p>
        </w:tc>
        <w:tc>
          <w:tcPr>
            <w:tcW w:w="914" w:type="dxa"/>
            <w:hideMark/>
          </w:tcPr>
          <w:p w14:paraId="1BD24286"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160</w:t>
            </w:r>
          </w:p>
        </w:tc>
        <w:tc>
          <w:tcPr>
            <w:tcW w:w="810" w:type="dxa"/>
            <w:hideMark/>
          </w:tcPr>
          <w:p w14:paraId="6C4EDCC1"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 xml:space="preserve">0.3 – 12 </w:t>
            </w:r>
          </w:p>
        </w:tc>
        <w:tc>
          <w:tcPr>
            <w:tcW w:w="810" w:type="dxa"/>
            <w:hideMark/>
          </w:tcPr>
          <w:p w14:paraId="2877BC4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1.7:1</w:t>
            </w:r>
          </w:p>
        </w:tc>
        <w:tc>
          <w:tcPr>
            <w:tcW w:w="1530" w:type="dxa"/>
            <w:hideMark/>
          </w:tcPr>
          <w:p w14:paraId="147F5D8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RTC= 45%</w:t>
            </w:r>
          </w:p>
          <w:p w14:paraId="75345E3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(MCC= 15%)</w:t>
            </w:r>
          </w:p>
          <w:p w14:paraId="750FFB3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Falls= 40.6%</w:t>
            </w:r>
          </w:p>
          <w:p w14:paraId="01262C1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Animal= 13.8%</w:t>
            </w:r>
          </w:p>
          <w:p w14:paraId="3076AC4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Assault= 7.5%</w:t>
            </w:r>
          </w:p>
          <w:p w14:paraId="53BCCB0F"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Sports= 0.6%</w:t>
            </w:r>
          </w:p>
          <w:p w14:paraId="0CC6CF9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Others= 2.5%</w:t>
            </w:r>
          </w:p>
        </w:tc>
        <w:tc>
          <w:tcPr>
            <w:tcW w:w="1890" w:type="dxa"/>
            <w:hideMark/>
          </w:tcPr>
          <w:p w14:paraId="42157FA9"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Mandible= 16.2%</w:t>
            </w:r>
          </w:p>
          <w:p w14:paraId="4DCF40A6"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Midface= 1.3%</w:t>
            </w:r>
          </w:p>
          <w:p w14:paraId="22EFFA5F"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Dentoalveolar= 12.5%</w:t>
            </w:r>
          </w:p>
          <w:p w14:paraId="6B64CEB9"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Soft tissue= 70%</w:t>
            </w:r>
          </w:p>
        </w:tc>
        <w:tc>
          <w:tcPr>
            <w:tcW w:w="1350" w:type="dxa"/>
            <w:hideMark/>
          </w:tcPr>
          <w:p w14:paraId="155B8299"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CNS= 3.8%</w:t>
            </w:r>
          </w:p>
          <w:p w14:paraId="72ADF6EE"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Upper limb= 6.3%</w:t>
            </w:r>
          </w:p>
          <w:p w14:paraId="16E6F00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Lower limb= 5.6%</w:t>
            </w:r>
          </w:p>
          <w:p w14:paraId="34927E21"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Ocular= 0.6%</w:t>
            </w:r>
          </w:p>
          <w:p w14:paraId="72FD861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Cervical= 0.6%</w:t>
            </w:r>
          </w:p>
          <w:p w14:paraId="030CF7FF"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Facial nerve= 0.6%</w:t>
            </w:r>
          </w:p>
        </w:tc>
        <w:tc>
          <w:tcPr>
            <w:tcW w:w="1440" w:type="dxa"/>
            <w:hideMark/>
          </w:tcPr>
          <w:p w14:paraId="23929F92"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Suturing for soft tissues</w:t>
            </w:r>
          </w:p>
          <w:p w14:paraId="4B0064C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Closed reduction for maxilla</w:t>
            </w:r>
          </w:p>
          <w:p w14:paraId="692714B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IMF/ splinting for dento-alveolar and mandibular</w:t>
            </w:r>
          </w:p>
        </w:tc>
        <w:tc>
          <w:tcPr>
            <w:tcW w:w="810" w:type="dxa"/>
            <w:hideMark/>
          </w:tcPr>
          <w:p w14:paraId="1B536676" w14:textId="77777777" w:rsidR="007A73C9" w:rsidRDefault="007A73C9" w:rsidP="0026501C">
            <w:pPr>
              <w:tabs>
                <w:tab w:val="left" w:pos="1602"/>
                <w:tab w:val="left" w:pos="2142"/>
              </w:tabs>
              <w:ind w:right="244"/>
              <w:rPr>
                <w:rFonts w:ascii="Times New Roman" w:hAnsi="Times New Roman" w:cs="Times New Roman"/>
                <w:sz w:val="20"/>
                <w:szCs w:val="20"/>
              </w:rPr>
            </w:pPr>
            <w:r>
              <w:rPr>
                <w:rFonts w:ascii="Times New Roman" w:hAnsi="Times New Roman" w:cs="Times New Roman"/>
                <w:sz w:val="20"/>
                <w:szCs w:val="20"/>
              </w:rPr>
              <w:t>3/6</w:t>
            </w:r>
          </w:p>
        </w:tc>
      </w:tr>
      <w:tr w:rsidR="007A73C9" w14:paraId="72EBA09C" w14:textId="77777777" w:rsidTr="007A73C9">
        <w:tc>
          <w:tcPr>
            <w:tcW w:w="465" w:type="dxa"/>
            <w:hideMark/>
          </w:tcPr>
          <w:p w14:paraId="1B0AF40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33</w:t>
            </w:r>
          </w:p>
        </w:tc>
        <w:tc>
          <w:tcPr>
            <w:tcW w:w="1245" w:type="dxa"/>
            <w:hideMark/>
          </w:tcPr>
          <w:p w14:paraId="0E4072EF"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Taiwo et al, 2013</w:t>
            </w:r>
            <w:r w:rsidR="00447D36">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{"citationItems":[{"id":"ITEM-1","itemData":{"DOI":"10.4103/2006-8808.128723","ISSN":"2006-8808 (Print)","PMID":"24741422","abstract":"BACKGROUND: Facial fracture is gradually become a public health problem in our  community due to the attendant morbidity and mortality. Hence, the aim of this study was to determine the pattern of facial fracture in Dental and Maxillofacial Surgery Department of Usmanu Danfodiyo University Teaching Hospital. This cross-sectional study was undertaken to provide information regarding gender, age, etiology, and diagnosis of patients with maxillofacial fractures. MATERIALS AND METHODS: A 1-year review of patients diagnosed and treated for facial fractures in Usmanu Danfodiyo University Teaching Hospital between January 2011 and December 2011. The diagnosis was based on radiographic data and clinical examination. The main analysis outcome measures were etiology, age, gender, site, and treatment. Data were organized and presented by means of descriptive statistics and Pearson's Chi-square test. The level of significance adopted was 5%. RESULTS: A total of 40 patients were treated in this period. Over 95% were male, 81% were caused by road traffic crash (RTC) and 86.4% were in the 21-30 years group. Most patients (52%) had mandibular fractures, and the most common site was the body. Most patients with midfacial fractures had fractures of the zygomaticomaxillary region (36%), while fractures of the parasymphyseal region were more common in the mandible 156 (31%). The most common treatment for jaw fractures was mandibulomaxillary fixation (MMF). Stable zygomatic complex fractures were reduced (elevated) intraorally, and unstable ones were supported by antral packs. CONCLUSIONS: This study highlights facial fractures secondary to RTC as a serious public health problem in our environment. Preventive strategies remain the cheapest way to reduce direct and indirect costs of the sequelae of RTC. It also bring to the fore the necessity to shift to open reduction and internal fixation (ORIF) of fractures.","author":[{"dropping-particle":"","family":"Taiwo","given":"Abdurrazaq Olanrewaju","non-dropping-particle":"","parse-names":false,"suffix":""},{"dropping-particle":"","family":"Soyele","given":"Olujide Oladele","non-dropping-particle":"","parse-names":false,"suffix":""},{"dropping-particle":"","family":"Godwin","given":"Ndubuizi Ugochukwu","non-dropping-particle":"","parse-names":false,"suffix":""},{"dropping-particle":"","family":"Ibikunle","given":"Adebayo Aremu","non-dropping-particle":"","parse-names":false,"suffix":""}],"container-title":"Journal of surgical technique and case report","id":"ITEM-1","issue":"2","issued":{"date-parts":[["2013","7"]]},"language":"eng","page":"65-71","title":"Facial fracture management in northwest Nigeria.","type":"article-journal","volume":"5"},"uris":["http://www.mendeley.com/documents/?uuid=a5136e23-d2f2-4684-ad13-48018071f952"]}],"mendeley":{"formattedCitation":"&lt;sup&gt;41&lt;/sup&gt;","plainTextFormattedCitation":"41","previouslyFormattedCitation":"&lt;sup&gt;41&lt;/sup&gt;"},"properties":{"noteIndex":0},"schema":"https://github.com/citation-style-language/schema/raw/master/csl-citation.json"}</w:instrText>
            </w:r>
            <w:r w:rsidR="00447D36">
              <w:rPr>
                <w:rFonts w:ascii="Times New Roman" w:hAnsi="Times New Roman" w:cs="Times New Roman"/>
                <w:sz w:val="20"/>
                <w:szCs w:val="20"/>
              </w:rPr>
              <w:fldChar w:fldCharType="separate"/>
            </w:r>
            <w:r w:rsidRPr="005C6B15">
              <w:rPr>
                <w:rFonts w:ascii="Times New Roman" w:hAnsi="Times New Roman" w:cs="Times New Roman"/>
                <w:noProof/>
                <w:sz w:val="20"/>
                <w:szCs w:val="20"/>
                <w:vertAlign w:val="superscript"/>
              </w:rPr>
              <w:t>41</w:t>
            </w:r>
            <w:r w:rsidR="00447D36">
              <w:rPr>
                <w:rFonts w:ascii="Times New Roman" w:hAnsi="Times New Roman" w:cs="Times New Roman"/>
                <w:sz w:val="20"/>
                <w:szCs w:val="20"/>
              </w:rPr>
              <w:fldChar w:fldCharType="end"/>
            </w:r>
          </w:p>
        </w:tc>
        <w:tc>
          <w:tcPr>
            <w:tcW w:w="810" w:type="dxa"/>
            <w:hideMark/>
          </w:tcPr>
          <w:p w14:paraId="5985EBC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2011</w:t>
            </w:r>
          </w:p>
        </w:tc>
        <w:tc>
          <w:tcPr>
            <w:tcW w:w="639" w:type="dxa"/>
            <w:hideMark/>
          </w:tcPr>
          <w:p w14:paraId="01B2160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NW</w:t>
            </w:r>
          </w:p>
        </w:tc>
        <w:tc>
          <w:tcPr>
            <w:tcW w:w="1417" w:type="dxa"/>
            <w:hideMark/>
          </w:tcPr>
          <w:p w14:paraId="2804700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Retrospective- descriptive</w:t>
            </w:r>
          </w:p>
        </w:tc>
        <w:tc>
          <w:tcPr>
            <w:tcW w:w="914" w:type="dxa"/>
            <w:hideMark/>
          </w:tcPr>
          <w:p w14:paraId="4D4B6436"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40</w:t>
            </w:r>
          </w:p>
        </w:tc>
        <w:tc>
          <w:tcPr>
            <w:tcW w:w="810" w:type="dxa"/>
            <w:hideMark/>
          </w:tcPr>
          <w:p w14:paraId="6050530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 xml:space="preserve">8 – 60 </w:t>
            </w:r>
          </w:p>
        </w:tc>
        <w:tc>
          <w:tcPr>
            <w:tcW w:w="810" w:type="dxa"/>
            <w:hideMark/>
          </w:tcPr>
          <w:p w14:paraId="048DB3C6"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19:1</w:t>
            </w:r>
          </w:p>
        </w:tc>
        <w:tc>
          <w:tcPr>
            <w:tcW w:w="1530" w:type="dxa"/>
            <w:hideMark/>
          </w:tcPr>
          <w:p w14:paraId="4B3654F2"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RTC= 87.5%</w:t>
            </w:r>
          </w:p>
          <w:p w14:paraId="7E65B395"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(MCC= 57.5%)</w:t>
            </w:r>
          </w:p>
          <w:p w14:paraId="1EA75C02"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Assault= 7.5%</w:t>
            </w:r>
          </w:p>
          <w:p w14:paraId="15817C6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Falls= 2.5%</w:t>
            </w:r>
          </w:p>
          <w:p w14:paraId="238DBCA1"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Others= 2.5%</w:t>
            </w:r>
          </w:p>
        </w:tc>
        <w:tc>
          <w:tcPr>
            <w:tcW w:w="1890" w:type="dxa"/>
            <w:hideMark/>
          </w:tcPr>
          <w:p w14:paraId="0F8A3E1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Mandible= 62.5%</w:t>
            </w:r>
          </w:p>
          <w:p w14:paraId="457CA46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Midface= 7.5%</w:t>
            </w:r>
          </w:p>
          <w:p w14:paraId="59BC48D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Combination= 30%</w:t>
            </w:r>
          </w:p>
          <w:p w14:paraId="2743C4F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Soft tissue, lips (in combination with hard tissue)= 20%</w:t>
            </w:r>
          </w:p>
        </w:tc>
        <w:tc>
          <w:tcPr>
            <w:tcW w:w="1350" w:type="dxa"/>
            <w:hideMark/>
          </w:tcPr>
          <w:p w14:paraId="6DE6FAAF"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CNS= 15%</w:t>
            </w:r>
          </w:p>
        </w:tc>
        <w:tc>
          <w:tcPr>
            <w:tcW w:w="1440" w:type="dxa"/>
          </w:tcPr>
          <w:p w14:paraId="512C011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IMF= 97%</w:t>
            </w:r>
          </w:p>
          <w:p w14:paraId="20319576"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ORIF+IMF= 3%</w:t>
            </w:r>
          </w:p>
          <w:p w14:paraId="293F90C2"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Suturing for soft tissues= 20%</w:t>
            </w:r>
          </w:p>
          <w:p w14:paraId="06A1217F" w14:textId="77777777" w:rsidR="007A73C9" w:rsidRDefault="007A73C9" w:rsidP="0026501C">
            <w:pPr>
              <w:rPr>
                <w:rFonts w:ascii="Times New Roman" w:hAnsi="Times New Roman" w:cs="Times New Roman"/>
                <w:sz w:val="20"/>
                <w:szCs w:val="20"/>
              </w:rPr>
            </w:pPr>
          </w:p>
        </w:tc>
        <w:tc>
          <w:tcPr>
            <w:tcW w:w="810" w:type="dxa"/>
            <w:hideMark/>
          </w:tcPr>
          <w:p w14:paraId="6E8EAF65" w14:textId="77777777" w:rsidR="007A73C9" w:rsidRDefault="007A73C9" w:rsidP="0026501C">
            <w:pPr>
              <w:tabs>
                <w:tab w:val="left" w:pos="1602"/>
                <w:tab w:val="left" w:pos="2142"/>
              </w:tabs>
              <w:ind w:right="244"/>
              <w:rPr>
                <w:rFonts w:ascii="Times New Roman" w:hAnsi="Times New Roman" w:cs="Times New Roman"/>
                <w:sz w:val="20"/>
                <w:szCs w:val="20"/>
              </w:rPr>
            </w:pPr>
            <w:r>
              <w:rPr>
                <w:rFonts w:ascii="Times New Roman" w:hAnsi="Times New Roman" w:cs="Times New Roman"/>
                <w:sz w:val="20"/>
                <w:szCs w:val="20"/>
              </w:rPr>
              <w:t>3/6</w:t>
            </w:r>
          </w:p>
        </w:tc>
      </w:tr>
      <w:tr w:rsidR="007A73C9" w14:paraId="6DA1E8CC" w14:textId="77777777" w:rsidTr="007A73C9">
        <w:tc>
          <w:tcPr>
            <w:tcW w:w="465" w:type="dxa"/>
            <w:hideMark/>
          </w:tcPr>
          <w:p w14:paraId="547D88A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34</w:t>
            </w:r>
          </w:p>
        </w:tc>
        <w:tc>
          <w:tcPr>
            <w:tcW w:w="1245" w:type="dxa"/>
            <w:hideMark/>
          </w:tcPr>
          <w:p w14:paraId="6EF0D5A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Udeabor et al, 2014</w:t>
            </w:r>
            <w:r w:rsidR="00447D36">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{"citationItems":[{"id":"ITEM-1","itemData":{"author":[{"dropping-particle":"","family":"Udeabor","given":"S E","non-dropping-particle":"","parse-names":false,"suffix":""},{"dropping-particle":"","family":"Akinbami","given":"B O","non-dropping-particle":"","parse-names":false,"suffix":""},{"dropping-particle":"","family":"Yarhere","given":"K S","non-dropping-particle":"","parse-names":false,"suffix":""},{"dropping-particle":"","family":"Obiechina","given":"A E","non-dropping-particle":"","parse-names":false,"suffix":""}],"container-title":"Journal of Dental Surgery","id":"ITEM-1","issued":{"date-parts":[["2014"]]},"page":"1-6","title":"Maxillofacial Fracture Etiology Pattern of Presentation and Treatment","type":"article-journal","volume":"2014"},"uris":["http://www.mendeley.com/documents/?uuid=c2ca98cf-cfd5-477c-8a8b-6f345c3623eb"]}],"mendeley":{"formattedCitation":"&lt;sup&gt;45&lt;/sup&gt;","plainTextFormattedCitation":"45","previouslyFormattedCitation":"&lt;sup&gt;45&lt;/sup&gt;"},"properties":{"noteIndex":0},"schema":"https://github.com/citation-style-language/schema/raw/master/csl-citation.json"}</w:instrText>
            </w:r>
            <w:r w:rsidR="00447D36">
              <w:rPr>
                <w:rFonts w:ascii="Times New Roman" w:hAnsi="Times New Roman" w:cs="Times New Roman"/>
                <w:sz w:val="20"/>
                <w:szCs w:val="20"/>
              </w:rPr>
              <w:fldChar w:fldCharType="separate"/>
            </w:r>
            <w:r w:rsidRPr="00CA2025">
              <w:rPr>
                <w:rFonts w:ascii="Times New Roman" w:hAnsi="Times New Roman" w:cs="Times New Roman"/>
                <w:noProof/>
                <w:sz w:val="20"/>
                <w:szCs w:val="20"/>
                <w:vertAlign w:val="superscript"/>
              </w:rPr>
              <w:t>45</w:t>
            </w:r>
            <w:r w:rsidR="00447D36">
              <w:rPr>
                <w:rFonts w:ascii="Times New Roman" w:hAnsi="Times New Roman" w:cs="Times New Roman"/>
                <w:sz w:val="20"/>
                <w:szCs w:val="20"/>
              </w:rPr>
              <w:fldChar w:fldCharType="end"/>
            </w:r>
          </w:p>
        </w:tc>
        <w:tc>
          <w:tcPr>
            <w:tcW w:w="810" w:type="dxa"/>
            <w:hideMark/>
          </w:tcPr>
          <w:p w14:paraId="2842014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2007-2013</w:t>
            </w:r>
          </w:p>
        </w:tc>
        <w:tc>
          <w:tcPr>
            <w:tcW w:w="639" w:type="dxa"/>
            <w:hideMark/>
          </w:tcPr>
          <w:p w14:paraId="0736BF1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SS</w:t>
            </w:r>
          </w:p>
        </w:tc>
        <w:tc>
          <w:tcPr>
            <w:tcW w:w="1417" w:type="dxa"/>
            <w:hideMark/>
          </w:tcPr>
          <w:p w14:paraId="5A4E33E4"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Retrospective- descriptive</w:t>
            </w:r>
          </w:p>
        </w:tc>
        <w:tc>
          <w:tcPr>
            <w:tcW w:w="914" w:type="dxa"/>
            <w:hideMark/>
          </w:tcPr>
          <w:p w14:paraId="05299DCE"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86</w:t>
            </w:r>
          </w:p>
        </w:tc>
        <w:tc>
          <w:tcPr>
            <w:tcW w:w="810" w:type="dxa"/>
            <w:hideMark/>
          </w:tcPr>
          <w:p w14:paraId="2897917F"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 xml:space="preserve">4 – 76 </w:t>
            </w:r>
          </w:p>
        </w:tc>
        <w:tc>
          <w:tcPr>
            <w:tcW w:w="810" w:type="dxa"/>
            <w:hideMark/>
          </w:tcPr>
          <w:p w14:paraId="59B58EA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3.1:1</w:t>
            </w:r>
          </w:p>
        </w:tc>
        <w:tc>
          <w:tcPr>
            <w:tcW w:w="1530" w:type="dxa"/>
            <w:hideMark/>
          </w:tcPr>
          <w:p w14:paraId="252F5F03"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RTC= 46.5%</w:t>
            </w:r>
          </w:p>
          <w:p w14:paraId="255CB99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(MCC= 20.9%)</w:t>
            </w:r>
          </w:p>
          <w:p w14:paraId="714915A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Boat accident= 2.3%</w:t>
            </w:r>
          </w:p>
          <w:p w14:paraId="1BD14153"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lastRenderedPageBreak/>
              <w:t>Assault= 19.8%</w:t>
            </w:r>
          </w:p>
          <w:p w14:paraId="45C3DEE6"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(Gunshot= 12.8%)</w:t>
            </w:r>
          </w:p>
          <w:p w14:paraId="064AFDE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Industrial accident= 3.5%</w:t>
            </w:r>
          </w:p>
          <w:p w14:paraId="05FBC41E"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Animal attack= 1.2%</w:t>
            </w:r>
          </w:p>
          <w:p w14:paraId="269F58A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Others= 26.7%</w:t>
            </w:r>
          </w:p>
        </w:tc>
        <w:tc>
          <w:tcPr>
            <w:tcW w:w="1890" w:type="dxa"/>
            <w:hideMark/>
          </w:tcPr>
          <w:p w14:paraId="4A193A3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lastRenderedPageBreak/>
              <w:t>Mandible= 59.3%</w:t>
            </w:r>
          </w:p>
          <w:p w14:paraId="44DB1C42"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Maxilla= 14.1%</w:t>
            </w:r>
          </w:p>
          <w:p w14:paraId="24D7E65F"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ZC= 18.5%</w:t>
            </w:r>
          </w:p>
          <w:p w14:paraId="09AD8E8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Orbital= 2.9%</w:t>
            </w:r>
          </w:p>
          <w:p w14:paraId="62426800"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lastRenderedPageBreak/>
              <w:t>NOE= 3.0%</w:t>
            </w:r>
          </w:p>
          <w:p w14:paraId="289CAB5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Nasal= 0.7%</w:t>
            </w:r>
          </w:p>
          <w:p w14:paraId="1D66965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Frontal= 1.5%</w:t>
            </w:r>
          </w:p>
        </w:tc>
        <w:tc>
          <w:tcPr>
            <w:tcW w:w="1350" w:type="dxa"/>
            <w:hideMark/>
          </w:tcPr>
          <w:p w14:paraId="03A2E1C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lastRenderedPageBreak/>
              <w:t>NR</w:t>
            </w:r>
          </w:p>
        </w:tc>
        <w:tc>
          <w:tcPr>
            <w:tcW w:w="1440" w:type="dxa"/>
            <w:hideMark/>
          </w:tcPr>
          <w:p w14:paraId="1ABD268E"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Conservative= 3.2%</w:t>
            </w:r>
          </w:p>
          <w:p w14:paraId="657CC816"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 xml:space="preserve">Debridement + suturing= </w:t>
            </w:r>
            <w:r>
              <w:rPr>
                <w:rFonts w:ascii="Times New Roman" w:hAnsi="Times New Roman" w:cs="Times New Roman"/>
                <w:sz w:val="20"/>
                <w:szCs w:val="20"/>
              </w:rPr>
              <w:lastRenderedPageBreak/>
              <w:t>12.8%</w:t>
            </w:r>
          </w:p>
          <w:p w14:paraId="7F14DE29"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IMF= 40.4%</w:t>
            </w:r>
          </w:p>
          <w:p w14:paraId="5E9BD9D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Suspension wire=  4.3%</w:t>
            </w:r>
          </w:p>
          <w:p w14:paraId="1C01964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Splinting= 8.4%</w:t>
            </w:r>
          </w:p>
          <w:p w14:paraId="03EEF4F8"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ORIF + IMF= 30.9%</w:t>
            </w:r>
          </w:p>
        </w:tc>
        <w:tc>
          <w:tcPr>
            <w:tcW w:w="810" w:type="dxa"/>
            <w:hideMark/>
          </w:tcPr>
          <w:p w14:paraId="0138730A" w14:textId="77777777" w:rsidR="007A73C9" w:rsidRDefault="007A73C9" w:rsidP="0026501C">
            <w:pPr>
              <w:tabs>
                <w:tab w:val="left" w:pos="1602"/>
                <w:tab w:val="left" w:pos="2142"/>
              </w:tabs>
              <w:ind w:right="244"/>
              <w:rPr>
                <w:rFonts w:ascii="Times New Roman" w:hAnsi="Times New Roman" w:cs="Times New Roman"/>
                <w:sz w:val="20"/>
                <w:szCs w:val="20"/>
              </w:rPr>
            </w:pPr>
            <w:r>
              <w:rPr>
                <w:rFonts w:ascii="Times New Roman" w:hAnsi="Times New Roman" w:cs="Times New Roman"/>
                <w:sz w:val="20"/>
                <w:szCs w:val="20"/>
              </w:rPr>
              <w:lastRenderedPageBreak/>
              <w:t>3/6</w:t>
            </w:r>
          </w:p>
        </w:tc>
      </w:tr>
      <w:tr w:rsidR="007A73C9" w14:paraId="6AD13706" w14:textId="77777777" w:rsidTr="007A73C9">
        <w:tc>
          <w:tcPr>
            <w:tcW w:w="465" w:type="dxa"/>
            <w:tcBorders>
              <w:bottom w:val="single" w:sz="4" w:space="0" w:color="auto"/>
            </w:tcBorders>
            <w:hideMark/>
          </w:tcPr>
          <w:p w14:paraId="776CD3B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35</w:t>
            </w:r>
          </w:p>
        </w:tc>
        <w:tc>
          <w:tcPr>
            <w:tcW w:w="1245" w:type="dxa"/>
            <w:tcBorders>
              <w:bottom w:val="single" w:sz="4" w:space="0" w:color="auto"/>
            </w:tcBorders>
            <w:hideMark/>
          </w:tcPr>
          <w:p w14:paraId="250317B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Ugboko et al, 2005</w:t>
            </w:r>
            <w:r w:rsidR="00447D36">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{"citationItems":[{"id":"ITEM-1","itemData":{"DOI":"10.1111/j.1600-9657.2004.00275.x","ISSN":"1600-4469 (Print)","PMID":"15773885","abstract":"A retrospective analysis of 128 zygomatic complex fractures was undertaken. There  were 109 males (85.2%) and 19 females (14.8%), aged 3-74 years (mean +/- SD, 33 +/- 12.6 years). Patients in the third decade of life (38.3%) recorded the highest incidence. Road traffic accidents (74.2%) mainly from automobile (61.7%) and motorcycle (9.4%) involvement were the predominant etiology. While 38.8% of them presented within the first 24 h, males were relatively earlier than their female counterparts, although this was not statistically significant (P &gt; 0.05). Class 3 fractures were the commonest (50%), followed by classes 2 (zygomatic arch) and 4, respectively. Most class 6 fractures (6.3%) resulted from gunshot injuries. There were 116 unilateral (left 63, right 53) and 12 bilateral fractures with the right side of the face recording more zygomatic arch fractures. In addition, statistical significance was observed between etiology, class and type of fracture (P &lt; 0.05). One hundred and twenty-four (136 fractures) patients were available for treatment as four declined. Twelve cases did not require treatment while others were managed by either closed or open reduction under general anesthesia. Gillies' temporal approach was the commonest (57.1%) surgical technique employed. However the unstable nature of the fractures necessitated open reduction and transosseous wiring in 33 cases. The high prevalence of zygomatic complex fractures arising from vehicular accidents reflects the poor status of the road network in rural and suburban Nigerian communities. Hence government should improve on existing infrastructures, decongest the highways and enforce traffic laws amongst road users. In addition, the need to encourage massive investments in safer alternative transport systems is emphasized.","author":[{"dropping-particle":"","family":"Ugboko","given":"Vincent","non-dropping-particle":"","parse-names":false,"suffix":""},{"dropping-particle":"","family":"Udoye","given":"Christopher","non-dropping-particle":"","parse-names":false,"suffix":""},{"dropping-particle":"","family":"Ndukwe","given":"Kizito","non-dropping-particle":"","parse-names":false,"suffix":""},{"dropping-particle":"","family":"Amole","given":"Adewumi","non-dropping-particle":"","parse-names":false,"suffix":""},{"dropping-particle":"","family":"Aregbesola","given":"Stephen","non-dropping-particle":"","parse-names":false,"suffix":""}],"container-title":"Dental traumatology : official publication of International Association for  Dental Traumatology","id":"ITEM-1","issue":"2","issued":{"date-parts":[["2005","4"]]},"language":"eng","page":"70-75","publisher-place":"Denmark","title":"Zygomatic complex fractures in a suburban Nigerian population.","type":"article-journal","volume":"21"},"uris":["http://www.mendeley.com/documents/?uuid=5ac691c9-134f-4153-9982-506fdea6edcb"]}],"mendeley":{"formattedCitation":"&lt;sup&gt;27&lt;/sup&gt;","plainTextFormattedCitation":"27","previouslyFormattedCitation":"&lt;sup&gt;27&lt;/sup&gt;"},"properties":{"noteIndex":0},"schema":"https://github.com/citation-style-language/schema/raw/master/csl-citation.json"}</w:instrText>
            </w:r>
            <w:r w:rsidR="00447D36">
              <w:rPr>
                <w:rFonts w:ascii="Times New Roman" w:hAnsi="Times New Roman" w:cs="Times New Roman"/>
                <w:sz w:val="20"/>
                <w:szCs w:val="20"/>
              </w:rPr>
              <w:fldChar w:fldCharType="separate"/>
            </w:r>
            <w:r w:rsidRPr="005C6B15">
              <w:rPr>
                <w:rFonts w:ascii="Times New Roman" w:hAnsi="Times New Roman" w:cs="Times New Roman"/>
                <w:noProof/>
                <w:sz w:val="20"/>
                <w:szCs w:val="20"/>
                <w:vertAlign w:val="superscript"/>
              </w:rPr>
              <w:t>27</w:t>
            </w:r>
            <w:r w:rsidR="00447D36">
              <w:rPr>
                <w:rFonts w:ascii="Times New Roman" w:hAnsi="Times New Roman" w:cs="Times New Roman"/>
                <w:sz w:val="20"/>
                <w:szCs w:val="20"/>
              </w:rPr>
              <w:fldChar w:fldCharType="end"/>
            </w:r>
          </w:p>
        </w:tc>
        <w:tc>
          <w:tcPr>
            <w:tcW w:w="810" w:type="dxa"/>
            <w:tcBorders>
              <w:bottom w:val="single" w:sz="4" w:space="0" w:color="auto"/>
            </w:tcBorders>
            <w:hideMark/>
          </w:tcPr>
          <w:p w14:paraId="02B22B57"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1990-2003</w:t>
            </w:r>
          </w:p>
        </w:tc>
        <w:tc>
          <w:tcPr>
            <w:tcW w:w="639" w:type="dxa"/>
            <w:tcBorders>
              <w:bottom w:val="single" w:sz="4" w:space="0" w:color="auto"/>
            </w:tcBorders>
            <w:hideMark/>
          </w:tcPr>
          <w:p w14:paraId="08356A3F"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SW</w:t>
            </w:r>
          </w:p>
        </w:tc>
        <w:tc>
          <w:tcPr>
            <w:tcW w:w="1417" w:type="dxa"/>
            <w:tcBorders>
              <w:bottom w:val="single" w:sz="4" w:space="0" w:color="auto"/>
            </w:tcBorders>
            <w:hideMark/>
          </w:tcPr>
          <w:p w14:paraId="0439AADD"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Retrospective- descriptive</w:t>
            </w:r>
          </w:p>
        </w:tc>
        <w:tc>
          <w:tcPr>
            <w:tcW w:w="914" w:type="dxa"/>
            <w:tcBorders>
              <w:bottom w:val="single" w:sz="4" w:space="0" w:color="auto"/>
            </w:tcBorders>
            <w:hideMark/>
          </w:tcPr>
          <w:p w14:paraId="335C9EB1"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128</w:t>
            </w:r>
          </w:p>
        </w:tc>
        <w:tc>
          <w:tcPr>
            <w:tcW w:w="810" w:type="dxa"/>
            <w:tcBorders>
              <w:bottom w:val="single" w:sz="4" w:space="0" w:color="auto"/>
            </w:tcBorders>
            <w:hideMark/>
          </w:tcPr>
          <w:p w14:paraId="0340C2A6"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 xml:space="preserve">3 – 74 </w:t>
            </w:r>
          </w:p>
        </w:tc>
        <w:tc>
          <w:tcPr>
            <w:tcW w:w="810" w:type="dxa"/>
            <w:tcBorders>
              <w:bottom w:val="single" w:sz="4" w:space="0" w:color="auto"/>
            </w:tcBorders>
            <w:hideMark/>
          </w:tcPr>
          <w:p w14:paraId="66781EC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5.7:1</w:t>
            </w:r>
          </w:p>
        </w:tc>
        <w:tc>
          <w:tcPr>
            <w:tcW w:w="1530" w:type="dxa"/>
            <w:tcBorders>
              <w:bottom w:val="single" w:sz="4" w:space="0" w:color="auto"/>
            </w:tcBorders>
            <w:hideMark/>
          </w:tcPr>
          <w:p w14:paraId="294205F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RTC= 75.2%</w:t>
            </w:r>
          </w:p>
          <w:p w14:paraId="64EC0316"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(MCC= 9.4%)</w:t>
            </w:r>
          </w:p>
          <w:p w14:paraId="4D3F56D5"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Assault= 14%</w:t>
            </w:r>
          </w:p>
          <w:p w14:paraId="11F2FC2E"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Sport= 7%</w:t>
            </w:r>
          </w:p>
          <w:p w14:paraId="31C1192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Falls= 3.9%</w:t>
            </w:r>
          </w:p>
          <w:p w14:paraId="57EF8A1E"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Occupational injury= 0.8%</w:t>
            </w:r>
          </w:p>
        </w:tc>
        <w:tc>
          <w:tcPr>
            <w:tcW w:w="1890" w:type="dxa"/>
            <w:tcBorders>
              <w:bottom w:val="single" w:sz="4" w:space="0" w:color="auto"/>
            </w:tcBorders>
            <w:hideMark/>
          </w:tcPr>
          <w:p w14:paraId="1B9298A3"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Midface= 85.2%</w:t>
            </w:r>
          </w:p>
          <w:p w14:paraId="61F662BB"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Soft tissue= 14.8%</w:t>
            </w:r>
          </w:p>
        </w:tc>
        <w:tc>
          <w:tcPr>
            <w:tcW w:w="1350" w:type="dxa"/>
            <w:tcBorders>
              <w:bottom w:val="single" w:sz="4" w:space="0" w:color="auto"/>
            </w:tcBorders>
            <w:hideMark/>
          </w:tcPr>
          <w:p w14:paraId="44367EA5"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NR</w:t>
            </w:r>
          </w:p>
        </w:tc>
        <w:tc>
          <w:tcPr>
            <w:tcW w:w="1440" w:type="dxa"/>
            <w:tcBorders>
              <w:bottom w:val="single" w:sz="4" w:space="0" w:color="auto"/>
            </w:tcBorders>
            <w:hideMark/>
          </w:tcPr>
          <w:p w14:paraId="79A54A31"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Conservative= 8.6%</w:t>
            </w:r>
          </w:p>
          <w:p w14:paraId="551C3A3A"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IMF= 65.2%</w:t>
            </w:r>
          </w:p>
          <w:p w14:paraId="36F2A9CC"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ORIF= 23.6%</w:t>
            </w:r>
          </w:p>
          <w:p w14:paraId="1668D213" w14:textId="77777777" w:rsidR="007A73C9" w:rsidRDefault="007A73C9" w:rsidP="0026501C">
            <w:pPr>
              <w:rPr>
                <w:rFonts w:ascii="Times New Roman" w:hAnsi="Times New Roman" w:cs="Times New Roman"/>
                <w:sz w:val="20"/>
                <w:szCs w:val="20"/>
              </w:rPr>
            </w:pPr>
            <w:r>
              <w:rPr>
                <w:rFonts w:ascii="Times New Roman" w:hAnsi="Times New Roman" w:cs="Times New Roman"/>
                <w:sz w:val="20"/>
                <w:szCs w:val="20"/>
              </w:rPr>
              <w:t>Debridement + suturing= 2.6%</w:t>
            </w:r>
          </w:p>
        </w:tc>
        <w:tc>
          <w:tcPr>
            <w:tcW w:w="810" w:type="dxa"/>
            <w:tcBorders>
              <w:bottom w:val="single" w:sz="4" w:space="0" w:color="auto"/>
            </w:tcBorders>
            <w:hideMark/>
          </w:tcPr>
          <w:p w14:paraId="4E4FEA02" w14:textId="77777777" w:rsidR="007A73C9" w:rsidRDefault="007A73C9" w:rsidP="0026501C">
            <w:pPr>
              <w:tabs>
                <w:tab w:val="left" w:pos="1602"/>
                <w:tab w:val="left" w:pos="2142"/>
              </w:tabs>
              <w:ind w:right="244"/>
              <w:rPr>
                <w:rFonts w:ascii="Times New Roman" w:hAnsi="Times New Roman" w:cs="Times New Roman"/>
                <w:sz w:val="20"/>
                <w:szCs w:val="20"/>
              </w:rPr>
            </w:pPr>
            <w:r>
              <w:rPr>
                <w:rFonts w:ascii="Times New Roman" w:hAnsi="Times New Roman" w:cs="Times New Roman"/>
                <w:sz w:val="20"/>
                <w:szCs w:val="20"/>
              </w:rPr>
              <w:t>3/6</w:t>
            </w:r>
          </w:p>
        </w:tc>
      </w:tr>
      <w:tr w:rsidR="007A73C9" w14:paraId="5B4548B1" w14:textId="77777777" w:rsidTr="007A73C9">
        <w:tc>
          <w:tcPr>
            <w:tcW w:w="14130" w:type="dxa"/>
            <w:gridSpan w:val="13"/>
            <w:tcBorders>
              <w:top w:val="single" w:sz="4" w:space="0" w:color="auto"/>
              <w:bottom w:val="single" w:sz="4" w:space="0" w:color="auto"/>
            </w:tcBorders>
            <w:hideMark/>
          </w:tcPr>
          <w:p w14:paraId="7738DB62" w14:textId="77777777" w:rsidR="007A73C9" w:rsidRDefault="007A73C9" w:rsidP="0026501C">
            <w:pPr>
              <w:tabs>
                <w:tab w:val="left" w:pos="1602"/>
                <w:tab w:val="left" w:pos="2142"/>
              </w:tabs>
              <w:jc w:val="both"/>
              <w:rPr>
                <w:rFonts w:ascii="Times New Roman" w:hAnsi="Times New Roman" w:cs="Times New Roman"/>
                <w:sz w:val="20"/>
                <w:szCs w:val="20"/>
              </w:rPr>
            </w:pPr>
            <w:r>
              <w:rPr>
                <w:rFonts w:ascii="Times New Roman" w:hAnsi="Times New Roman" w:cs="Times New Roman"/>
                <w:sz w:val="20"/>
                <w:szCs w:val="20"/>
              </w:rPr>
              <w:t>MF= maxillofacial trauma; RCT= randomized controlled trial; SW= south west; NC= north central; SS= south south; NW=north west; SE= south east; RTC= road traffic crash; MCC= motorcycle crash; ZC= zygomatic complex; NOE= naso-orbito-ethmoidal; IMF= intermaxillary fixation (closed reduction); ORIF (open reduction internal fixation (open reduction); NR= not reported; CMW= circum-mandibular wiring; CNS= central nervous system</w:t>
            </w:r>
          </w:p>
        </w:tc>
      </w:tr>
    </w:tbl>
    <w:p w14:paraId="0C02A584" w14:textId="77777777" w:rsidR="007A73C9" w:rsidRDefault="007A73C9" w:rsidP="00DF35A3">
      <w:pPr>
        <w:widowControl w:val="0"/>
        <w:autoSpaceDE w:val="0"/>
        <w:autoSpaceDN w:val="0"/>
        <w:adjustRightInd w:val="0"/>
        <w:spacing w:line="360" w:lineRule="auto"/>
        <w:ind w:left="640" w:hanging="640"/>
        <w:rPr>
          <w:rFonts w:ascii="Times New Roman" w:hAnsi="Times New Roman" w:cs="Times New Roman"/>
          <w:sz w:val="24"/>
          <w:szCs w:val="24"/>
        </w:rPr>
      </w:pPr>
    </w:p>
    <w:p w14:paraId="5C946C0E" w14:textId="77777777" w:rsidR="007A73C9" w:rsidRDefault="007A73C9" w:rsidP="00DF35A3">
      <w:pPr>
        <w:widowControl w:val="0"/>
        <w:autoSpaceDE w:val="0"/>
        <w:autoSpaceDN w:val="0"/>
        <w:adjustRightInd w:val="0"/>
        <w:spacing w:line="360" w:lineRule="auto"/>
        <w:ind w:left="640" w:hanging="640"/>
        <w:rPr>
          <w:rFonts w:ascii="Times New Roman" w:hAnsi="Times New Roman" w:cs="Times New Roman"/>
          <w:sz w:val="24"/>
          <w:szCs w:val="24"/>
        </w:rPr>
      </w:pPr>
    </w:p>
    <w:p w14:paraId="45022A48" w14:textId="77777777" w:rsidR="007A73C9" w:rsidRDefault="007A73C9" w:rsidP="00DF35A3">
      <w:pPr>
        <w:widowControl w:val="0"/>
        <w:autoSpaceDE w:val="0"/>
        <w:autoSpaceDN w:val="0"/>
        <w:adjustRightInd w:val="0"/>
        <w:spacing w:line="360" w:lineRule="auto"/>
        <w:ind w:left="640" w:hanging="640"/>
        <w:rPr>
          <w:rFonts w:ascii="Times New Roman" w:hAnsi="Times New Roman" w:cs="Times New Roman"/>
          <w:sz w:val="24"/>
          <w:szCs w:val="24"/>
        </w:rPr>
      </w:pPr>
    </w:p>
    <w:p w14:paraId="7F1CD3C9" w14:textId="77777777" w:rsidR="007A73C9" w:rsidRDefault="007A73C9" w:rsidP="00DF35A3">
      <w:pPr>
        <w:widowControl w:val="0"/>
        <w:autoSpaceDE w:val="0"/>
        <w:autoSpaceDN w:val="0"/>
        <w:adjustRightInd w:val="0"/>
        <w:spacing w:line="360" w:lineRule="auto"/>
        <w:ind w:left="640" w:hanging="640"/>
        <w:rPr>
          <w:rFonts w:ascii="Times New Roman" w:hAnsi="Times New Roman" w:cs="Times New Roman"/>
          <w:sz w:val="24"/>
          <w:szCs w:val="24"/>
        </w:rPr>
      </w:pPr>
    </w:p>
    <w:p w14:paraId="0FF5B8BD" w14:textId="77777777" w:rsidR="007A73C9" w:rsidRDefault="007A73C9" w:rsidP="00DF35A3">
      <w:pPr>
        <w:widowControl w:val="0"/>
        <w:autoSpaceDE w:val="0"/>
        <w:autoSpaceDN w:val="0"/>
        <w:adjustRightInd w:val="0"/>
        <w:spacing w:line="360" w:lineRule="auto"/>
        <w:ind w:left="640" w:hanging="640"/>
        <w:rPr>
          <w:rFonts w:ascii="Times New Roman" w:hAnsi="Times New Roman" w:cs="Times New Roman"/>
          <w:sz w:val="24"/>
          <w:szCs w:val="24"/>
        </w:rPr>
      </w:pPr>
    </w:p>
    <w:p w14:paraId="60BCE1BB" w14:textId="77777777" w:rsidR="007A73C9" w:rsidRDefault="007A73C9" w:rsidP="00DF35A3">
      <w:pPr>
        <w:widowControl w:val="0"/>
        <w:autoSpaceDE w:val="0"/>
        <w:autoSpaceDN w:val="0"/>
        <w:adjustRightInd w:val="0"/>
        <w:spacing w:line="360" w:lineRule="auto"/>
        <w:ind w:left="640" w:hanging="640"/>
        <w:rPr>
          <w:rFonts w:ascii="Times New Roman" w:hAnsi="Times New Roman" w:cs="Times New Roman"/>
          <w:sz w:val="24"/>
          <w:szCs w:val="24"/>
        </w:rPr>
      </w:pPr>
    </w:p>
    <w:p w14:paraId="492CB02E" w14:textId="77777777" w:rsidR="007A73C9" w:rsidRDefault="007A73C9" w:rsidP="00DF35A3">
      <w:pPr>
        <w:widowControl w:val="0"/>
        <w:autoSpaceDE w:val="0"/>
        <w:autoSpaceDN w:val="0"/>
        <w:adjustRightInd w:val="0"/>
        <w:spacing w:line="360" w:lineRule="auto"/>
        <w:ind w:left="640" w:hanging="640"/>
        <w:rPr>
          <w:rFonts w:ascii="Times New Roman" w:hAnsi="Times New Roman" w:cs="Times New Roman"/>
          <w:sz w:val="24"/>
          <w:szCs w:val="24"/>
        </w:rPr>
      </w:pPr>
    </w:p>
    <w:p w14:paraId="526FA81B" w14:textId="77777777" w:rsidR="007A73C9" w:rsidRDefault="007A73C9" w:rsidP="00DF35A3">
      <w:pPr>
        <w:widowControl w:val="0"/>
        <w:autoSpaceDE w:val="0"/>
        <w:autoSpaceDN w:val="0"/>
        <w:adjustRightInd w:val="0"/>
        <w:spacing w:line="360" w:lineRule="auto"/>
        <w:ind w:left="640" w:hanging="640"/>
        <w:rPr>
          <w:rFonts w:ascii="Times New Roman" w:hAnsi="Times New Roman" w:cs="Times New Roman"/>
          <w:sz w:val="24"/>
          <w:szCs w:val="24"/>
        </w:rPr>
      </w:pPr>
    </w:p>
    <w:p w14:paraId="2090F405" w14:textId="77777777" w:rsidR="007A73C9" w:rsidRDefault="007A73C9" w:rsidP="00DF35A3">
      <w:pPr>
        <w:widowControl w:val="0"/>
        <w:autoSpaceDE w:val="0"/>
        <w:autoSpaceDN w:val="0"/>
        <w:adjustRightInd w:val="0"/>
        <w:spacing w:line="360" w:lineRule="auto"/>
        <w:ind w:left="640" w:hanging="640"/>
        <w:rPr>
          <w:rFonts w:ascii="Times New Roman" w:hAnsi="Times New Roman" w:cs="Times New Roman"/>
          <w:sz w:val="24"/>
          <w:szCs w:val="24"/>
        </w:rPr>
      </w:pPr>
    </w:p>
    <w:p w14:paraId="73EE1FFB" w14:textId="77777777" w:rsidR="007A73C9" w:rsidRDefault="007A73C9" w:rsidP="00DF35A3">
      <w:pPr>
        <w:widowControl w:val="0"/>
        <w:autoSpaceDE w:val="0"/>
        <w:autoSpaceDN w:val="0"/>
        <w:adjustRightInd w:val="0"/>
        <w:spacing w:line="360" w:lineRule="auto"/>
        <w:ind w:left="640" w:hanging="640"/>
        <w:rPr>
          <w:rFonts w:ascii="Times New Roman" w:hAnsi="Times New Roman" w:cs="Times New Roman"/>
          <w:sz w:val="24"/>
          <w:szCs w:val="24"/>
        </w:rPr>
      </w:pPr>
    </w:p>
    <w:p w14:paraId="114DDAEB" w14:textId="77777777" w:rsidR="007A73C9" w:rsidRDefault="007A73C9" w:rsidP="008418E0">
      <w:pPr>
        <w:widowControl w:val="0"/>
        <w:autoSpaceDE w:val="0"/>
        <w:autoSpaceDN w:val="0"/>
        <w:adjustRightInd w:val="0"/>
        <w:spacing w:line="360" w:lineRule="auto"/>
        <w:rPr>
          <w:rFonts w:ascii="Times New Roman" w:hAnsi="Times New Roman" w:cs="Times New Roman"/>
          <w:sz w:val="24"/>
          <w:szCs w:val="24"/>
        </w:rPr>
        <w:sectPr w:rsidR="007A73C9" w:rsidSect="008B5A81">
          <w:pgSz w:w="15840" w:h="12240" w:orient="landscape"/>
          <w:pgMar w:top="1440" w:right="1440" w:bottom="1440" w:left="1440" w:header="720" w:footer="720" w:gutter="0"/>
          <w:cols w:space="720"/>
          <w:docGrid w:linePitch="360"/>
        </w:sectPr>
      </w:pPr>
    </w:p>
    <w:p w14:paraId="4516AA5D" w14:textId="77777777" w:rsidR="00FA5685" w:rsidRPr="00FA5685" w:rsidRDefault="00FA5685" w:rsidP="008418E0"/>
    <w:sectPr w:rsidR="00FA5685" w:rsidRPr="00FA5685" w:rsidSect="008B5A8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4ACBA9" w14:textId="77777777" w:rsidR="008B5A81" w:rsidRDefault="008B5A81" w:rsidP="00514640">
      <w:pPr>
        <w:spacing w:after="0" w:line="240" w:lineRule="auto"/>
      </w:pPr>
      <w:r>
        <w:separator/>
      </w:r>
    </w:p>
  </w:endnote>
  <w:endnote w:type="continuationSeparator" w:id="0">
    <w:p w14:paraId="7FD4BF7F" w14:textId="77777777" w:rsidR="008B5A81" w:rsidRDefault="008B5A81" w:rsidP="005146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20C182" w14:textId="77777777" w:rsidR="008B5A81" w:rsidRDefault="008B5A81" w:rsidP="00514640">
      <w:pPr>
        <w:spacing w:after="0" w:line="240" w:lineRule="auto"/>
      </w:pPr>
      <w:r>
        <w:separator/>
      </w:r>
    </w:p>
  </w:footnote>
  <w:footnote w:type="continuationSeparator" w:id="0">
    <w:p w14:paraId="22BAFDB5" w14:textId="77777777" w:rsidR="008B5A81" w:rsidRDefault="008B5A81" w:rsidP="0051464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9E23D1"/>
    <w:multiLevelType w:val="hybridMultilevel"/>
    <w:tmpl w:val="62FCF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671552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4A3C"/>
    <w:rsid w:val="00002849"/>
    <w:rsid w:val="000030DB"/>
    <w:rsid w:val="00004D17"/>
    <w:rsid w:val="0000693B"/>
    <w:rsid w:val="000109E1"/>
    <w:rsid w:val="00014A17"/>
    <w:rsid w:val="00017175"/>
    <w:rsid w:val="00024EC1"/>
    <w:rsid w:val="00036219"/>
    <w:rsid w:val="0003737D"/>
    <w:rsid w:val="000400A3"/>
    <w:rsid w:val="00044714"/>
    <w:rsid w:val="000501CA"/>
    <w:rsid w:val="00053CF0"/>
    <w:rsid w:val="00063241"/>
    <w:rsid w:val="0008361E"/>
    <w:rsid w:val="0008515B"/>
    <w:rsid w:val="000911A8"/>
    <w:rsid w:val="00095F2D"/>
    <w:rsid w:val="000A0A24"/>
    <w:rsid w:val="000D5D30"/>
    <w:rsid w:val="000E6C99"/>
    <w:rsid w:val="00106369"/>
    <w:rsid w:val="001134AC"/>
    <w:rsid w:val="00113BF7"/>
    <w:rsid w:val="0012642F"/>
    <w:rsid w:val="0013381B"/>
    <w:rsid w:val="001451E8"/>
    <w:rsid w:val="00145884"/>
    <w:rsid w:val="00146D0C"/>
    <w:rsid w:val="00151F48"/>
    <w:rsid w:val="0016238A"/>
    <w:rsid w:val="00163902"/>
    <w:rsid w:val="00174307"/>
    <w:rsid w:val="00174740"/>
    <w:rsid w:val="00174F58"/>
    <w:rsid w:val="001757D6"/>
    <w:rsid w:val="001763C9"/>
    <w:rsid w:val="00183980"/>
    <w:rsid w:val="00192217"/>
    <w:rsid w:val="001A0E40"/>
    <w:rsid w:val="001B43CE"/>
    <w:rsid w:val="001D067C"/>
    <w:rsid w:val="001D1821"/>
    <w:rsid w:val="001D7F3F"/>
    <w:rsid w:val="001E6FAC"/>
    <w:rsid w:val="001E7F6E"/>
    <w:rsid w:val="001F6037"/>
    <w:rsid w:val="001F6501"/>
    <w:rsid w:val="0020591B"/>
    <w:rsid w:val="00210B8B"/>
    <w:rsid w:val="002110E2"/>
    <w:rsid w:val="00215EEB"/>
    <w:rsid w:val="00223350"/>
    <w:rsid w:val="00232323"/>
    <w:rsid w:val="00240CBB"/>
    <w:rsid w:val="00254392"/>
    <w:rsid w:val="00257807"/>
    <w:rsid w:val="00262F67"/>
    <w:rsid w:val="00274914"/>
    <w:rsid w:val="00277CC5"/>
    <w:rsid w:val="00284AAD"/>
    <w:rsid w:val="00293F09"/>
    <w:rsid w:val="002A2345"/>
    <w:rsid w:val="002A2B98"/>
    <w:rsid w:val="002B2BDF"/>
    <w:rsid w:val="002C1B7C"/>
    <w:rsid w:val="002C3AE6"/>
    <w:rsid w:val="002E30A2"/>
    <w:rsid w:val="002F0146"/>
    <w:rsid w:val="00313868"/>
    <w:rsid w:val="00314CE7"/>
    <w:rsid w:val="0032638B"/>
    <w:rsid w:val="00327423"/>
    <w:rsid w:val="00347376"/>
    <w:rsid w:val="00381A66"/>
    <w:rsid w:val="003868A2"/>
    <w:rsid w:val="00393398"/>
    <w:rsid w:val="003941DA"/>
    <w:rsid w:val="003A7BBC"/>
    <w:rsid w:val="003B2C96"/>
    <w:rsid w:val="003B5F0E"/>
    <w:rsid w:val="003B7F22"/>
    <w:rsid w:val="003C14AA"/>
    <w:rsid w:val="003C7E89"/>
    <w:rsid w:val="003F1049"/>
    <w:rsid w:val="00406D3D"/>
    <w:rsid w:val="00414880"/>
    <w:rsid w:val="00415431"/>
    <w:rsid w:val="0043140B"/>
    <w:rsid w:val="00433F01"/>
    <w:rsid w:val="00447D36"/>
    <w:rsid w:val="00451C8F"/>
    <w:rsid w:val="00460EE8"/>
    <w:rsid w:val="00472592"/>
    <w:rsid w:val="00481D76"/>
    <w:rsid w:val="00486F90"/>
    <w:rsid w:val="0049266A"/>
    <w:rsid w:val="004935C3"/>
    <w:rsid w:val="004B3671"/>
    <w:rsid w:val="004B5445"/>
    <w:rsid w:val="004B595D"/>
    <w:rsid w:val="004C510D"/>
    <w:rsid w:val="004C597A"/>
    <w:rsid w:val="004D61C4"/>
    <w:rsid w:val="004E5EF0"/>
    <w:rsid w:val="004F1496"/>
    <w:rsid w:val="004F5554"/>
    <w:rsid w:val="00510A35"/>
    <w:rsid w:val="00514640"/>
    <w:rsid w:val="00517C40"/>
    <w:rsid w:val="005219A5"/>
    <w:rsid w:val="005236DD"/>
    <w:rsid w:val="0052539A"/>
    <w:rsid w:val="00534192"/>
    <w:rsid w:val="005655D4"/>
    <w:rsid w:val="005665DC"/>
    <w:rsid w:val="0056744C"/>
    <w:rsid w:val="00573C8D"/>
    <w:rsid w:val="005764B1"/>
    <w:rsid w:val="00581874"/>
    <w:rsid w:val="005829C0"/>
    <w:rsid w:val="00591D9D"/>
    <w:rsid w:val="00593C87"/>
    <w:rsid w:val="005B255A"/>
    <w:rsid w:val="005C6B15"/>
    <w:rsid w:val="005D03E9"/>
    <w:rsid w:val="005D367B"/>
    <w:rsid w:val="005E2951"/>
    <w:rsid w:val="005F4176"/>
    <w:rsid w:val="005F5340"/>
    <w:rsid w:val="006020CE"/>
    <w:rsid w:val="00602609"/>
    <w:rsid w:val="00610205"/>
    <w:rsid w:val="0061425A"/>
    <w:rsid w:val="0061561C"/>
    <w:rsid w:val="00620EEC"/>
    <w:rsid w:val="00655B0B"/>
    <w:rsid w:val="0065761E"/>
    <w:rsid w:val="006613F1"/>
    <w:rsid w:val="0066681A"/>
    <w:rsid w:val="00671D71"/>
    <w:rsid w:val="0067244F"/>
    <w:rsid w:val="00673430"/>
    <w:rsid w:val="0068175F"/>
    <w:rsid w:val="006A185B"/>
    <w:rsid w:val="006C10BE"/>
    <w:rsid w:val="006C1E0B"/>
    <w:rsid w:val="006D0006"/>
    <w:rsid w:val="006D315B"/>
    <w:rsid w:val="006D5CD7"/>
    <w:rsid w:val="006E6FD7"/>
    <w:rsid w:val="006F1D39"/>
    <w:rsid w:val="006F376C"/>
    <w:rsid w:val="006F6A7B"/>
    <w:rsid w:val="007067D9"/>
    <w:rsid w:val="00715E37"/>
    <w:rsid w:val="007176B9"/>
    <w:rsid w:val="007229CA"/>
    <w:rsid w:val="00723F7E"/>
    <w:rsid w:val="00735C22"/>
    <w:rsid w:val="00746025"/>
    <w:rsid w:val="00771F4B"/>
    <w:rsid w:val="00776778"/>
    <w:rsid w:val="00777F84"/>
    <w:rsid w:val="0078207E"/>
    <w:rsid w:val="007A61D7"/>
    <w:rsid w:val="007A73C9"/>
    <w:rsid w:val="007B36A9"/>
    <w:rsid w:val="007C5E4A"/>
    <w:rsid w:val="007D052C"/>
    <w:rsid w:val="007D24E8"/>
    <w:rsid w:val="007E1CD1"/>
    <w:rsid w:val="007F21E3"/>
    <w:rsid w:val="007F2E08"/>
    <w:rsid w:val="007F3703"/>
    <w:rsid w:val="007F523F"/>
    <w:rsid w:val="007F5C40"/>
    <w:rsid w:val="008064F8"/>
    <w:rsid w:val="00810358"/>
    <w:rsid w:val="008204E8"/>
    <w:rsid w:val="008222F0"/>
    <w:rsid w:val="008411DC"/>
    <w:rsid w:val="008418E0"/>
    <w:rsid w:val="00843A30"/>
    <w:rsid w:val="008459EE"/>
    <w:rsid w:val="00857482"/>
    <w:rsid w:val="0087072D"/>
    <w:rsid w:val="00871065"/>
    <w:rsid w:val="00872247"/>
    <w:rsid w:val="008870DD"/>
    <w:rsid w:val="0089296E"/>
    <w:rsid w:val="008B178F"/>
    <w:rsid w:val="008B5A81"/>
    <w:rsid w:val="008C2624"/>
    <w:rsid w:val="008C44E6"/>
    <w:rsid w:val="008D0D6C"/>
    <w:rsid w:val="008E641D"/>
    <w:rsid w:val="008E7133"/>
    <w:rsid w:val="0090174F"/>
    <w:rsid w:val="00901CBA"/>
    <w:rsid w:val="00903A37"/>
    <w:rsid w:val="0090531D"/>
    <w:rsid w:val="009122EF"/>
    <w:rsid w:val="0091703B"/>
    <w:rsid w:val="009210EB"/>
    <w:rsid w:val="0092499F"/>
    <w:rsid w:val="009419D0"/>
    <w:rsid w:val="00944A24"/>
    <w:rsid w:val="00945048"/>
    <w:rsid w:val="009559EB"/>
    <w:rsid w:val="009618FB"/>
    <w:rsid w:val="009775BB"/>
    <w:rsid w:val="0098018B"/>
    <w:rsid w:val="00982C66"/>
    <w:rsid w:val="009874DC"/>
    <w:rsid w:val="009A1265"/>
    <w:rsid w:val="009B2561"/>
    <w:rsid w:val="009B4EEE"/>
    <w:rsid w:val="009B7449"/>
    <w:rsid w:val="009C1027"/>
    <w:rsid w:val="009F4868"/>
    <w:rsid w:val="00A00DDE"/>
    <w:rsid w:val="00A024ED"/>
    <w:rsid w:val="00A0496C"/>
    <w:rsid w:val="00A07451"/>
    <w:rsid w:val="00A1585A"/>
    <w:rsid w:val="00A175E6"/>
    <w:rsid w:val="00A20B20"/>
    <w:rsid w:val="00A2244A"/>
    <w:rsid w:val="00A22F95"/>
    <w:rsid w:val="00A244A5"/>
    <w:rsid w:val="00A31BA0"/>
    <w:rsid w:val="00A37C5F"/>
    <w:rsid w:val="00A4288C"/>
    <w:rsid w:val="00A5083F"/>
    <w:rsid w:val="00A56EC8"/>
    <w:rsid w:val="00A60333"/>
    <w:rsid w:val="00A72B59"/>
    <w:rsid w:val="00AA04FE"/>
    <w:rsid w:val="00AA4DD6"/>
    <w:rsid w:val="00AC2658"/>
    <w:rsid w:val="00AC60EE"/>
    <w:rsid w:val="00AF6726"/>
    <w:rsid w:val="00B01BC9"/>
    <w:rsid w:val="00B03103"/>
    <w:rsid w:val="00B2571C"/>
    <w:rsid w:val="00B269BB"/>
    <w:rsid w:val="00B31076"/>
    <w:rsid w:val="00B45090"/>
    <w:rsid w:val="00B579BD"/>
    <w:rsid w:val="00B92F09"/>
    <w:rsid w:val="00BA0185"/>
    <w:rsid w:val="00BA082E"/>
    <w:rsid w:val="00BA62AA"/>
    <w:rsid w:val="00BC5996"/>
    <w:rsid w:val="00BD40BB"/>
    <w:rsid w:val="00C00DB8"/>
    <w:rsid w:val="00C01909"/>
    <w:rsid w:val="00C07985"/>
    <w:rsid w:val="00C12A93"/>
    <w:rsid w:val="00C25160"/>
    <w:rsid w:val="00C308D3"/>
    <w:rsid w:val="00C35367"/>
    <w:rsid w:val="00C41B1D"/>
    <w:rsid w:val="00C50CC3"/>
    <w:rsid w:val="00C66A71"/>
    <w:rsid w:val="00C67704"/>
    <w:rsid w:val="00C7366E"/>
    <w:rsid w:val="00C756DB"/>
    <w:rsid w:val="00C85F7D"/>
    <w:rsid w:val="00C87AF8"/>
    <w:rsid w:val="00CA2025"/>
    <w:rsid w:val="00CA57FE"/>
    <w:rsid w:val="00CB123C"/>
    <w:rsid w:val="00CB393C"/>
    <w:rsid w:val="00CC5575"/>
    <w:rsid w:val="00CE682F"/>
    <w:rsid w:val="00CF2C09"/>
    <w:rsid w:val="00CF7A4F"/>
    <w:rsid w:val="00D14D6E"/>
    <w:rsid w:val="00D21474"/>
    <w:rsid w:val="00D216F9"/>
    <w:rsid w:val="00D2563C"/>
    <w:rsid w:val="00D35089"/>
    <w:rsid w:val="00D506C0"/>
    <w:rsid w:val="00D521A6"/>
    <w:rsid w:val="00D52EAA"/>
    <w:rsid w:val="00D57DDA"/>
    <w:rsid w:val="00D64933"/>
    <w:rsid w:val="00D652A7"/>
    <w:rsid w:val="00D74F5F"/>
    <w:rsid w:val="00D87768"/>
    <w:rsid w:val="00D96A32"/>
    <w:rsid w:val="00DA1EDD"/>
    <w:rsid w:val="00DA59AD"/>
    <w:rsid w:val="00DB2472"/>
    <w:rsid w:val="00DB3F76"/>
    <w:rsid w:val="00DE0A63"/>
    <w:rsid w:val="00DE545B"/>
    <w:rsid w:val="00DF1AB8"/>
    <w:rsid w:val="00DF35A3"/>
    <w:rsid w:val="00E229B1"/>
    <w:rsid w:val="00E27B43"/>
    <w:rsid w:val="00E32712"/>
    <w:rsid w:val="00E341E8"/>
    <w:rsid w:val="00E406BF"/>
    <w:rsid w:val="00E558FF"/>
    <w:rsid w:val="00E64F35"/>
    <w:rsid w:val="00E71199"/>
    <w:rsid w:val="00E9277C"/>
    <w:rsid w:val="00EA0B5B"/>
    <w:rsid w:val="00EB1EA5"/>
    <w:rsid w:val="00ED526C"/>
    <w:rsid w:val="00EE6949"/>
    <w:rsid w:val="00EF41FC"/>
    <w:rsid w:val="00F01757"/>
    <w:rsid w:val="00F14E26"/>
    <w:rsid w:val="00F14F97"/>
    <w:rsid w:val="00F15E8E"/>
    <w:rsid w:val="00F16092"/>
    <w:rsid w:val="00F21613"/>
    <w:rsid w:val="00F327EF"/>
    <w:rsid w:val="00F4128F"/>
    <w:rsid w:val="00F562E9"/>
    <w:rsid w:val="00F73812"/>
    <w:rsid w:val="00F86020"/>
    <w:rsid w:val="00F93E67"/>
    <w:rsid w:val="00FA5685"/>
    <w:rsid w:val="00FB13BD"/>
    <w:rsid w:val="00FB31B4"/>
    <w:rsid w:val="00FB7B9D"/>
    <w:rsid w:val="00FC4902"/>
    <w:rsid w:val="00FC5915"/>
    <w:rsid w:val="00FD083C"/>
    <w:rsid w:val="00FD3EEA"/>
    <w:rsid w:val="00FE6F30"/>
    <w:rsid w:val="00FF4A3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668C4D"/>
  <w15:docId w15:val="{447351D2-3E38-466F-8AC1-E991BF5EAF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75BB"/>
  </w:style>
  <w:style w:type="paragraph" w:styleId="Heading1">
    <w:name w:val="heading 1"/>
    <w:basedOn w:val="Normal"/>
    <w:next w:val="Normal"/>
    <w:link w:val="Heading1Char"/>
    <w:uiPriority w:val="9"/>
    <w:qFormat/>
    <w:rsid w:val="00871065"/>
    <w:pPr>
      <w:keepNext/>
      <w:spacing w:line="360" w:lineRule="auto"/>
      <w:jc w:val="both"/>
      <w:outlineLvl w:val="0"/>
    </w:pPr>
    <w:rPr>
      <w:rFonts w:ascii="Times New Roman" w:hAnsi="Times New Roman" w:cs="Times New Roman"/>
      <w:b/>
      <w:sz w:val="24"/>
      <w:szCs w:val="24"/>
    </w:rPr>
  </w:style>
  <w:style w:type="paragraph" w:styleId="Heading2">
    <w:name w:val="heading 2"/>
    <w:basedOn w:val="Normal"/>
    <w:next w:val="Normal"/>
    <w:link w:val="Heading2Char"/>
    <w:uiPriority w:val="9"/>
    <w:unhideWhenUsed/>
    <w:qFormat/>
    <w:rsid w:val="007A73C9"/>
    <w:pPr>
      <w:keepNext/>
      <w:widowControl w:val="0"/>
      <w:autoSpaceDE w:val="0"/>
      <w:autoSpaceDN w:val="0"/>
      <w:adjustRightInd w:val="0"/>
      <w:spacing w:line="360" w:lineRule="auto"/>
      <w:ind w:left="640" w:hanging="640"/>
      <w:outlineLvl w:val="1"/>
    </w:pPr>
    <w:rPr>
      <w:rFonts w:ascii="Times New Roman" w:hAnsi="Times New Roman" w:cs="Times New Roman"/>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73812"/>
    <w:pPr>
      <w:ind w:left="720"/>
      <w:contextualSpacing/>
    </w:pPr>
    <w:rPr>
      <w:rFonts w:ascii="Calibri" w:eastAsia="Calibri" w:hAnsi="Calibri" w:cs="Times New Roman"/>
    </w:rPr>
  </w:style>
  <w:style w:type="paragraph" w:styleId="BalloonText">
    <w:name w:val="Balloon Text"/>
    <w:basedOn w:val="Normal"/>
    <w:link w:val="BalloonTextChar"/>
    <w:uiPriority w:val="99"/>
    <w:semiHidden/>
    <w:unhideWhenUsed/>
    <w:rsid w:val="005236D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36DD"/>
    <w:rPr>
      <w:rFonts w:ascii="Tahoma" w:hAnsi="Tahoma" w:cs="Tahoma"/>
      <w:sz w:val="16"/>
      <w:szCs w:val="16"/>
    </w:rPr>
  </w:style>
  <w:style w:type="table" w:styleId="TableGrid">
    <w:name w:val="Table Grid"/>
    <w:basedOn w:val="TableNormal"/>
    <w:uiPriority w:val="59"/>
    <w:rsid w:val="003C14A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514640"/>
    <w:pPr>
      <w:tabs>
        <w:tab w:val="center" w:pos="4513"/>
        <w:tab w:val="right" w:pos="9026"/>
      </w:tabs>
      <w:spacing w:after="0" w:line="240" w:lineRule="auto"/>
    </w:pPr>
  </w:style>
  <w:style w:type="character" w:customStyle="1" w:styleId="HeaderChar">
    <w:name w:val="Header Char"/>
    <w:basedOn w:val="DefaultParagraphFont"/>
    <w:link w:val="Header"/>
    <w:uiPriority w:val="99"/>
    <w:rsid w:val="00514640"/>
  </w:style>
  <w:style w:type="paragraph" w:styleId="Footer">
    <w:name w:val="footer"/>
    <w:basedOn w:val="Normal"/>
    <w:link w:val="FooterChar"/>
    <w:uiPriority w:val="99"/>
    <w:unhideWhenUsed/>
    <w:rsid w:val="00514640"/>
    <w:pPr>
      <w:tabs>
        <w:tab w:val="center" w:pos="4513"/>
        <w:tab w:val="right" w:pos="9026"/>
      </w:tabs>
      <w:spacing w:after="0" w:line="240" w:lineRule="auto"/>
    </w:pPr>
  </w:style>
  <w:style w:type="character" w:customStyle="1" w:styleId="FooterChar">
    <w:name w:val="Footer Char"/>
    <w:basedOn w:val="DefaultParagraphFont"/>
    <w:link w:val="Footer"/>
    <w:uiPriority w:val="99"/>
    <w:rsid w:val="00514640"/>
  </w:style>
  <w:style w:type="character" w:styleId="Hyperlink">
    <w:name w:val="Hyperlink"/>
    <w:basedOn w:val="DefaultParagraphFont"/>
    <w:uiPriority w:val="99"/>
    <w:unhideWhenUsed/>
    <w:rsid w:val="004D61C4"/>
    <w:rPr>
      <w:color w:val="0000FF" w:themeColor="hyperlink"/>
      <w:u w:val="single"/>
    </w:rPr>
  </w:style>
  <w:style w:type="character" w:customStyle="1" w:styleId="Heading1Char">
    <w:name w:val="Heading 1 Char"/>
    <w:basedOn w:val="DefaultParagraphFont"/>
    <w:link w:val="Heading1"/>
    <w:uiPriority w:val="9"/>
    <w:rsid w:val="00871065"/>
    <w:rPr>
      <w:rFonts w:ascii="Times New Roman" w:hAnsi="Times New Roman" w:cs="Times New Roman"/>
      <w:b/>
      <w:sz w:val="24"/>
      <w:szCs w:val="24"/>
    </w:rPr>
  </w:style>
  <w:style w:type="paragraph" w:styleId="BodyText">
    <w:name w:val="Body Text"/>
    <w:basedOn w:val="Normal"/>
    <w:link w:val="BodyTextChar"/>
    <w:uiPriority w:val="99"/>
    <w:unhideWhenUsed/>
    <w:rsid w:val="00433F01"/>
    <w:pPr>
      <w:spacing w:line="480" w:lineRule="auto"/>
      <w:jc w:val="both"/>
    </w:pPr>
    <w:rPr>
      <w:rFonts w:ascii="Times New Roman" w:hAnsi="Times New Roman" w:cs="Times New Roman"/>
      <w:b/>
      <w:sz w:val="24"/>
      <w:szCs w:val="24"/>
    </w:rPr>
  </w:style>
  <w:style w:type="character" w:customStyle="1" w:styleId="BodyTextChar">
    <w:name w:val="Body Text Char"/>
    <w:basedOn w:val="DefaultParagraphFont"/>
    <w:link w:val="BodyText"/>
    <w:uiPriority w:val="99"/>
    <w:rsid w:val="00433F01"/>
    <w:rPr>
      <w:rFonts w:ascii="Times New Roman" w:hAnsi="Times New Roman" w:cs="Times New Roman"/>
      <w:b/>
      <w:sz w:val="24"/>
      <w:szCs w:val="24"/>
    </w:rPr>
  </w:style>
  <w:style w:type="paragraph" w:styleId="BodyText2">
    <w:name w:val="Body Text 2"/>
    <w:basedOn w:val="Normal"/>
    <w:link w:val="BodyText2Char"/>
    <w:uiPriority w:val="99"/>
    <w:unhideWhenUsed/>
    <w:rsid w:val="00810358"/>
    <w:pPr>
      <w:spacing w:line="480" w:lineRule="auto"/>
      <w:jc w:val="both"/>
    </w:pPr>
    <w:rPr>
      <w:rFonts w:ascii="Times New Roman" w:hAnsi="Times New Roman" w:cs="Times New Roman"/>
      <w:sz w:val="24"/>
      <w:szCs w:val="24"/>
    </w:rPr>
  </w:style>
  <w:style w:type="character" w:customStyle="1" w:styleId="BodyText2Char">
    <w:name w:val="Body Text 2 Char"/>
    <w:basedOn w:val="DefaultParagraphFont"/>
    <w:link w:val="BodyText2"/>
    <w:uiPriority w:val="99"/>
    <w:rsid w:val="00810358"/>
    <w:rPr>
      <w:rFonts w:ascii="Times New Roman" w:hAnsi="Times New Roman" w:cs="Times New Roman"/>
      <w:sz w:val="24"/>
      <w:szCs w:val="24"/>
    </w:rPr>
  </w:style>
  <w:style w:type="character" w:customStyle="1" w:styleId="Heading2Char">
    <w:name w:val="Heading 2 Char"/>
    <w:basedOn w:val="DefaultParagraphFont"/>
    <w:link w:val="Heading2"/>
    <w:uiPriority w:val="9"/>
    <w:rsid w:val="007A73C9"/>
    <w:rPr>
      <w:rFonts w:ascii="Times New Roman" w:hAnsi="Times New Roman" w:cs="Times New Roman"/>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754264">
      <w:bodyDiv w:val="1"/>
      <w:marLeft w:val="0"/>
      <w:marRight w:val="0"/>
      <w:marTop w:val="0"/>
      <w:marBottom w:val="0"/>
      <w:divBdr>
        <w:top w:val="none" w:sz="0" w:space="0" w:color="auto"/>
        <w:left w:val="none" w:sz="0" w:space="0" w:color="auto"/>
        <w:bottom w:val="none" w:sz="0" w:space="0" w:color="auto"/>
        <w:right w:val="none" w:sz="0" w:space="0" w:color="auto"/>
      </w:divBdr>
    </w:div>
    <w:div w:id="1277325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46B123-C53B-4EC7-9056-7C6520D9F6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9</Pages>
  <Words>14887</Words>
  <Characters>84862</Characters>
  <Application>Microsoft Office Word</Application>
  <DocSecurity>0</DocSecurity>
  <Lines>707</Lines>
  <Paragraphs>199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Uchenna Egbunah</dc:creator>
  <cp:keywords/>
  <dc:description/>
  <cp:lastModifiedBy>Nilesh Nawale</cp:lastModifiedBy>
  <cp:revision>2</cp:revision>
  <dcterms:created xsi:type="dcterms:W3CDTF">2024-03-13T04:46:00Z</dcterms:created>
  <dcterms:modified xsi:type="dcterms:W3CDTF">2024-03-13T04:46:00Z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12th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9th edition</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b7831420-327e-320e-a64c-f72f877cb1c3</vt:lpwstr>
  </property>
  <property fmtid="{D5CDD505-2E9C-101B-9397-08002B2CF9AE}" pid="24" name="Mendeley Citation Style_1">
    <vt:lpwstr>http://www.zotero.org/styles/american-medical-association</vt:lpwstr>
  </property>
</Properties>
</file>