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29984" w14:textId="77777777" w:rsidR="00E81CF4" w:rsidRDefault="00E81CF4" w:rsidP="00E81CF4">
      <w:pPr>
        <w:spacing w:line="360" w:lineRule="auto"/>
        <w:jc w:val="both"/>
        <w:rPr>
          <w:rFonts w:ascii="Calibri" w:eastAsia="Calibri" w:hAnsi="Calibri" w:cs="Calibri"/>
        </w:rPr>
      </w:pPr>
      <w:r>
        <w:rPr>
          <w:rFonts w:ascii="Calibri" w:eastAsia="Calibri" w:hAnsi="Calibri" w:cs="Calibri"/>
          <w:b/>
        </w:rPr>
        <w:t>Table 2.</w:t>
      </w:r>
      <w:r>
        <w:rPr>
          <w:rFonts w:ascii="Calibri" w:eastAsia="Calibri" w:hAnsi="Calibri" w:cs="Calibri"/>
        </w:rPr>
        <w:t xml:space="preserve"> Characteristics of the included studies and the reported PPI examples</w:t>
      </w:r>
    </w:p>
    <w:tbl>
      <w:tblPr>
        <w:tblW w:w="15653" w:type="dxa"/>
        <w:tblInd w:w="-7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67"/>
        <w:gridCol w:w="709"/>
        <w:gridCol w:w="567"/>
        <w:gridCol w:w="993"/>
        <w:gridCol w:w="992"/>
        <w:gridCol w:w="992"/>
        <w:gridCol w:w="1985"/>
        <w:gridCol w:w="1984"/>
        <w:gridCol w:w="2977"/>
        <w:gridCol w:w="3887"/>
      </w:tblGrid>
      <w:tr w:rsidR="00E81CF4" w:rsidRPr="00E85C51" w14:paraId="04FFC1BC" w14:textId="77777777" w:rsidTr="001B29B3">
        <w:trPr>
          <w:trHeight w:val="439"/>
        </w:trPr>
        <w:tc>
          <w:tcPr>
            <w:tcW w:w="567" w:type="dxa"/>
            <w:shd w:val="clear" w:color="auto" w:fill="FFFFFF"/>
            <w:tcMar>
              <w:top w:w="20" w:type="dxa"/>
              <w:left w:w="20" w:type="dxa"/>
              <w:right w:w="20" w:type="dxa"/>
            </w:tcMar>
          </w:tcPr>
          <w:p w14:paraId="50485836"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rPr>
              <w:t>Study ID</w:t>
            </w:r>
          </w:p>
        </w:tc>
        <w:tc>
          <w:tcPr>
            <w:tcW w:w="709" w:type="dxa"/>
            <w:shd w:val="clear" w:color="auto" w:fill="FFFFFF"/>
            <w:tcMar>
              <w:top w:w="20" w:type="dxa"/>
              <w:left w:w="20" w:type="dxa"/>
              <w:right w:w="20" w:type="dxa"/>
            </w:tcMar>
          </w:tcPr>
          <w:p w14:paraId="026CE1D1"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rPr>
              <w:t>Country of the PPI example(s)</w:t>
            </w:r>
          </w:p>
        </w:tc>
        <w:tc>
          <w:tcPr>
            <w:tcW w:w="567" w:type="dxa"/>
            <w:shd w:val="clear" w:color="auto" w:fill="FFFFFF"/>
            <w:tcMar>
              <w:top w:w="20" w:type="dxa"/>
              <w:left w:w="20" w:type="dxa"/>
              <w:right w:w="20" w:type="dxa"/>
            </w:tcMar>
          </w:tcPr>
          <w:p w14:paraId="261FCC5E"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rPr>
              <w:t>Year of the PPI example(s)</w:t>
            </w:r>
          </w:p>
        </w:tc>
        <w:tc>
          <w:tcPr>
            <w:tcW w:w="993" w:type="dxa"/>
            <w:shd w:val="clear" w:color="auto" w:fill="FFFFFF"/>
            <w:tcMar>
              <w:top w:w="20" w:type="dxa"/>
              <w:left w:w="20" w:type="dxa"/>
              <w:right w:w="20" w:type="dxa"/>
            </w:tcMar>
          </w:tcPr>
          <w:p w14:paraId="2CF009E5"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lang w:val="en-US"/>
              </w:rPr>
              <w:t>Example(s) for which t</w:t>
            </w:r>
            <w:r w:rsidRPr="00955929">
              <w:rPr>
                <w:rFonts w:ascii="Calibri" w:eastAsia="Calibri" w:hAnsi="Calibri" w:cs="Calibri"/>
                <w:b/>
                <w:sz w:val="16"/>
                <w:szCs w:val="16"/>
              </w:rPr>
              <w:t>ype(s) of research</w:t>
            </w:r>
          </w:p>
        </w:tc>
        <w:tc>
          <w:tcPr>
            <w:tcW w:w="992" w:type="dxa"/>
            <w:shd w:val="clear" w:color="auto" w:fill="FFFFFF"/>
            <w:tcMar>
              <w:top w:w="20" w:type="dxa"/>
              <w:left w:w="20" w:type="dxa"/>
              <w:right w:w="20" w:type="dxa"/>
            </w:tcMar>
          </w:tcPr>
          <w:p w14:paraId="0FB85536" w14:textId="77777777" w:rsidR="00E81CF4" w:rsidRPr="00955929" w:rsidRDefault="00E81CF4" w:rsidP="001B29B3">
            <w:pPr>
              <w:widowControl w:val="0"/>
              <w:rPr>
                <w:rFonts w:ascii="Calibri" w:eastAsia="Calibri" w:hAnsi="Calibri" w:cs="Calibri"/>
                <w:b/>
                <w:sz w:val="16"/>
                <w:szCs w:val="16"/>
                <w:lang w:val="en-US"/>
              </w:rPr>
            </w:pPr>
            <w:r w:rsidRPr="00955929">
              <w:rPr>
                <w:rFonts w:ascii="Calibri" w:eastAsia="Calibri" w:hAnsi="Calibri" w:cs="Calibri"/>
                <w:b/>
                <w:sz w:val="16"/>
                <w:szCs w:val="16"/>
              </w:rPr>
              <w:t>Example(s) for which phase(s) of research</w:t>
            </w:r>
          </w:p>
        </w:tc>
        <w:tc>
          <w:tcPr>
            <w:tcW w:w="992" w:type="dxa"/>
            <w:shd w:val="clear" w:color="auto" w:fill="FFFFFF"/>
            <w:tcMar>
              <w:top w:w="20" w:type="dxa"/>
              <w:left w:w="20" w:type="dxa"/>
              <w:right w:w="20" w:type="dxa"/>
            </w:tcMar>
          </w:tcPr>
          <w:p w14:paraId="2DA9A2E1"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lang w:val="en-US"/>
              </w:rPr>
              <w:t xml:space="preserve">Example(s) for which </w:t>
            </w:r>
            <w:r w:rsidRPr="00955929">
              <w:rPr>
                <w:rFonts w:ascii="Calibri" w:eastAsia="Calibri" w:hAnsi="Calibri" w:cs="Calibri"/>
                <w:b/>
                <w:sz w:val="16"/>
                <w:szCs w:val="16"/>
              </w:rPr>
              <w:t xml:space="preserve">target study population </w:t>
            </w:r>
          </w:p>
        </w:tc>
        <w:tc>
          <w:tcPr>
            <w:tcW w:w="1985" w:type="dxa"/>
            <w:shd w:val="clear" w:color="auto" w:fill="FFFFFF"/>
            <w:tcMar>
              <w:top w:w="20" w:type="dxa"/>
              <w:left w:w="20" w:type="dxa"/>
              <w:right w:w="20" w:type="dxa"/>
            </w:tcMar>
          </w:tcPr>
          <w:p w14:paraId="5FDA564C"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rPr>
              <w:t>Characteristics of the involved PPI members</w:t>
            </w:r>
          </w:p>
        </w:tc>
        <w:tc>
          <w:tcPr>
            <w:tcW w:w="1984" w:type="dxa"/>
            <w:shd w:val="clear" w:color="auto" w:fill="FFFFFF"/>
            <w:tcMar>
              <w:top w:w="20" w:type="dxa"/>
              <w:left w:w="20" w:type="dxa"/>
              <w:right w:w="20" w:type="dxa"/>
            </w:tcMar>
          </w:tcPr>
          <w:p w14:paraId="562D832A"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rPr>
              <w:t>PPI model(s) reported*</w:t>
            </w:r>
          </w:p>
        </w:tc>
        <w:tc>
          <w:tcPr>
            <w:tcW w:w="2977" w:type="dxa"/>
            <w:shd w:val="clear" w:color="auto" w:fill="FFFFFF"/>
          </w:tcPr>
          <w:p w14:paraId="2B0DCF21"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rPr>
              <w:t>Reported benefits</w:t>
            </w:r>
          </w:p>
        </w:tc>
        <w:tc>
          <w:tcPr>
            <w:tcW w:w="3887" w:type="dxa"/>
            <w:shd w:val="clear" w:color="auto" w:fill="FFFFFF"/>
            <w:tcMar>
              <w:top w:w="20" w:type="dxa"/>
              <w:left w:w="20" w:type="dxa"/>
              <w:right w:w="20" w:type="dxa"/>
            </w:tcMar>
          </w:tcPr>
          <w:p w14:paraId="4BCFFBE8" w14:textId="77777777" w:rsidR="00E81CF4" w:rsidRPr="00955929" w:rsidRDefault="00E81CF4" w:rsidP="001B29B3">
            <w:pPr>
              <w:widowControl w:val="0"/>
              <w:rPr>
                <w:rFonts w:ascii="Calibri" w:eastAsia="Calibri" w:hAnsi="Calibri" w:cs="Calibri"/>
                <w:b/>
                <w:sz w:val="16"/>
                <w:szCs w:val="16"/>
              </w:rPr>
            </w:pPr>
            <w:r w:rsidRPr="00955929">
              <w:rPr>
                <w:rFonts w:ascii="Calibri" w:eastAsia="Calibri" w:hAnsi="Calibri" w:cs="Calibri"/>
                <w:b/>
                <w:sz w:val="16"/>
                <w:szCs w:val="16"/>
              </w:rPr>
              <w:t xml:space="preserve">Reported </w:t>
            </w:r>
            <w:r w:rsidRPr="00955929">
              <w:rPr>
                <w:rFonts w:ascii="Calibri" w:eastAsia="Calibri" w:hAnsi="Calibri" w:cs="Calibri"/>
                <w:b/>
                <w:sz w:val="16"/>
                <w:szCs w:val="16"/>
                <w:lang w:val="en-US"/>
              </w:rPr>
              <w:t>c</w:t>
            </w:r>
            <w:r w:rsidRPr="00955929">
              <w:rPr>
                <w:rFonts w:ascii="Calibri" w:eastAsia="Calibri" w:hAnsi="Calibri" w:cs="Calibri"/>
                <w:b/>
                <w:sz w:val="16"/>
                <w:szCs w:val="16"/>
              </w:rPr>
              <w:t>hallenges and mitigation strategies</w:t>
            </w:r>
          </w:p>
        </w:tc>
      </w:tr>
      <w:tr w:rsidR="00E81CF4" w:rsidRPr="00E85C51" w14:paraId="293A36BF" w14:textId="77777777" w:rsidTr="001B29B3">
        <w:trPr>
          <w:trHeight w:val="1969"/>
        </w:trPr>
        <w:tc>
          <w:tcPr>
            <w:tcW w:w="567" w:type="dxa"/>
            <w:tcMar>
              <w:top w:w="20" w:type="dxa"/>
              <w:left w:w="20" w:type="dxa"/>
              <w:right w:w="20" w:type="dxa"/>
            </w:tcMar>
          </w:tcPr>
          <w:p w14:paraId="62B80397"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Baron 2018</w:t>
            </w:r>
          </w:p>
          <w:p w14:paraId="486E9DD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{"citationID":"wDO5fNZT","properties":{"formattedCitation":"(17)","plainCitation":"(17)","noteIndex":0},"citationItems":[{"id":12588,"uris":["http://zotero.org/users/7311068/items/2QZJ7B8Z"],"itemData":{"id":12588,"type":"article-journal","abstract":"INTRODUCTION: The Good Participatory Practice (GPP): Guidelines for Biomedical HIV Prevention Trials, second edition (2011) were developed to provide clinical trial sponsors and implementers with a formal stakeholder engagement framework. As one of the largest African research institutes, Wits Reproductive Health and HIV Institute (Wits RHI) became an early adopter of GPP by implementing its principles within large-scale national and regional clinical trials. This article examines Wits RHI's lessons learned from implementing GPP, its ongoing efforts to institutionalize GPP, and the yet to be realized potential in creating fully sustainable structures for meaningful stakeholder engagement in HIV prevention research, implementation science and beyond.\nDISCUSSION: For the past seven years, Wits RHI has undertaken both centralized leadership roles in implementing GPP across multi-party regional research consortia as well as overseeing GPP for smaller investigator-driven trials. Through this iterative roll-out of GPP, key lessons have emerged. Obtaining upfront funding to support GPP activities throughout and between the research life cycle, and a trained multi-disciplinary team of GPP practitioners have helped facilitate an enabling environment for GPP implementation. We further recommend formally integrating stakeholder engagement into study documents, including monitoring and evaluation plans with indicators and performance metrics, to assist teams to track and refine their GPP strategies. Finally, institutionalizing resources and supporting organization-wide GPP along with ongoing support can help build efficiencies and maximize economies of scale toward a pragmatic and innovative application of the GPP Guidelines.\nCONCLUSIONS: Thanks to a growing global network of GPP practitioners and a burgeoning GPP Community of Practice, there has been substantive progress in making GPP an integral component of clinical HIV prevention research. The Wits RHI experience highlights the possibilities and the challenges to translating the GPP principles into concrete practices within specific clinical trials and across a research institute. Realizing the full potential of GPP, including direct and indirect - 'collateral benefits' will require the collective buy-in and support from sponsors, implementers and community stakeholders across the research field. As the HIV prevention research field expands, however, a more conscious and systematic implementation of GPP is timely.","container-title":"Journal of the International AIDS Society","DOI":"10.1002/jia2.25175","ISSN":"1758-2652","issue":"Suppl Suppl 7","journalAbbreviation":"J Int AIDS Soc","language":"eng","note":"PMID: 30334610\nPMCID: PMC6193316","page":"e25175","source":"PubMed","title":"Collateral benefits: how the practical application of Good Participatory Practice can strengthen HIV research in sub-Saharan Africa","title-short":"Collateral benefits","volume":"21 Suppl 7","author":[{"family":"Baron","given":"Deborah"},{"family":"Essien","given":"Thandekile"},{"family":"Pato","given":"Sinazo"},{"family":"Magongo","given":"Miliswa"},{"family":"Mbandazayo","given":"Nomthandazo"},{"family":"Scorgie","given":"Fiona"},{"family":"Rees","given":"Helen"},{"family":"Delany-Moretlwe","given":"Sinead"}],"issued":{"date-parts":[["2018",10]]}}}],"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17</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56A9D66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South Africa</w:t>
            </w:r>
          </w:p>
        </w:tc>
        <w:tc>
          <w:tcPr>
            <w:tcW w:w="567" w:type="dxa"/>
            <w:tcMar>
              <w:top w:w="20" w:type="dxa"/>
              <w:left w:w="20" w:type="dxa"/>
              <w:right w:w="20" w:type="dxa"/>
            </w:tcMar>
          </w:tcPr>
          <w:p w14:paraId="4C925DEB"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2011-2018</w:t>
            </w:r>
          </w:p>
        </w:tc>
        <w:tc>
          <w:tcPr>
            <w:tcW w:w="993" w:type="dxa"/>
            <w:tcMar>
              <w:top w:w="20" w:type="dxa"/>
              <w:left w:w="20" w:type="dxa"/>
              <w:right w:w="20" w:type="dxa"/>
            </w:tcMar>
          </w:tcPr>
          <w:p w14:paraId="2629E4E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w:t>
            </w:r>
          </w:p>
        </w:tc>
        <w:tc>
          <w:tcPr>
            <w:tcW w:w="992" w:type="dxa"/>
            <w:tcMar>
              <w:top w:w="20" w:type="dxa"/>
              <w:left w:w="20" w:type="dxa"/>
              <w:right w:w="20" w:type="dxa"/>
            </w:tcMar>
          </w:tcPr>
          <w:p w14:paraId="304028C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All phases</w:t>
            </w:r>
          </w:p>
        </w:tc>
        <w:tc>
          <w:tcPr>
            <w:tcW w:w="992" w:type="dxa"/>
            <w:tcMar>
              <w:top w:w="20" w:type="dxa"/>
              <w:left w:w="20" w:type="dxa"/>
              <w:right w:w="20" w:type="dxa"/>
            </w:tcMar>
          </w:tcPr>
          <w:p w14:paraId="2869E5A4"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People at risk for HIV infection (focus on sex workers and youth)</w:t>
            </w:r>
          </w:p>
        </w:tc>
        <w:tc>
          <w:tcPr>
            <w:tcW w:w="1985" w:type="dxa"/>
            <w:tcMar>
              <w:top w:w="20" w:type="dxa"/>
              <w:left w:w="20" w:type="dxa"/>
              <w:right w:w="20" w:type="dxa"/>
            </w:tcMar>
          </w:tcPr>
          <w:p w14:paraId="019B7BA8" w14:textId="77777777" w:rsidR="00E81CF4" w:rsidRPr="00955929" w:rsidRDefault="00E81CF4" w:rsidP="001B29B3">
            <w:pPr>
              <w:widowControl w:val="0"/>
              <w:rPr>
                <w:rFonts w:ascii="Calibri" w:eastAsia="Calibri" w:hAnsi="Calibri" w:cs="Calibri"/>
                <w:sz w:val="16"/>
                <w:szCs w:val="16"/>
                <w:lang w:val="fr-CH"/>
              </w:rPr>
            </w:pPr>
            <w:r w:rsidRPr="00955929">
              <w:rPr>
                <w:rFonts w:ascii="Calibri" w:eastAsia="Calibri" w:hAnsi="Calibri" w:cs="Calibri"/>
                <w:sz w:val="16"/>
                <w:szCs w:val="16"/>
              </w:rPr>
              <w:t>No description</w:t>
            </w:r>
            <w:r w:rsidRPr="00955929">
              <w:rPr>
                <w:rFonts w:ascii="Calibri" w:eastAsia="Calibri" w:hAnsi="Calibri" w:cs="Calibri"/>
                <w:sz w:val="16"/>
                <w:szCs w:val="16"/>
                <w:lang w:val="fr-CH"/>
              </w:rPr>
              <w:t xml:space="preserve"> </w:t>
            </w:r>
            <w:r>
              <w:rPr>
                <w:rFonts w:ascii="Calibri" w:eastAsia="Calibri" w:hAnsi="Calibri" w:cs="Calibri"/>
                <w:sz w:val="16"/>
                <w:szCs w:val="16"/>
              </w:rPr>
              <w:t>provided</w:t>
            </w:r>
          </w:p>
        </w:tc>
        <w:tc>
          <w:tcPr>
            <w:tcW w:w="1984" w:type="dxa"/>
            <w:tcMar>
              <w:top w:w="20" w:type="dxa"/>
              <w:left w:w="20" w:type="dxa"/>
              <w:right w:w="20" w:type="dxa"/>
            </w:tcMar>
          </w:tcPr>
          <w:p w14:paraId="44E37C8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A mix of PPI models reported (Model B-D)</w:t>
            </w:r>
          </w:p>
        </w:tc>
        <w:tc>
          <w:tcPr>
            <w:tcW w:w="2977" w:type="dxa"/>
          </w:tcPr>
          <w:p w14:paraId="662E009E" w14:textId="77777777" w:rsidR="00E81CF4" w:rsidRPr="00955929" w:rsidRDefault="00E81CF4" w:rsidP="001B29B3">
            <w:pPr>
              <w:widowControl w:val="0"/>
              <w:rPr>
                <w:rFonts w:ascii="Calibri" w:eastAsia="Calibri" w:hAnsi="Calibri" w:cs="Calibri"/>
                <w:iCs/>
                <w:sz w:val="16"/>
                <w:szCs w:val="16"/>
              </w:rPr>
            </w:pPr>
            <w:r w:rsidRPr="00955929">
              <w:rPr>
                <w:rFonts w:ascii="Calibri" w:eastAsia="Calibri" w:hAnsi="Calibri" w:cs="Calibri"/>
                <w:iCs/>
                <w:sz w:val="16"/>
                <w:szCs w:val="16"/>
              </w:rPr>
              <w:t>Research team’s socio-cultural competency strengthened; PPI contributes to scientific and ethical integrity, accountability and transparency; locally acceptable and understandable informed consent procedure and research material; research conduct more PPI-centered fostering trust and respect in the community; research outcomes are disseminated more widely and are understandable and better applicable in the community; post-trial participant benefits maximised</w:t>
            </w:r>
          </w:p>
        </w:tc>
        <w:tc>
          <w:tcPr>
            <w:tcW w:w="3887" w:type="dxa"/>
            <w:tcMar>
              <w:top w:w="20" w:type="dxa"/>
              <w:left w:w="20" w:type="dxa"/>
              <w:right w:w="20" w:type="dxa"/>
            </w:tcMar>
          </w:tcPr>
          <w:p w14:paraId="0DDA991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Adequate resources and funding for PPI activities; PPI as add-on versus integral part; how to measure impact of PPI activity; lack of documented evidence for PPI impact</w:t>
            </w:r>
          </w:p>
          <w:p w14:paraId="162F220E"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xml:space="preserve">: Early commitment to PPI activities (funding proposal stage),  adequate funding earmarked for PPI activities; request progress of PPI activities in reports to the DMSB and other trial committees; Capture not only lag indicators (e.g. study-specific recruitment and retention rates, or number of people who attend PPI activities), but also lead indicators (e.g. rumours in the community, research literacy levels, clinic accessibility); create evidence-based tools and guidance </w:t>
            </w:r>
          </w:p>
        </w:tc>
      </w:tr>
      <w:tr w:rsidR="00E81CF4" w:rsidRPr="00E85C51" w14:paraId="41C90800" w14:textId="77777777" w:rsidTr="001B29B3">
        <w:trPr>
          <w:trHeight w:val="2252"/>
        </w:trPr>
        <w:tc>
          <w:tcPr>
            <w:tcW w:w="567" w:type="dxa"/>
            <w:tcMar>
              <w:top w:w="20" w:type="dxa"/>
              <w:left w:w="20" w:type="dxa"/>
              <w:right w:w="20" w:type="dxa"/>
            </w:tcMar>
          </w:tcPr>
          <w:p w14:paraId="3953180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Carey 1992</w:t>
            </w:r>
          </w:p>
          <w:p w14:paraId="43CE7C5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{"citationID":"O0GGZ6Dr","properties":{"formattedCitation":"(19)","plainCitation":"(19)","noteIndex":0},"citationItems":[{"id":12593,"uris":["http://zotero.org/users/7311068/items/JPK89C26"],"itemData":{"id":12593,"type":"article-journal","abstract":"Validity of research in a medical environment is enhanced through incorporating the patient's perspective by using qualitative approaches. Our efforts to improve the validity of measures led us to examine the research process more broadly through mechanisms of patient participation: a protocol adviser, a participant advisory panel, and focus groups. In our research program of biopsychosocial HIV studies in the military population, feedback from patient participants provided the research staff with information important for refining standard measures, improving the research process, and interpreting the quantitative data analyses.","container-title":"Evaluation &amp; the Health Professions","DOI":"10.1177/016327879201500107","ISSN":"0163-2787","issue":"1","journalAbbreviation":"Eval Health Prof","language":"eng","note":"PMID: 10117741","page":"107-114","source":"PubMed","title":"Enhancement of validity through qualitative approaches. Incorporating the patient's perspective","volume":"15","author":[{"family":"Carey","given":"M. A."},{"family":"Smith","given":"M. W."}],"issued":{"date-parts":[["1992",3]]}}}],"schema":"https://github.com/citation-style-language/schema/raw/master/csl-citation.json"}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19</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6384283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United States of America</w:t>
            </w:r>
          </w:p>
        </w:tc>
        <w:tc>
          <w:tcPr>
            <w:tcW w:w="567" w:type="dxa"/>
            <w:tcMar>
              <w:top w:w="20" w:type="dxa"/>
              <w:left w:w="20" w:type="dxa"/>
              <w:right w:w="20" w:type="dxa"/>
            </w:tcMar>
          </w:tcPr>
          <w:p w14:paraId="600771F6"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1992</w:t>
            </w:r>
          </w:p>
        </w:tc>
        <w:tc>
          <w:tcPr>
            <w:tcW w:w="993" w:type="dxa"/>
            <w:tcMar>
              <w:top w:w="20" w:type="dxa"/>
              <w:left w:w="20" w:type="dxa"/>
              <w:right w:w="20" w:type="dxa"/>
            </w:tcMar>
          </w:tcPr>
          <w:p w14:paraId="18ABDC1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 and Survey</w:t>
            </w:r>
          </w:p>
        </w:tc>
        <w:tc>
          <w:tcPr>
            <w:tcW w:w="992" w:type="dxa"/>
            <w:tcMar>
              <w:top w:w="20" w:type="dxa"/>
              <w:left w:w="20" w:type="dxa"/>
              <w:right w:w="20" w:type="dxa"/>
            </w:tcMar>
          </w:tcPr>
          <w:p w14:paraId="1427EDA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 and Implementation Phase</w:t>
            </w:r>
          </w:p>
        </w:tc>
        <w:tc>
          <w:tcPr>
            <w:tcW w:w="992" w:type="dxa"/>
            <w:tcMar>
              <w:top w:w="20" w:type="dxa"/>
              <w:left w:w="20" w:type="dxa"/>
              <w:right w:w="20" w:type="dxa"/>
            </w:tcMar>
          </w:tcPr>
          <w:p w14:paraId="5AD5AE9B"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Men living with HIV in the military service</w:t>
            </w:r>
          </w:p>
        </w:tc>
        <w:tc>
          <w:tcPr>
            <w:tcW w:w="1985" w:type="dxa"/>
            <w:tcMar>
              <w:top w:w="20" w:type="dxa"/>
              <w:left w:w="20" w:type="dxa"/>
              <w:right w:w="20" w:type="dxa"/>
            </w:tcMar>
          </w:tcPr>
          <w:p w14:paraId="52986951"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 xml:space="preserve">Detailed description </w:t>
            </w:r>
            <w:r>
              <w:rPr>
                <w:rFonts w:ascii="Calibri" w:eastAsia="Calibri" w:hAnsi="Calibri" w:cs="Calibri"/>
                <w:sz w:val="16"/>
                <w:szCs w:val="16"/>
              </w:rPr>
              <w:t>provided</w:t>
            </w:r>
            <w:r w:rsidRPr="00955929">
              <w:rPr>
                <w:rFonts w:ascii="Calibri" w:eastAsia="Calibri" w:hAnsi="Calibri" w:cs="Calibri"/>
                <w:sz w:val="16"/>
                <w:szCs w:val="16"/>
              </w:rPr>
              <w:t>:</w:t>
            </w:r>
          </w:p>
          <w:p w14:paraId="3C0D2FA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1 protocol advisor, who is a person living with HIV with military experience and part of the military HIV program; and the advisory group consisting of participants enrolled in the research study</w:t>
            </w:r>
          </w:p>
        </w:tc>
        <w:tc>
          <w:tcPr>
            <w:tcW w:w="1984" w:type="dxa"/>
            <w:tcMar>
              <w:top w:w="20" w:type="dxa"/>
              <w:left w:w="20" w:type="dxa"/>
              <w:right w:w="20" w:type="dxa"/>
            </w:tcMar>
          </w:tcPr>
          <w:p w14:paraId="60EAE53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 xml:space="preserve">Model A: A few PPI representatives as part of study team (with decision power; here: protocol advisor); </w:t>
            </w:r>
          </w:p>
          <w:p w14:paraId="2E68B2B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C: A few PPI representatives are part of study team and a group of PPI representatives is consulted regularly</w:t>
            </w:r>
          </w:p>
        </w:tc>
        <w:tc>
          <w:tcPr>
            <w:tcW w:w="2977" w:type="dxa"/>
          </w:tcPr>
          <w:p w14:paraId="019C1B3A" w14:textId="77777777" w:rsidR="00E81CF4" w:rsidRPr="00955929" w:rsidRDefault="00E81CF4" w:rsidP="001B29B3">
            <w:pPr>
              <w:widowControl w:val="0"/>
              <w:rPr>
                <w:rFonts w:ascii="Calibri" w:hAnsi="Calibri" w:cs="Calibri"/>
                <w:color w:val="2A2A2A"/>
                <w:sz w:val="16"/>
                <w:szCs w:val="16"/>
                <w:shd w:val="clear" w:color="auto" w:fill="FFFFFF"/>
              </w:rPr>
            </w:pPr>
            <w:r w:rsidRPr="00955929">
              <w:rPr>
                <w:rFonts w:ascii="Calibri" w:eastAsia="Calibri" w:hAnsi="Calibri" w:cs="Calibri"/>
                <w:iCs/>
                <w:sz w:val="16"/>
                <w:szCs w:val="16"/>
              </w:rPr>
              <w:t>Locally acceptable and understandable informed consent procedure and research material;</w:t>
            </w:r>
          </w:p>
          <w:p w14:paraId="5CCD3B43" w14:textId="77777777" w:rsidR="00E81CF4" w:rsidRPr="00955929" w:rsidRDefault="00E81CF4" w:rsidP="001B29B3">
            <w:pPr>
              <w:widowControl w:val="0"/>
              <w:rPr>
                <w:rFonts w:ascii="Calibri" w:hAnsi="Calibri" w:cs="Calibri"/>
                <w:color w:val="2A2A2A"/>
                <w:sz w:val="16"/>
                <w:szCs w:val="16"/>
                <w:shd w:val="clear" w:color="auto" w:fill="FFFFFF"/>
              </w:rPr>
            </w:pPr>
            <w:r w:rsidRPr="00955929">
              <w:rPr>
                <w:rFonts w:ascii="Calibri" w:eastAsia="Calibri" w:hAnsi="Calibri" w:cs="Calibri"/>
                <w:iCs/>
                <w:sz w:val="16"/>
                <w:szCs w:val="16"/>
              </w:rPr>
              <w:t>research conduct more PPI-centered fostering trust and respect in the community</w:t>
            </w:r>
          </w:p>
        </w:tc>
        <w:tc>
          <w:tcPr>
            <w:tcW w:w="3887" w:type="dxa"/>
            <w:tcMar>
              <w:top w:w="20" w:type="dxa"/>
              <w:left w:w="20" w:type="dxa"/>
              <w:right w:w="20" w:type="dxa"/>
            </w:tcMar>
          </w:tcPr>
          <w:p w14:paraId="48676636"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No PPI related challenges reported</w:t>
            </w:r>
          </w:p>
        </w:tc>
      </w:tr>
      <w:tr w:rsidR="00E81CF4" w:rsidRPr="00E85C51" w14:paraId="372F1DC1" w14:textId="77777777" w:rsidTr="001B29B3">
        <w:trPr>
          <w:trHeight w:val="2411"/>
        </w:trPr>
        <w:tc>
          <w:tcPr>
            <w:tcW w:w="567" w:type="dxa"/>
            <w:shd w:val="clear" w:color="auto" w:fill="FFFFFF"/>
            <w:tcMar>
              <w:top w:w="20" w:type="dxa"/>
              <w:left w:w="20" w:type="dxa"/>
              <w:right w:w="20" w:type="dxa"/>
            </w:tcMar>
          </w:tcPr>
          <w:p w14:paraId="5844AE6E"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Corneli</w:t>
            </w:r>
          </w:p>
          <w:p w14:paraId="5DE4A84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2007</w:t>
            </w:r>
          </w:p>
          <w:p w14:paraId="28185801"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{"citationID":"CnAGtYUm","properties":{"formattedCitation":"(18)","plainCitation":"(18)","noteIndex":0},"citationItems":[{"id":12644,"uris":["http://zotero.org/users/7311068/items/CE8V3NE3"],"itemData":{"id":12644,"type":"article-journal","abstract":"OBJECTIVE: To learn the attitudes and concerns of the local community on participating in research, infant feeding practices, and maternal nutrition in order to inform the design of a clinical trial in Lilongwe, Malawi on the safety and efficacy of antiretroviral and nutrition interventions to reduce postnatal transmission of HIV.\nDESIGN: Formative research methods were used, including semi-structured interviews, focus group discussions, home observations, and taste trials. Data were collected, analyzed, and incorporated into the protocol within 3 months.\nRESULTS: Participants were supportive of the clinical trial, although their overall understanding of research was limited. Mothers agreed that infants' blood could be drawn by venipuncture, yet concern was raised about the amount of blood proposed to be collected from both infants and mothers. Data demonstrated that rapid breastfeeding cessation would be difficult and malnutrition could be a risk if infants were weaned early. Mothers selected a maternal supplement suitable for use in the clinical trial.\nCONCLUSIONS: The protocol was rapidly modified to achieve cultural acceptability while maintaining study objectives. Without the formative research, several significant areas would have been undetected and may have jeopardized the implementation of the trial. Additional research was carried out to develop a meaningful informed consent process, the amount of blood collected was reduced to acceptable levels, and the protocol was modified to reduce the risk of malnutrition. Researchers who conduct clinical trials are encouraged to incorporate formative research into their protocol design to ensure participant understanding of the research, to safeguard participants, and to increase feasibility and acceptance of the clinical research in the community.","container-title":"Contemporary Clinical Trials","DOI":"10.1016/j.cct.2006.08.003","ISSN":"1551-7144","issue":"1","journalAbbreviation":"Contemp Clin Trials","language":"eng","note":"PMID: 17000137\nPMCID: PMC3786401","page":"59-67","source":"PubMed","title":"Involving communities in the design of clinical trial protocols: the BAN Study in Lilongwe, Malawi","title-short":"Involving communities in the design of clinical trial protocols","volume":"28","author":[{"family":"Corneli","given":"Amy L."},{"family":"Piwoz","given":"Ellen G."},{"family":"Bentley","given":"Margaret E."},{"family":"Moses","given":"Agnes"},{"family":"Nkhoma","given":"Jacqueline R."},{"family":"Tohill","given":"Beth Carlton"},{"family":"Adair","given":"Linda"},{"family":"Mtimuni","given":"Beatrice"},{"family":"Ahmed","given":"Yusuf"},{"family":"Duerr","given":"Ann"},{"family":"Kazembe","given":"Peter"},{"family":"Horst","given":"Charles","non-dropping-particle":"van der"},{"literal":"UNC Project BAN Study Team"}],"issued":{"date-parts":[["2007",1]]}}}],"schema":"https://github.com/citation-style-language/schema/raw/master/csl-citation.json"}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18</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shd w:val="clear" w:color="auto" w:fill="FFFFFF"/>
            <w:tcMar>
              <w:top w:w="20" w:type="dxa"/>
              <w:left w:w="20" w:type="dxa"/>
              <w:right w:w="20" w:type="dxa"/>
            </w:tcMar>
          </w:tcPr>
          <w:p w14:paraId="48F4D84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Malawi</w:t>
            </w:r>
          </w:p>
        </w:tc>
        <w:tc>
          <w:tcPr>
            <w:tcW w:w="567" w:type="dxa"/>
            <w:shd w:val="clear" w:color="auto" w:fill="FFFFFF"/>
            <w:tcMar>
              <w:top w:w="20" w:type="dxa"/>
              <w:left w:w="20" w:type="dxa"/>
              <w:right w:w="20" w:type="dxa"/>
            </w:tcMar>
          </w:tcPr>
          <w:p w14:paraId="741A2BA7"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2004</w:t>
            </w:r>
          </w:p>
        </w:tc>
        <w:tc>
          <w:tcPr>
            <w:tcW w:w="993" w:type="dxa"/>
            <w:shd w:val="clear" w:color="auto" w:fill="FFFFFF"/>
            <w:tcMar>
              <w:top w:w="20" w:type="dxa"/>
              <w:left w:w="20" w:type="dxa"/>
              <w:right w:w="20" w:type="dxa"/>
            </w:tcMar>
          </w:tcPr>
          <w:p w14:paraId="2B099C4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w:t>
            </w:r>
          </w:p>
        </w:tc>
        <w:tc>
          <w:tcPr>
            <w:tcW w:w="992" w:type="dxa"/>
            <w:shd w:val="clear" w:color="auto" w:fill="FFFFFF"/>
            <w:tcMar>
              <w:top w:w="20" w:type="dxa"/>
              <w:left w:w="20" w:type="dxa"/>
              <w:right w:w="20" w:type="dxa"/>
            </w:tcMar>
          </w:tcPr>
          <w:p w14:paraId="2ABD3E50"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w:t>
            </w:r>
          </w:p>
        </w:tc>
        <w:tc>
          <w:tcPr>
            <w:tcW w:w="992" w:type="dxa"/>
            <w:shd w:val="clear" w:color="auto" w:fill="FFFFFF"/>
            <w:tcMar>
              <w:top w:w="20" w:type="dxa"/>
              <w:left w:w="20" w:type="dxa"/>
              <w:right w:w="20" w:type="dxa"/>
            </w:tcMar>
          </w:tcPr>
          <w:p w14:paraId="390C59D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Breastfeeding mothers living with HIV</w:t>
            </w:r>
          </w:p>
        </w:tc>
        <w:tc>
          <w:tcPr>
            <w:tcW w:w="1985" w:type="dxa"/>
            <w:shd w:val="clear" w:color="auto" w:fill="FFFFFF"/>
            <w:tcMar>
              <w:top w:w="20" w:type="dxa"/>
              <w:left w:w="20" w:type="dxa"/>
              <w:right w:w="20" w:type="dxa"/>
            </w:tcMar>
          </w:tcPr>
          <w:p w14:paraId="29DF00E5"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 xml:space="preserve">Detailed description </w:t>
            </w:r>
            <w:r>
              <w:rPr>
                <w:rFonts w:ascii="Calibri" w:eastAsia="Calibri" w:hAnsi="Calibri" w:cs="Calibri"/>
                <w:sz w:val="16"/>
                <w:szCs w:val="16"/>
              </w:rPr>
              <w:t>provided</w:t>
            </w:r>
            <w:r w:rsidRPr="00955929">
              <w:rPr>
                <w:rFonts w:ascii="Calibri" w:eastAsia="Calibri" w:hAnsi="Calibri" w:cs="Calibri"/>
                <w:sz w:val="16"/>
                <w:szCs w:val="16"/>
              </w:rPr>
              <w:t>:</w:t>
            </w:r>
          </w:p>
          <w:p w14:paraId="6B3213BA" w14:textId="77777777" w:rsidR="00E81CF4" w:rsidRPr="00955929" w:rsidRDefault="00E81CF4" w:rsidP="001B29B3">
            <w:pPr>
              <w:pStyle w:val="NormalWeb"/>
              <w:rPr>
                <w:rFonts w:ascii="Calibri" w:hAnsi="Calibri" w:cs="Calibri"/>
                <w:sz w:val="16"/>
                <w:szCs w:val="16"/>
                <w:lang w:val="en-US"/>
              </w:rPr>
            </w:pPr>
            <w:r w:rsidRPr="00955929">
              <w:rPr>
                <w:rFonts w:ascii="Calibri" w:eastAsia="Calibri" w:hAnsi="Calibri" w:cs="Calibri"/>
                <w:sz w:val="16"/>
                <w:szCs w:val="16"/>
              </w:rPr>
              <w:t xml:space="preserve">40 mothers </w:t>
            </w:r>
            <w:r w:rsidRPr="00955929">
              <w:rPr>
                <w:rFonts w:ascii="Calibri" w:eastAsia="Calibri" w:hAnsi="Calibri" w:cs="Calibri"/>
                <w:sz w:val="16"/>
                <w:szCs w:val="16"/>
                <w:lang w:val="en-US"/>
              </w:rPr>
              <w:t xml:space="preserve">living with HIV, </w:t>
            </w:r>
            <w:r w:rsidRPr="00955929">
              <w:rPr>
                <w:rFonts w:ascii="Calibri" w:eastAsia="Calibri" w:hAnsi="Calibri" w:cs="Calibri"/>
                <w:sz w:val="16"/>
                <w:szCs w:val="16"/>
              </w:rPr>
              <w:t>of infants less than 1 year old</w:t>
            </w:r>
            <w:r w:rsidRPr="00955929">
              <w:rPr>
                <w:rFonts w:ascii="Calibri" w:eastAsia="Calibri" w:hAnsi="Calibri" w:cs="Calibri"/>
                <w:sz w:val="16"/>
                <w:szCs w:val="16"/>
                <w:lang w:val="en-US"/>
              </w:rPr>
              <w:t xml:space="preserve">; </w:t>
            </w:r>
            <w:r w:rsidRPr="00955929">
              <w:rPr>
                <w:rFonts w:ascii="Calibri" w:eastAsia="Calibri" w:hAnsi="Calibri" w:cs="Calibri"/>
                <w:sz w:val="16"/>
                <w:szCs w:val="16"/>
              </w:rPr>
              <w:t>pregnant</w:t>
            </w:r>
            <w:r w:rsidRPr="00955929">
              <w:rPr>
                <w:rFonts w:ascii="Calibri" w:eastAsia="Calibri" w:hAnsi="Calibri" w:cs="Calibri"/>
                <w:sz w:val="16"/>
                <w:szCs w:val="16"/>
                <w:lang w:val="en-US"/>
              </w:rPr>
              <w:t>/breastfeeding women; from communities of the target study population</w:t>
            </w:r>
          </w:p>
        </w:tc>
        <w:tc>
          <w:tcPr>
            <w:tcW w:w="1984" w:type="dxa"/>
            <w:shd w:val="clear" w:color="auto" w:fill="FFFFFF"/>
            <w:tcMar>
              <w:top w:w="20" w:type="dxa"/>
              <w:left w:w="20" w:type="dxa"/>
              <w:right w:w="20" w:type="dxa"/>
            </w:tcMar>
          </w:tcPr>
          <w:p w14:paraId="7B2BABC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D: One-off task-focused PPI</w:t>
            </w:r>
          </w:p>
        </w:tc>
        <w:tc>
          <w:tcPr>
            <w:tcW w:w="2977" w:type="dxa"/>
            <w:shd w:val="clear" w:color="auto" w:fill="FFFFFF"/>
          </w:tcPr>
          <w:p w14:paraId="556A9A3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Cs/>
                <w:sz w:val="16"/>
                <w:szCs w:val="16"/>
              </w:rPr>
              <w:t>Locally acceptable and understandable informed consent procedure and research material; research conduct more PPI-centered fostering trust and respect in the community</w:t>
            </w:r>
          </w:p>
        </w:tc>
        <w:tc>
          <w:tcPr>
            <w:tcW w:w="3887" w:type="dxa"/>
            <w:shd w:val="clear" w:color="auto" w:fill="FFFFFF"/>
            <w:tcMar>
              <w:top w:w="20" w:type="dxa"/>
              <w:left w:w="20" w:type="dxa"/>
              <w:right w:w="20" w:type="dxa"/>
            </w:tcMar>
          </w:tcPr>
          <w:p w14:paraId="75ABC3A4"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tensions between different stakeholder groups; differing levels of understanding of PPI members about health research methods; use of jargon; time and resources; and representativeness (lack of diversity among PPI team)</w:t>
            </w:r>
          </w:p>
          <w:p w14:paraId="597D4E3B"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cultural sensitivity (e.g. PPI conducted by people of same background/nationality and language); clear explanation of health research methods including training material tailored to the different stakeholders involved; independent facilitation (not the study PI); and adequate funding earmarked for PPI activities</w:t>
            </w:r>
          </w:p>
        </w:tc>
      </w:tr>
      <w:tr w:rsidR="00E81CF4" w:rsidRPr="00E85C51" w14:paraId="07A82C7E" w14:textId="77777777" w:rsidTr="001B29B3">
        <w:trPr>
          <w:trHeight w:val="143"/>
        </w:trPr>
        <w:tc>
          <w:tcPr>
            <w:tcW w:w="567" w:type="dxa"/>
            <w:tcMar>
              <w:top w:w="20" w:type="dxa"/>
              <w:left w:w="20" w:type="dxa"/>
              <w:right w:w="20" w:type="dxa"/>
            </w:tcMar>
          </w:tcPr>
          <w:p w14:paraId="2595334E"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lastRenderedPageBreak/>
              <w:t>Day 2020</w:t>
            </w:r>
          </w:p>
          <w:p w14:paraId="67DE080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{"citationID":"AppZLBph","properties":{"formattedCitation":"(20)","plainCitation":"(20)","noteIndex":0},"citationItems":[{"id":12598,"uris":["http://zotero.org/users/7311068/items/SAQH2UCL"],"itemData":{"id":12598,"type":"article-journal","abstract":"BACKGROUND/AIMS: Community engagement is widely acknowledged as an important step in clinical trials. One underexplored method for engagement in clinical trials is crowdsourcing. Crowdsourcing involves having community members attempt to solve a problem and then publicly sharing innovative solutions. We designed and conducted a pilot using a crowdsourcing approach to obtain community feedback on an HIV clinical trial, called the Acceptability of Combined Community Engagement Strategies Study. In this work, we describe and assess the Acceptability of Combined Community Engagement Strategies Study's crowdsourcing activities in order to examine the opportunities of crowdsourcing as a clinical trial community engagement strategy.\nMETHODS: The crowdsourcing engagement activities involved in the Acceptability of Combined Community Engagement Strategies Study were conducted in the context of a phase 1 HIV antibody trial (ClinicalTrials.gov identifier: NCT03803605). We designed a series of crowdsourcing activities to collect feedback on three aspects of this clinical trial: the informed consent process, the experience of participating in the trial, and fairness/reciprocity in HIV clinical trials. All crowdsourcing activities were open to members of the general public 18 years of age or older, and participation was solicited from the local community. A group discussion was held with representatives of the clinical trial team to obtain feedback on the utility of crowdsourcing as a community engagement strategy for informing future clinical trials.\nRESULTS: Crowdsourcing activities made use of innovative tools and a combination of in-person and online participation opportunities to engage community members in the clinical trial feedback process. Community feedback on informed consent was collected by transforming the clinical trial's informed consent form into a series of interactive video modules, which were screened at an open public discussion. Feedback on the experience of trial participation involved designing three fictional vignettes which were then transformed into animated videos and screened at an open public discussion. Finally, feedback on fairness/reciprocity in HIV clinical trials was collected using a crowdsourcing idea contest with online and in-person submission opportunities. Our public discussion events were attended by 38 participants in total; our idea contest received 43 submissions (27 in-person, 16 online). Facebook and Twitter metrics demonstrated substantial engagement in the project. The clinical team found crowdsourcing primarily useful for enhancing informed consent and trial recruitment.\nCONCLUSION: There is sufficient lay community interest in open calls for feedback on the design and conduct of clinical trials, making crowdsourcing both a novel and feasible engagement strategy. Clinical trial researchers are encouraged to consider the opportunities of implementing crowdsourcing to inform trial processes from a community perspective.","container-title":"Clinical Trials (London, England)","DOI":"10.1177/1740774520902741","ISSN":"1740-7753","issue":"3","journalAbbreviation":"Clin Trials","language":"eng","note":"PMID: 32009466\nPMCID: PMC7255944","page":"306-313","source":"PubMed","title":"Broadening community engagement in clinical research: Designing and assessing a pilot crowdsourcing project to obtain community feedback on an HIV clinical trial","title-short":"Broadening community engagement in clinical research","volume":"17","author":[{"family":"Day","given":"Suzanne"},{"family":"Mathews","given":"Allison"},{"family":"Blumberg","given":"Meredith"},{"family":"Vu","given":"Thi"},{"family":"Rennie","given":"Stuart"},{"family":"Tucker","given":"Joseph D."}],"issued":{"date-parts":[["2020",6]]}}}],"schema":"https://github.com/citation-style-language/schema/raw/master/csl-citation.json"}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20</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4BE70CC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United States of America</w:t>
            </w:r>
          </w:p>
        </w:tc>
        <w:tc>
          <w:tcPr>
            <w:tcW w:w="567" w:type="dxa"/>
            <w:tcMar>
              <w:top w:w="20" w:type="dxa"/>
              <w:left w:w="20" w:type="dxa"/>
              <w:right w:w="20" w:type="dxa"/>
            </w:tcMar>
          </w:tcPr>
          <w:p w14:paraId="79E2CB8B"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2020</w:t>
            </w:r>
          </w:p>
        </w:tc>
        <w:tc>
          <w:tcPr>
            <w:tcW w:w="993" w:type="dxa"/>
            <w:tcMar>
              <w:top w:w="20" w:type="dxa"/>
              <w:left w:w="20" w:type="dxa"/>
              <w:right w:w="20" w:type="dxa"/>
            </w:tcMar>
          </w:tcPr>
          <w:p w14:paraId="0CA780BF"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w:t>
            </w:r>
          </w:p>
        </w:tc>
        <w:tc>
          <w:tcPr>
            <w:tcW w:w="992" w:type="dxa"/>
            <w:tcMar>
              <w:top w:w="20" w:type="dxa"/>
              <w:left w:w="20" w:type="dxa"/>
              <w:right w:w="20" w:type="dxa"/>
            </w:tcMar>
          </w:tcPr>
          <w:p w14:paraId="1102CC9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w:t>
            </w:r>
          </w:p>
        </w:tc>
        <w:tc>
          <w:tcPr>
            <w:tcW w:w="992" w:type="dxa"/>
            <w:tcMar>
              <w:top w:w="20" w:type="dxa"/>
              <w:left w:w="20" w:type="dxa"/>
              <w:right w:w="20" w:type="dxa"/>
            </w:tcMar>
          </w:tcPr>
          <w:p w14:paraId="336EC4D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Members of the general public, 18 years of age or older</w:t>
            </w:r>
          </w:p>
        </w:tc>
        <w:tc>
          <w:tcPr>
            <w:tcW w:w="1985" w:type="dxa"/>
            <w:tcMar>
              <w:top w:w="20" w:type="dxa"/>
              <w:left w:w="20" w:type="dxa"/>
              <w:right w:w="20" w:type="dxa"/>
            </w:tcMar>
          </w:tcPr>
          <w:p w14:paraId="3B818694"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 xml:space="preserve">Vague description </w:t>
            </w:r>
            <w:r>
              <w:rPr>
                <w:rFonts w:ascii="Calibri" w:eastAsia="Calibri" w:hAnsi="Calibri" w:cs="Calibri"/>
                <w:sz w:val="16"/>
                <w:szCs w:val="16"/>
              </w:rPr>
              <w:t>provided</w:t>
            </w:r>
            <w:r w:rsidRPr="00955929">
              <w:rPr>
                <w:rFonts w:ascii="Calibri" w:eastAsia="Calibri" w:hAnsi="Calibri" w:cs="Calibri"/>
                <w:sz w:val="16"/>
                <w:szCs w:val="16"/>
              </w:rPr>
              <w:t>:</w:t>
            </w:r>
          </w:p>
          <w:p w14:paraId="7314B0E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 xml:space="preserve">Members of the general public, 18 years of age or older; </w:t>
            </w:r>
          </w:p>
        </w:tc>
        <w:tc>
          <w:tcPr>
            <w:tcW w:w="1984" w:type="dxa"/>
            <w:tcMar>
              <w:top w:w="20" w:type="dxa"/>
              <w:left w:w="20" w:type="dxa"/>
              <w:right w:w="20" w:type="dxa"/>
            </w:tcMar>
          </w:tcPr>
          <w:p w14:paraId="7BD2B520"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D: One-off task-focused PPI</w:t>
            </w:r>
          </w:p>
        </w:tc>
        <w:tc>
          <w:tcPr>
            <w:tcW w:w="2977" w:type="dxa"/>
          </w:tcPr>
          <w:p w14:paraId="5D7B8389" w14:textId="77777777" w:rsidR="00E81CF4" w:rsidRPr="00955929" w:rsidRDefault="00E81CF4" w:rsidP="001B29B3">
            <w:pPr>
              <w:widowControl w:val="0"/>
              <w:rPr>
                <w:rFonts w:ascii="Calibri" w:hAnsi="Calibri" w:cs="Calibri"/>
                <w:color w:val="2A2A2A"/>
                <w:sz w:val="16"/>
                <w:szCs w:val="16"/>
                <w:shd w:val="clear" w:color="auto" w:fill="FFFFFF"/>
              </w:rPr>
            </w:pPr>
            <w:r w:rsidRPr="00955929">
              <w:rPr>
                <w:rFonts w:ascii="Calibri" w:eastAsia="Calibri" w:hAnsi="Calibri" w:cs="Calibri"/>
                <w:iCs/>
                <w:sz w:val="16"/>
                <w:szCs w:val="16"/>
              </w:rPr>
              <w:t>Locally acceptable and understandable informed consent procedure and research material</w:t>
            </w:r>
          </w:p>
        </w:tc>
        <w:tc>
          <w:tcPr>
            <w:tcW w:w="3887" w:type="dxa"/>
            <w:tcMar>
              <w:top w:w="20" w:type="dxa"/>
              <w:left w:w="20" w:type="dxa"/>
              <w:right w:w="20" w:type="dxa"/>
            </w:tcMar>
          </w:tcPr>
          <w:p w14:paraId="667202C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General public may not understand what is feasible to implement in the clinical research project and thus provide unfeasible feedback; Communicating trial compensation amounts may create confusion among potentially future trial participants</w:t>
            </w:r>
          </w:p>
          <w:p w14:paraId="3EE238C1"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Concise and comprehensive training and dissemination material</w:t>
            </w:r>
          </w:p>
        </w:tc>
      </w:tr>
      <w:tr w:rsidR="00E81CF4" w:rsidRPr="00E85C51" w14:paraId="55A748B3" w14:textId="77777777" w:rsidTr="001B29B3">
        <w:trPr>
          <w:trHeight w:val="1109"/>
        </w:trPr>
        <w:tc>
          <w:tcPr>
            <w:tcW w:w="567" w:type="dxa"/>
            <w:tcMar>
              <w:top w:w="20" w:type="dxa"/>
              <w:left w:w="20" w:type="dxa"/>
              <w:right w:w="20" w:type="dxa"/>
            </w:tcMar>
          </w:tcPr>
          <w:p w14:paraId="59BF923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Denison 2017</w:t>
            </w:r>
          </w:p>
          <w:p w14:paraId="2559743E"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{"citationID":"5Hds5U7l","properties":{"formattedCitation":"(21)","plainCitation":"(21)","noteIndex":0},"citationItems":[{"id":12601,"uris":["http://zotero.org/users/7311068/items/DAK3V3NC"],"itemData":{"id":12601,"type":"article-journal","abstract":"BACKGROUND: The importance of youth engagement in designing, implementing and evaluating programs has garnered more attention as international initiatives seek to address the HIV crisis among this population. Adolescents, however, are not often included in HIV implementation science research and have not had opportunities to contribute to the development of HIV-related research agendas. Project Supporting Operational AIDS Research (SOAR), a United States Agency for International Development-funded global operations research project, involved youth living with HIV in a meeting to develop a strategic implementation science research agenda to improve adolescent HIV care continuum outcomes, including HIV testing and counseling (HTC) and linkage to care.\nMETHODS: Project SOAR convened a 2-day meeting of 50 experts, including four youth living with HIV. Participants examined the literature, developed research questions, and voted to prioritize these questions for the implementation science research agenda. This article presents the process of involving youth, how they shaped the course of discussions, and the resulting priority research gaps identified at the meeting.\nRESULTS: Youth participation influenced working group discussions and the development of the implementation science agenda. Research gaps identified included how to engage vulnerable adolescents, determining the role that stigma, peers, and self-testing have in shaping adolescent HTC behaviors, and examining the costs of different HTC and linkage to care strategies.\nCONCLUSION: The meeting participants developed the research agenda to guide future implementation science research to improve HIV outcomes among adolescents in sub-Saharan Africa. This process highlighted the importance of youth in shaping implementation science research agendas and the need for greater youth engagement.","container-title":"AIDS (London, England)","DOI":"10.1097/QAD.0000000000001509","ISSN":"1473-5571","issue":"Suppl 3","journalAbbreviation":"AIDS","language":"eng","note":"PMID: 28665877\nPMCID: PMC5497774","page":"S195-S201","source":"PubMed","title":"Youth engagement in developing an implementation science research agenda on adolescent HIV testing and care linkages in sub-Saharan Africa","volume":"31 Suppl 3","author":[{"family":"Denison","given":"Julie A."},{"family":"Pettifor","given":"Audrey"},{"family":"Mofenson","given":"Lynne M."},{"family":"Kasedde","given":"Susan"},{"family":"Marcus","given":"Rebecca"},{"family":"Konayuma","given":"Katongo J."},{"family":"Koboto","given":"Katlego"},{"family":"Ngcobo","given":"Mmangaliso Luyanda"},{"family":"Ndleleni","given":"Nokuthula"},{"family":"Pulerwitz","given":"Julie"},{"family":"Kerrigan","given":"Deanna"}],"issued":{"date-parts":[["2017",7,1]]}}}],"schema":"https://github.com/citation-style-language/schema/raw/master/csl-citation.json"}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21</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73CD38B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Southern Africa</w:t>
            </w:r>
          </w:p>
        </w:tc>
        <w:tc>
          <w:tcPr>
            <w:tcW w:w="567" w:type="dxa"/>
            <w:tcMar>
              <w:top w:w="20" w:type="dxa"/>
              <w:left w:w="20" w:type="dxa"/>
              <w:right w:w="20" w:type="dxa"/>
            </w:tcMar>
          </w:tcPr>
          <w:p w14:paraId="2305247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2016</w:t>
            </w:r>
          </w:p>
        </w:tc>
        <w:tc>
          <w:tcPr>
            <w:tcW w:w="993" w:type="dxa"/>
            <w:tcMar>
              <w:top w:w="20" w:type="dxa"/>
              <w:left w:w="20" w:type="dxa"/>
              <w:right w:w="20" w:type="dxa"/>
            </w:tcMar>
          </w:tcPr>
          <w:p w14:paraId="175593D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Research Priority Setting</w:t>
            </w:r>
          </w:p>
        </w:tc>
        <w:tc>
          <w:tcPr>
            <w:tcW w:w="992" w:type="dxa"/>
            <w:tcMar>
              <w:top w:w="20" w:type="dxa"/>
              <w:left w:w="20" w:type="dxa"/>
              <w:right w:w="20" w:type="dxa"/>
            </w:tcMar>
          </w:tcPr>
          <w:p w14:paraId="4914B2E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w:t>
            </w:r>
          </w:p>
        </w:tc>
        <w:tc>
          <w:tcPr>
            <w:tcW w:w="992" w:type="dxa"/>
            <w:tcMar>
              <w:top w:w="20" w:type="dxa"/>
              <w:left w:w="20" w:type="dxa"/>
              <w:right w:w="20" w:type="dxa"/>
            </w:tcMar>
          </w:tcPr>
          <w:p w14:paraId="3A20636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Youth living with HIV in southern Africa</w:t>
            </w:r>
          </w:p>
        </w:tc>
        <w:tc>
          <w:tcPr>
            <w:tcW w:w="1985" w:type="dxa"/>
            <w:tcMar>
              <w:top w:w="20" w:type="dxa"/>
              <w:left w:w="20" w:type="dxa"/>
              <w:right w:w="20" w:type="dxa"/>
            </w:tcMar>
          </w:tcPr>
          <w:p w14:paraId="0791EFDD"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Detailed description</w:t>
            </w:r>
            <w:r w:rsidRPr="00955929">
              <w:rPr>
                <w:rFonts w:ascii="Calibri" w:eastAsia="Calibri" w:hAnsi="Calibri" w:cs="Calibri"/>
                <w:sz w:val="16"/>
                <w:szCs w:val="16"/>
                <w:lang w:val="en-US"/>
              </w:rPr>
              <w:t xml:space="preserve"> </w:t>
            </w:r>
            <w:r>
              <w:rPr>
                <w:rFonts w:ascii="Calibri" w:eastAsia="Calibri" w:hAnsi="Calibri" w:cs="Calibri"/>
                <w:sz w:val="16"/>
                <w:szCs w:val="16"/>
              </w:rPr>
              <w:t>provided</w:t>
            </w:r>
            <w:r w:rsidRPr="00955929">
              <w:rPr>
                <w:rFonts w:ascii="Calibri" w:eastAsia="Calibri" w:hAnsi="Calibri" w:cs="Calibri"/>
                <w:sz w:val="16"/>
                <w:szCs w:val="16"/>
              </w:rPr>
              <w:t>:</w:t>
            </w:r>
          </w:p>
          <w:p w14:paraId="04ABA06B"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4 Youth living with HIV (3 women, 1 man) from southern Africa</w:t>
            </w:r>
          </w:p>
        </w:tc>
        <w:tc>
          <w:tcPr>
            <w:tcW w:w="1984" w:type="dxa"/>
            <w:tcMar>
              <w:top w:w="20" w:type="dxa"/>
              <w:left w:w="20" w:type="dxa"/>
              <w:right w:w="20" w:type="dxa"/>
            </w:tcMar>
          </w:tcPr>
          <w:p w14:paraId="4735E60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D: One-off task-focused PPI</w:t>
            </w:r>
          </w:p>
        </w:tc>
        <w:tc>
          <w:tcPr>
            <w:tcW w:w="2977" w:type="dxa"/>
          </w:tcPr>
          <w:p w14:paraId="79C5E351" w14:textId="77777777" w:rsidR="00E81CF4" w:rsidRPr="00955929" w:rsidRDefault="00E81CF4" w:rsidP="001B29B3">
            <w:pPr>
              <w:widowControl w:val="0"/>
              <w:rPr>
                <w:rFonts w:ascii="Calibri" w:eastAsia="Calibri" w:hAnsi="Calibri" w:cs="Calibri"/>
                <w:iCs/>
                <w:sz w:val="16"/>
                <w:szCs w:val="16"/>
              </w:rPr>
            </w:pPr>
            <w:r w:rsidRPr="00955929">
              <w:rPr>
                <w:rFonts w:ascii="Calibri" w:eastAsia="Calibri" w:hAnsi="Calibri" w:cs="Calibri"/>
                <w:iCs/>
                <w:sz w:val="16"/>
                <w:szCs w:val="16"/>
              </w:rPr>
              <w:t>The research agenda is more PPI-centered and understandable to the target study population fostering mutual respect; improved PPI collaboration during the entire subsequent research</w:t>
            </w:r>
          </w:p>
        </w:tc>
        <w:tc>
          <w:tcPr>
            <w:tcW w:w="3887" w:type="dxa"/>
            <w:tcMar>
              <w:top w:w="20" w:type="dxa"/>
              <w:left w:w="20" w:type="dxa"/>
              <w:right w:w="20" w:type="dxa"/>
            </w:tcMar>
          </w:tcPr>
          <w:p w14:paraId="37AE9FA6"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xml:space="preserve">: Specific financial and logistical challenges with Youth living with HIV in southern Africa involved minors who had to travel to PPI meetings </w:t>
            </w:r>
          </w:p>
          <w:p w14:paraId="412F7BA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Engage similar older adolescents to accompany and support</w:t>
            </w:r>
          </w:p>
        </w:tc>
      </w:tr>
      <w:tr w:rsidR="00E81CF4" w:rsidRPr="00E85C51" w14:paraId="077D6702" w14:textId="77777777" w:rsidTr="001B29B3">
        <w:trPr>
          <w:trHeight w:val="143"/>
        </w:trPr>
        <w:tc>
          <w:tcPr>
            <w:tcW w:w="567" w:type="dxa"/>
            <w:tcMar>
              <w:top w:w="20" w:type="dxa"/>
              <w:left w:w="20" w:type="dxa"/>
              <w:right w:w="20" w:type="dxa"/>
            </w:tcMar>
          </w:tcPr>
          <w:p w14:paraId="0D9CDA1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Flaskerud 1999</w:t>
            </w:r>
          </w:p>
          <w:p w14:paraId="55685144"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{"citationID":"1hg9Uuq2","properties":{"formattedCitation":"(22)","plainCitation":"(22)","noteIndex":0},"citationItems":[{"id":12604,"uris":["http://zotero.org/users/7311068/items/YSY2U2GP"],"itemData":{"id":12604,"type":"article-journal","abstract":"Participant-focused research (PFR) includes the \"subjects\" as full partners in the research process. As such, participants share in the products or outcomes of research. PFR goes beyond the traditional research approach of disseminating findings to other scientists and clinicians and includes participants and community residents in sharing the skills, knowledge, and resources of the study with the objective of empowering the participants. This article demonstrates the use of PFR in disseminating the results or products of study to the participants through two examples of long-term research projects conducted in Los Angeles. The first example is a community-based study of HIV prevention with low-income Latina women. The second example is an ethnographic study of health concerns and risks among adolescents in juvenile detention. These examples provide two approaches to dissemination of research findings and benefits to the participants and the community.","container-title":"Journal of Transcultural Nursing: Official Journal of the Transcultural Nursing Society","DOI":"10.1177/104365969901000412","ISSN":"1043-6596","issue":"4","journalAbbreviation":"J Transcult Nurs","language":"eng","note":"PMID: 10693425","page":"340-349","source":"PubMed","title":"Disseminating the results of participant-focused research","volume":"10","author":[{"family":"Flaskerud","given":"J. H."},{"family":"Anderson","given":"N."}],"issued":{"date-parts":[["1999",10]]}}}],"schema":"https://github.com/citation-style-language/schema/raw/master/csl-citation.json"}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22</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1E028987"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United States of America</w:t>
            </w:r>
          </w:p>
        </w:tc>
        <w:tc>
          <w:tcPr>
            <w:tcW w:w="567" w:type="dxa"/>
            <w:tcMar>
              <w:top w:w="20" w:type="dxa"/>
              <w:left w:w="20" w:type="dxa"/>
              <w:right w:w="20" w:type="dxa"/>
            </w:tcMar>
          </w:tcPr>
          <w:p w14:paraId="6262C221"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1999</w:t>
            </w:r>
          </w:p>
        </w:tc>
        <w:tc>
          <w:tcPr>
            <w:tcW w:w="993" w:type="dxa"/>
            <w:tcMar>
              <w:top w:w="20" w:type="dxa"/>
              <w:left w:w="20" w:type="dxa"/>
              <w:right w:w="20" w:type="dxa"/>
            </w:tcMar>
          </w:tcPr>
          <w:p w14:paraId="01BE4DC6"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w:t>
            </w:r>
          </w:p>
        </w:tc>
        <w:tc>
          <w:tcPr>
            <w:tcW w:w="992" w:type="dxa"/>
            <w:tcMar>
              <w:top w:w="20" w:type="dxa"/>
              <w:left w:w="20" w:type="dxa"/>
              <w:right w:w="20" w:type="dxa"/>
            </w:tcMar>
          </w:tcPr>
          <w:p w14:paraId="7CBA59F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 and Implementation Phase and</w:t>
            </w:r>
          </w:p>
          <w:p w14:paraId="141ABCBE"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Post-Closure Phase</w:t>
            </w:r>
          </w:p>
        </w:tc>
        <w:tc>
          <w:tcPr>
            <w:tcW w:w="992" w:type="dxa"/>
            <w:tcMar>
              <w:top w:w="20" w:type="dxa"/>
              <w:left w:w="20" w:type="dxa"/>
              <w:right w:w="20" w:type="dxa"/>
            </w:tcMar>
          </w:tcPr>
          <w:p w14:paraId="60C7853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Latina women community at risk for HIV infection</w:t>
            </w:r>
          </w:p>
        </w:tc>
        <w:tc>
          <w:tcPr>
            <w:tcW w:w="1985" w:type="dxa"/>
            <w:tcMar>
              <w:top w:w="20" w:type="dxa"/>
              <w:left w:w="20" w:type="dxa"/>
              <w:right w:w="20" w:type="dxa"/>
            </w:tcMar>
          </w:tcPr>
          <w:p w14:paraId="614F422F"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 xml:space="preserve">Vague description </w:t>
            </w:r>
            <w:r>
              <w:rPr>
                <w:rFonts w:ascii="Calibri" w:eastAsia="Calibri" w:hAnsi="Calibri" w:cs="Calibri"/>
                <w:sz w:val="16"/>
                <w:szCs w:val="16"/>
              </w:rPr>
              <w:t>provided</w:t>
            </w:r>
            <w:r w:rsidRPr="00955929">
              <w:rPr>
                <w:rFonts w:ascii="Calibri" w:eastAsia="Calibri" w:hAnsi="Calibri" w:cs="Calibri"/>
                <w:sz w:val="16"/>
                <w:szCs w:val="16"/>
              </w:rPr>
              <w:t>:</w:t>
            </w:r>
          </w:p>
          <w:p w14:paraId="38AAFACA"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Members shared the ethnicity, language, and culture of the other participants in the study</w:t>
            </w:r>
          </w:p>
        </w:tc>
        <w:tc>
          <w:tcPr>
            <w:tcW w:w="1984" w:type="dxa"/>
            <w:tcMar>
              <w:top w:w="20" w:type="dxa"/>
              <w:left w:w="20" w:type="dxa"/>
              <w:right w:w="20" w:type="dxa"/>
            </w:tcMar>
          </w:tcPr>
          <w:p w14:paraId="1263D89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C: A few PPI representatives are part of study team and a group of PPI representatives is consulted regularly</w:t>
            </w:r>
          </w:p>
        </w:tc>
        <w:tc>
          <w:tcPr>
            <w:tcW w:w="2977" w:type="dxa"/>
          </w:tcPr>
          <w:p w14:paraId="1B7833EE" w14:textId="77777777" w:rsidR="00E81CF4" w:rsidRPr="00955929" w:rsidRDefault="00E81CF4" w:rsidP="001B29B3">
            <w:pPr>
              <w:widowControl w:val="0"/>
              <w:rPr>
                <w:rFonts w:ascii="Calibri" w:eastAsia="Calibri" w:hAnsi="Calibri" w:cs="Calibri"/>
                <w:iCs/>
                <w:sz w:val="16"/>
                <w:szCs w:val="16"/>
              </w:rPr>
            </w:pPr>
            <w:r w:rsidRPr="00955929">
              <w:rPr>
                <w:rFonts w:ascii="Calibri" w:eastAsia="Calibri" w:hAnsi="Calibri" w:cs="Calibri"/>
                <w:iCs/>
                <w:sz w:val="16"/>
                <w:szCs w:val="16"/>
              </w:rPr>
              <w:t>Locally acceptable and understandable research material; research outcomes are disseminated more widely and are understandable and better applicable in the community</w:t>
            </w:r>
          </w:p>
        </w:tc>
        <w:tc>
          <w:tcPr>
            <w:tcW w:w="3887" w:type="dxa"/>
            <w:tcMar>
              <w:top w:w="20" w:type="dxa"/>
              <w:left w:w="20" w:type="dxa"/>
              <w:right w:w="20" w:type="dxa"/>
            </w:tcMar>
          </w:tcPr>
          <w:p w14:paraId="6D6CF19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No PPI related challenges reported</w:t>
            </w:r>
          </w:p>
        </w:tc>
      </w:tr>
      <w:tr w:rsidR="00E81CF4" w:rsidRPr="00E85C51" w14:paraId="2B4614E0" w14:textId="77777777" w:rsidTr="001B29B3">
        <w:trPr>
          <w:trHeight w:val="731"/>
        </w:trPr>
        <w:tc>
          <w:tcPr>
            <w:tcW w:w="567" w:type="dxa"/>
            <w:tcMar>
              <w:top w:w="20" w:type="dxa"/>
              <w:left w:w="20" w:type="dxa"/>
              <w:right w:w="20" w:type="dxa"/>
            </w:tcMar>
          </w:tcPr>
          <w:p w14:paraId="70E564E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Flicker 2006</w:t>
            </w:r>
          </w:p>
          <w:p w14:paraId="2B5D066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{"citationID":"jXjBLvub","properties":{"formattedCitation":"(23)","plainCitation":"(23)","noteIndex":0},"citationItems":[{"id":12606,"uris":["http://zotero.org/users/7311068/items/QZ3F55LW"],"itemData":{"id":12606,"type":"article-journal","abstract":"Community-based participatory research (CBPR) has evolved as a popular new paradigm in health research. This shift is exciting, yet there is still much to discover about how various stakeholders are affected. This article uses a critical social science perspective to explore who benefits from these changes through an analysis of a CBPR case study (The Positive Youth Project). Two major categories of beneficiaries emerged: the research itself and the partner-stakeholders. The benefits, however, were not gained without substantial human resource investment, nor were they necessarily equitably spread. Participation costs included heavy demands of time, an added burden of work, frustration with the process, missing other opportunities, risking loss of anonymity, and loss of control. Care needs to be taken to ensure that concrete benefits accrue for all project partners and costs are minimized. Another way of framing benefits is to look at the community capacities built to address future health and social issues.","container-title":"Health Education &amp; Behavior: The Official Publication of the Society for Public Health Education","DOI":"10.1177/1090198105285927","ISSN":"1090-1981","issue":"1","journalAbbreviation":"Health Educ Behav","language":"eng","note":"PMID: 16740514","page":"70-86","source":"PubMed","title":"Who benefits from community-based participatory research? A case study of the Positive Youth Project","title-short":"Who benefits from community-based participatory research?","volume":"35","author":[{"family":"Flicker","given":"Sarah"}],"issued":{"date-parts":[["2008",2]]}}}],"schema":"https://github.com/citation-style-language/schema/raw/master/csl-citation.json"}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23</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2ACC5E0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Canada</w:t>
            </w:r>
          </w:p>
        </w:tc>
        <w:tc>
          <w:tcPr>
            <w:tcW w:w="567" w:type="dxa"/>
            <w:tcMar>
              <w:top w:w="20" w:type="dxa"/>
              <w:left w:w="20" w:type="dxa"/>
              <w:right w:w="20" w:type="dxa"/>
            </w:tcMar>
          </w:tcPr>
          <w:p w14:paraId="7D40625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2002-2004</w:t>
            </w:r>
          </w:p>
        </w:tc>
        <w:tc>
          <w:tcPr>
            <w:tcW w:w="993" w:type="dxa"/>
            <w:tcMar>
              <w:top w:w="20" w:type="dxa"/>
              <w:left w:w="20" w:type="dxa"/>
              <w:right w:w="20" w:type="dxa"/>
            </w:tcMar>
          </w:tcPr>
          <w:p w14:paraId="2A08E8F0"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Qualitative Research (in-depth interviews)</w:t>
            </w:r>
          </w:p>
        </w:tc>
        <w:tc>
          <w:tcPr>
            <w:tcW w:w="992" w:type="dxa"/>
            <w:tcMar>
              <w:top w:w="20" w:type="dxa"/>
              <w:left w:w="20" w:type="dxa"/>
              <w:right w:w="20" w:type="dxa"/>
            </w:tcMar>
          </w:tcPr>
          <w:p w14:paraId="32DD107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All phases</w:t>
            </w:r>
          </w:p>
        </w:tc>
        <w:tc>
          <w:tcPr>
            <w:tcW w:w="992" w:type="dxa"/>
            <w:tcMar>
              <w:top w:w="20" w:type="dxa"/>
              <w:left w:w="20" w:type="dxa"/>
              <w:right w:w="20" w:type="dxa"/>
            </w:tcMar>
          </w:tcPr>
          <w:p w14:paraId="65CE41F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Youth living with HIV in Canada</w:t>
            </w:r>
          </w:p>
        </w:tc>
        <w:tc>
          <w:tcPr>
            <w:tcW w:w="1985" w:type="dxa"/>
            <w:tcMar>
              <w:top w:w="20" w:type="dxa"/>
              <w:left w:w="20" w:type="dxa"/>
              <w:right w:w="20" w:type="dxa"/>
            </w:tcMar>
          </w:tcPr>
          <w:p w14:paraId="34C536D6"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Detailed description</w:t>
            </w:r>
            <w:r w:rsidRPr="00955929">
              <w:rPr>
                <w:rFonts w:ascii="Calibri" w:eastAsia="Calibri" w:hAnsi="Calibri" w:cs="Calibri"/>
                <w:sz w:val="16"/>
                <w:szCs w:val="16"/>
                <w:lang w:val="en-US"/>
              </w:rPr>
              <w:t xml:space="preserve"> </w:t>
            </w:r>
            <w:r>
              <w:rPr>
                <w:rFonts w:ascii="Calibri" w:eastAsia="Calibri" w:hAnsi="Calibri" w:cs="Calibri"/>
                <w:sz w:val="16"/>
                <w:szCs w:val="16"/>
              </w:rPr>
              <w:t>provided</w:t>
            </w:r>
            <w:r w:rsidRPr="00955929">
              <w:rPr>
                <w:rFonts w:ascii="Calibri" w:eastAsia="Calibri" w:hAnsi="Calibri" w:cs="Calibri"/>
                <w:sz w:val="16"/>
                <w:szCs w:val="16"/>
              </w:rPr>
              <w:t>:</w:t>
            </w:r>
          </w:p>
          <w:p w14:paraId="0CD579A0" w14:textId="77777777" w:rsidR="00E81CF4" w:rsidRPr="00955929" w:rsidRDefault="00E81CF4" w:rsidP="001B29B3">
            <w:pPr>
              <w:pStyle w:val="NormalWeb"/>
              <w:rPr>
                <w:rFonts w:ascii="Calibri" w:eastAsia="Calibri" w:hAnsi="Calibri" w:cs="Calibri"/>
                <w:sz w:val="16"/>
                <w:szCs w:val="16"/>
                <w:lang w:val="en-US"/>
              </w:rPr>
            </w:pPr>
            <w:r w:rsidRPr="00955929">
              <w:rPr>
                <w:rFonts w:ascii="Calibri" w:eastAsia="Calibri" w:hAnsi="Calibri" w:cs="Calibri"/>
                <w:sz w:val="16"/>
                <w:szCs w:val="16"/>
              </w:rPr>
              <w:t xml:space="preserve">27 </w:t>
            </w:r>
            <w:r w:rsidRPr="00955929">
              <w:rPr>
                <w:rFonts w:ascii="Calibri" w:eastAsia="Calibri" w:hAnsi="Calibri" w:cs="Calibri"/>
                <w:sz w:val="16"/>
                <w:szCs w:val="16"/>
                <w:lang w:val="en-US"/>
              </w:rPr>
              <w:t>young people, i</w:t>
            </w:r>
            <w:r w:rsidRPr="00955929">
              <w:rPr>
                <w:rFonts w:ascii="Calibri" w:eastAsia="Calibri" w:hAnsi="Calibri" w:cs="Calibri"/>
                <w:sz w:val="16"/>
                <w:szCs w:val="16"/>
              </w:rPr>
              <w:t>dentif</w:t>
            </w:r>
            <w:r w:rsidRPr="00955929">
              <w:rPr>
                <w:rFonts w:ascii="Calibri" w:eastAsia="Calibri" w:hAnsi="Calibri" w:cs="Calibri"/>
                <w:sz w:val="16"/>
                <w:szCs w:val="16"/>
                <w:lang w:val="en-US"/>
              </w:rPr>
              <w:t>ying</w:t>
            </w:r>
            <w:r w:rsidRPr="00955929">
              <w:rPr>
                <w:rFonts w:ascii="Calibri" w:eastAsia="Calibri" w:hAnsi="Calibri" w:cs="Calibri"/>
                <w:sz w:val="16"/>
                <w:szCs w:val="16"/>
              </w:rPr>
              <w:t xml:space="preserve"> as being present or past members of at least one socially excluded community (e.g., gay, injection-drug-using, or homeless communities)</w:t>
            </w:r>
          </w:p>
        </w:tc>
        <w:tc>
          <w:tcPr>
            <w:tcW w:w="1984" w:type="dxa"/>
            <w:tcMar>
              <w:top w:w="20" w:type="dxa"/>
              <w:left w:w="20" w:type="dxa"/>
              <w:right w:w="20" w:type="dxa"/>
            </w:tcMar>
          </w:tcPr>
          <w:p w14:paraId="74A7A65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C: A few PPI representatives are part of study team and a group of PPI representatives is consulted regularly</w:t>
            </w:r>
          </w:p>
        </w:tc>
        <w:tc>
          <w:tcPr>
            <w:tcW w:w="2977" w:type="dxa"/>
          </w:tcPr>
          <w:p w14:paraId="5EA57926" w14:textId="77777777" w:rsidR="00E81CF4" w:rsidRPr="00955929" w:rsidRDefault="00E81CF4" w:rsidP="001B29B3">
            <w:pPr>
              <w:widowControl w:val="0"/>
              <w:rPr>
                <w:rFonts w:ascii="Calibri" w:eastAsia="Calibri" w:hAnsi="Calibri" w:cs="Calibri"/>
                <w:iCs/>
                <w:sz w:val="16"/>
                <w:szCs w:val="16"/>
              </w:rPr>
            </w:pPr>
            <w:r w:rsidRPr="00955929">
              <w:rPr>
                <w:rFonts w:ascii="Calibri" w:eastAsia="Calibri" w:hAnsi="Calibri" w:cs="Calibri"/>
                <w:iCs/>
                <w:sz w:val="16"/>
                <w:szCs w:val="16"/>
              </w:rPr>
              <w:t>Research team’s socio-cultural competency strengthened; locally acceptable and understandable informed consent procedure and research material; activity itself fostering trust and mutual respect and learning between PPI and researchers; PPI offered different perspectives and better understanding of the data; more productive research output; outcomes are disseminated more widely and are understandable and better applicable in the community</w:t>
            </w:r>
          </w:p>
        </w:tc>
        <w:tc>
          <w:tcPr>
            <w:tcW w:w="3887" w:type="dxa"/>
            <w:tcMar>
              <w:top w:w="20" w:type="dxa"/>
              <w:left w:w="20" w:type="dxa"/>
              <w:right w:w="20" w:type="dxa"/>
            </w:tcMar>
          </w:tcPr>
          <w:p w14:paraId="0D25985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Using PPI slows down the project pace (“more back and forth”); increased workload; added responsibility towards more stakeholders; finding funding with appropriate balance between science and PPI; ongoing power dynamic; lack of clarity about roles and decision-making including possibility to lose control of each stakeholders’ own activity; risk of disclosure/stigma (impeded the dissemination work among others)</w:t>
            </w:r>
          </w:p>
          <w:p w14:paraId="765162BE"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adequate funding earmarked for PPI activities; clear terms of references and memorandum of understanding (agreements); anticipate increased workload and longer study duration; outsource/delegate to independent coordinators</w:t>
            </w:r>
          </w:p>
        </w:tc>
      </w:tr>
      <w:tr w:rsidR="00E81CF4" w:rsidRPr="00E85C51" w14:paraId="7C07611B" w14:textId="77777777" w:rsidTr="001B29B3">
        <w:trPr>
          <w:trHeight w:val="2214"/>
        </w:trPr>
        <w:tc>
          <w:tcPr>
            <w:tcW w:w="567" w:type="dxa"/>
            <w:tcMar>
              <w:top w:w="20" w:type="dxa"/>
              <w:left w:w="20" w:type="dxa"/>
              <w:right w:w="20" w:type="dxa"/>
            </w:tcMar>
          </w:tcPr>
          <w:p w14:paraId="3A9BA6F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Gafos 2020</w:t>
            </w:r>
          </w:p>
          <w:p w14:paraId="006170E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{"citationID":"B0kRLTKA","properties":{"formattedCitation":"(24)","plainCitation":"(24)","noteIndex":0},"citationItems":[{"id":12608,"uris":["http://zotero.org/users/7311068/items/IQ5MIZSV"],"itemData":{"id":12608,"type":"article-journal","abstract":"The PROUD trial, a HIV prevention trial in men who have sex with men and trans women, set out to involve community representatives and trial participants in several ways. PROUD also aimed to evaluate participant involvement, to learn lessons and make recommendations for future clinical trials.","container-title":"Research Involvement and Engagement","DOI":"10.1186/s40900-020-00189-3","ISSN":"2056-7529","issue":"1","journalAbbreviation":"Research Involvement and Engagement","page":"13","source":"BioMed Central","title":"“PROUD to have been involved”: an evaluation of participant and community involvement in the PROUD HIV prevention trial","title-short":"“PROUD to have been involved”","volume":"6","author":[{"family":"Gafos","given":"Mitzy"},{"family":"South","given":"Annabelle"},{"family":"Hanley","given":"Bec"},{"family":"Brodnicki","given":"Elizabeth"},{"family":"Hodson","given":"Matthew"},{"family":"McCormack","given":"Sheena"},{"family":"Witzel","given":"T. Charles"},{"family":"Harbottle","given":"Justin"},{"family":"Vale","given":"Claire"}],"issued":{"date-parts":[["2020",4,17]]}}}],"schema":"https://github.com/citation-style-language/schema/raw/master/csl-citation.json"}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24</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35343A16"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UK</w:t>
            </w:r>
          </w:p>
        </w:tc>
        <w:tc>
          <w:tcPr>
            <w:tcW w:w="567" w:type="dxa"/>
            <w:tcMar>
              <w:top w:w="20" w:type="dxa"/>
              <w:left w:w="20" w:type="dxa"/>
              <w:right w:w="20" w:type="dxa"/>
            </w:tcMar>
          </w:tcPr>
          <w:p w14:paraId="2FA5295F"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2015-2017</w:t>
            </w:r>
          </w:p>
        </w:tc>
        <w:tc>
          <w:tcPr>
            <w:tcW w:w="993" w:type="dxa"/>
            <w:tcMar>
              <w:top w:w="20" w:type="dxa"/>
              <w:left w:w="20" w:type="dxa"/>
              <w:right w:w="20" w:type="dxa"/>
            </w:tcMar>
          </w:tcPr>
          <w:p w14:paraId="6E30FF6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w:t>
            </w:r>
          </w:p>
        </w:tc>
        <w:tc>
          <w:tcPr>
            <w:tcW w:w="992" w:type="dxa"/>
            <w:tcMar>
              <w:top w:w="20" w:type="dxa"/>
              <w:left w:w="20" w:type="dxa"/>
              <w:right w:w="20" w:type="dxa"/>
            </w:tcMar>
          </w:tcPr>
          <w:p w14:paraId="68C2B66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All Phases</w:t>
            </w:r>
          </w:p>
        </w:tc>
        <w:tc>
          <w:tcPr>
            <w:tcW w:w="992" w:type="dxa"/>
            <w:tcMar>
              <w:top w:w="20" w:type="dxa"/>
              <w:left w:w="20" w:type="dxa"/>
              <w:right w:w="20" w:type="dxa"/>
            </w:tcMar>
          </w:tcPr>
          <w:p w14:paraId="10DBAEA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Men who have sex with men and transgender women</w:t>
            </w:r>
          </w:p>
        </w:tc>
        <w:tc>
          <w:tcPr>
            <w:tcW w:w="1985" w:type="dxa"/>
            <w:tcMar>
              <w:top w:w="20" w:type="dxa"/>
              <w:left w:w="20" w:type="dxa"/>
              <w:right w:w="20" w:type="dxa"/>
            </w:tcMar>
          </w:tcPr>
          <w:p w14:paraId="56C75F4E"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Vague description</w:t>
            </w:r>
            <w:r w:rsidRPr="00955929">
              <w:rPr>
                <w:rFonts w:ascii="Calibri" w:eastAsia="Calibri" w:hAnsi="Calibri" w:cs="Calibri"/>
                <w:sz w:val="16"/>
                <w:szCs w:val="16"/>
                <w:lang w:val="en-US"/>
              </w:rPr>
              <w:t xml:space="preserve"> </w:t>
            </w:r>
            <w:r>
              <w:rPr>
                <w:rFonts w:ascii="Calibri" w:eastAsia="Calibri" w:hAnsi="Calibri" w:cs="Calibri"/>
                <w:sz w:val="16"/>
                <w:szCs w:val="16"/>
              </w:rPr>
              <w:t>provided</w:t>
            </w:r>
            <w:r w:rsidRPr="00955929">
              <w:rPr>
                <w:rFonts w:ascii="Calibri" w:eastAsia="Calibri" w:hAnsi="Calibri" w:cs="Calibri"/>
                <w:sz w:val="16"/>
                <w:szCs w:val="16"/>
              </w:rPr>
              <w:t>:</w:t>
            </w:r>
          </w:p>
          <w:p w14:paraId="39A0271A"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Age and residence location</w:t>
            </w:r>
          </w:p>
        </w:tc>
        <w:tc>
          <w:tcPr>
            <w:tcW w:w="1984" w:type="dxa"/>
            <w:tcMar>
              <w:top w:w="20" w:type="dxa"/>
              <w:left w:w="20" w:type="dxa"/>
              <w:right w:w="20" w:type="dxa"/>
            </w:tcMar>
          </w:tcPr>
          <w:p w14:paraId="5008DC46"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C: A few PPI representatives are part of study team and a group of PPI representatives is consulted regularly;</w:t>
            </w:r>
          </w:p>
        </w:tc>
        <w:tc>
          <w:tcPr>
            <w:tcW w:w="2977" w:type="dxa"/>
          </w:tcPr>
          <w:p w14:paraId="7EF73C5F" w14:textId="77777777" w:rsidR="00E81CF4" w:rsidRPr="00955929" w:rsidRDefault="00E81CF4" w:rsidP="001B29B3">
            <w:pPr>
              <w:widowControl w:val="0"/>
              <w:rPr>
                <w:rFonts w:ascii="Calibri" w:eastAsia="Calibri" w:hAnsi="Calibri" w:cs="Calibri"/>
                <w:iCs/>
                <w:sz w:val="16"/>
                <w:szCs w:val="16"/>
              </w:rPr>
            </w:pPr>
            <w:r w:rsidRPr="00955929">
              <w:rPr>
                <w:rFonts w:ascii="Calibri" w:eastAsia="Calibri" w:hAnsi="Calibri" w:cs="Calibri"/>
                <w:iCs/>
                <w:sz w:val="16"/>
                <w:szCs w:val="16"/>
              </w:rPr>
              <w:t>Locally acceptable and understandable informed consent procedure and research material; research conduct more PPI-centered fostering trust and respect in the community; research outcomes are disseminated more widely and are understandable and better applicable in the community</w:t>
            </w:r>
          </w:p>
        </w:tc>
        <w:tc>
          <w:tcPr>
            <w:tcW w:w="3887" w:type="dxa"/>
            <w:tcMar>
              <w:top w:w="20" w:type="dxa"/>
              <w:left w:w="20" w:type="dxa"/>
              <w:right w:w="20" w:type="dxa"/>
            </w:tcMar>
          </w:tcPr>
          <w:p w14:paraId="6DD40BA2"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xml:space="preserve">: PPI activity location (location familiar to some, but not others); not enough action/communication after providing feedback; time and resources; expertise; risk of disclosure/stigma (impeded the dissemination work among others); differing expectations between researchers and PPI members;  </w:t>
            </w:r>
          </w:p>
          <w:p w14:paraId="7ACF4141"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xml:space="preserve">: Choose “neutral” PPI activity location; early advertisement/start of PPI activity (already during protocol development) and advanced notice of individual meetings; representation on advisory boards; structured evaluation of PPI activity; include people with PPI expertise; adequate funding earmarked for PPI activities; offer training and </w:t>
            </w:r>
            <w:r w:rsidRPr="00955929">
              <w:rPr>
                <w:rFonts w:ascii="Calibri" w:eastAsia="Calibri" w:hAnsi="Calibri" w:cs="Calibri"/>
                <w:sz w:val="16"/>
                <w:szCs w:val="16"/>
              </w:rPr>
              <w:lastRenderedPageBreak/>
              <w:t>mentoring in PPI for research staff; clear terms of references and memorandum of understanding (agreements)</w:t>
            </w:r>
          </w:p>
        </w:tc>
      </w:tr>
      <w:tr w:rsidR="00E81CF4" w:rsidRPr="00E85C51" w14:paraId="2693E21A" w14:textId="77777777" w:rsidTr="001B29B3">
        <w:trPr>
          <w:trHeight w:val="2972"/>
        </w:trPr>
        <w:tc>
          <w:tcPr>
            <w:tcW w:w="567" w:type="dxa"/>
            <w:tcMar>
              <w:top w:w="20" w:type="dxa"/>
              <w:left w:w="20" w:type="dxa"/>
              <w:right w:w="20" w:type="dxa"/>
            </w:tcMar>
          </w:tcPr>
          <w:p w14:paraId="42254ACF"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lastRenderedPageBreak/>
              <w:t>Lessard 2019</w:t>
            </w:r>
          </w:p>
          <w:p w14:paraId="2BB3C6B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{"citationID":"GSZPwErT","properties":{"formattedCitation":"(25)","plainCitation":"(25)","noteIndex":0},"citationItems":[{"id":12613,"uris":["http://zotero.org/users/7311068/items/VTWL72L8"],"itemData":{"id":12613,"type":"article-journal","abstract":"BACKGROUND: Patient engagement (PE), patients' meaningful involvement in research through partnerships and sensitivity to their expertise, is receiving attention. However, PE initiatives are poorly reported and little is known about patients' perspective on PE.\nOBJECTIVE: To document and evaluate the first phase (22 months) of a PE Project for the I-Score Study which is developing a patient-reported measure of HIV treatment adherence barriers, we describe the nature of PE conducted, determine the level of PE achieved and present its impacts from the engaged patients' perspective.\nSETTING AND PARTICIPANTS: A Montreal-based committee of ten people with HIV was recruited from community and clinical settings and participated in: I-Score study decision making, knowledge dissemination, research on the experience of people with HIV and the PE project's evaluation.\nMETHODS: The evaluation followed a convergent parallel mixed-methods design. Data collection included participant observation, a satisfaction survey and meeting minutes/transcriptions. Analysis entailed reporting PE activities, generating descriptive statistics and thematically analysing qualitative material.\nRESULTS: PE consisted of twelve meetings, including two focus groups (needs assessment), in addition to four knowledge dissemination activities. PE levels showed an increase: the first four regular meetings entailed information/consultation, while subsequent meetings reached implication/collaboration. Regarding impacts, patients indicated high and stable satisfaction rates (M = 4.4/5; SD = 0.76). Furthermore, thematic analysis identified \"positive interactions,\" \"co-learning,\" \"self-determination,\" and \"the collective management of confidentiality\" as important PE impacts for engaged patients.\nCONCLUSION: This PE Project evaluation highlighted growing engagement levels, high satisfaction rates and the importance of a patient-centric approach to PE.","container-title":"Health Expectations: An International Journal of Public Participation in Health Care and Health Policy","DOI":"10.1111/hex.12845","ISSN":"1369-7625","issue":"2","journalAbbreviation":"Health Expect","language":"eng","note":"PMID: 30375111\nPMCID: PMC6433311","page":"209-225","source":"PubMed","title":"Evaluation of a project to engage patients in the development of a patient-reported measure for HIV care (the I-Score Study)","volume":"22","author":[{"family":"Lessard","given":"David"},{"family":"Engler","given":"Kim"},{"family":"Toupin","given":"Isabelle"},{"literal":"I-Score Consulting Team"},{"family":"Routy","given":"Jean-Pierre"},{"family":"Lebouché","given":"Bertrand"}],"issued":{"date-parts":[["2019",4]]}}}],"schema":"https://github.com/citation-style-language/schema/raw/master/csl-citation.json"}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25</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2ADBE47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Canada</w:t>
            </w:r>
          </w:p>
        </w:tc>
        <w:tc>
          <w:tcPr>
            <w:tcW w:w="567" w:type="dxa"/>
            <w:tcMar>
              <w:top w:w="20" w:type="dxa"/>
              <w:left w:w="20" w:type="dxa"/>
              <w:right w:w="20" w:type="dxa"/>
            </w:tcMar>
          </w:tcPr>
          <w:p w14:paraId="50D8EF6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2015-2017</w:t>
            </w:r>
          </w:p>
        </w:tc>
        <w:tc>
          <w:tcPr>
            <w:tcW w:w="993" w:type="dxa"/>
            <w:tcMar>
              <w:top w:w="20" w:type="dxa"/>
              <w:left w:w="20" w:type="dxa"/>
              <w:right w:w="20" w:type="dxa"/>
            </w:tcMar>
          </w:tcPr>
          <w:p w14:paraId="2D65A03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Research instrument/questionnaire development</w:t>
            </w:r>
          </w:p>
        </w:tc>
        <w:tc>
          <w:tcPr>
            <w:tcW w:w="992" w:type="dxa"/>
            <w:tcMar>
              <w:top w:w="20" w:type="dxa"/>
              <w:left w:w="20" w:type="dxa"/>
              <w:right w:w="20" w:type="dxa"/>
            </w:tcMar>
          </w:tcPr>
          <w:p w14:paraId="2EBFDDE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 and Post-Closure Phase</w:t>
            </w:r>
          </w:p>
        </w:tc>
        <w:tc>
          <w:tcPr>
            <w:tcW w:w="992" w:type="dxa"/>
            <w:tcMar>
              <w:top w:w="20" w:type="dxa"/>
              <w:left w:w="20" w:type="dxa"/>
              <w:right w:w="20" w:type="dxa"/>
            </w:tcMar>
          </w:tcPr>
          <w:p w14:paraId="11B0E02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PLWH in Quebec, Canada</w:t>
            </w:r>
          </w:p>
        </w:tc>
        <w:tc>
          <w:tcPr>
            <w:tcW w:w="1985" w:type="dxa"/>
            <w:tcMar>
              <w:top w:w="20" w:type="dxa"/>
              <w:left w:w="20" w:type="dxa"/>
              <w:right w:w="20" w:type="dxa"/>
            </w:tcMar>
          </w:tcPr>
          <w:p w14:paraId="49940DF6"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 xml:space="preserve">Detailed description </w:t>
            </w:r>
            <w:r>
              <w:rPr>
                <w:rFonts w:ascii="Calibri" w:eastAsia="Calibri" w:hAnsi="Calibri" w:cs="Calibri"/>
                <w:sz w:val="16"/>
                <w:szCs w:val="16"/>
              </w:rPr>
              <w:t>provided</w:t>
            </w:r>
            <w:r w:rsidRPr="00955929">
              <w:rPr>
                <w:rFonts w:ascii="Calibri" w:eastAsia="Calibri" w:hAnsi="Calibri" w:cs="Calibri"/>
                <w:sz w:val="16"/>
                <w:szCs w:val="16"/>
              </w:rPr>
              <w:t>:</w:t>
            </w:r>
          </w:p>
          <w:p w14:paraId="4FE86F62" w14:textId="77777777" w:rsidR="00E81CF4" w:rsidRPr="00955929" w:rsidRDefault="00E81CF4" w:rsidP="001B29B3">
            <w:pPr>
              <w:pStyle w:val="NormalWeb"/>
              <w:rPr>
                <w:rFonts w:ascii="Calibri" w:hAnsi="Calibri" w:cs="Calibri"/>
                <w:sz w:val="16"/>
                <w:szCs w:val="16"/>
                <w:lang w:val="en-US"/>
              </w:rPr>
            </w:pPr>
            <w:r w:rsidRPr="00955929">
              <w:rPr>
                <w:rFonts w:ascii="Calibri" w:eastAsia="Calibri" w:hAnsi="Calibri" w:cs="Calibri"/>
                <w:sz w:val="16"/>
                <w:szCs w:val="16"/>
              </w:rPr>
              <w:t>10 diverse members living with HIV in Quebec: man who has sex with men, man who has sex with women, person who inject drugs, queer, woman who has sex with men, African origin, White/European origin</w:t>
            </w:r>
          </w:p>
        </w:tc>
        <w:tc>
          <w:tcPr>
            <w:tcW w:w="1984" w:type="dxa"/>
            <w:tcMar>
              <w:top w:w="20" w:type="dxa"/>
              <w:left w:w="20" w:type="dxa"/>
              <w:right w:w="20" w:type="dxa"/>
            </w:tcMar>
          </w:tcPr>
          <w:p w14:paraId="2305D45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B: The same group of PPI representatives is consulted regularly throughout the study</w:t>
            </w:r>
          </w:p>
        </w:tc>
        <w:tc>
          <w:tcPr>
            <w:tcW w:w="2977" w:type="dxa"/>
          </w:tcPr>
          <w:p w14:paraId="31B03AB1" w14:textId="77777777" w:rsidR="00E81CF4" w:rsidRPr="00955929" w:rsidRDefault="00E81CF4" w:rsidP="001B29B3">
            <w:pPr>
              <w:widowControl w:val="0"/>
              <w:rPr>
                <w:rFonts w:ascii="Calibri" w:eastAsia="Calibri" w:hAnsi="Calibri" w:cs="Calibri"/>
                <w:iCs/>
                <w:sz w:val="16"/>
                <w:szCs w:val="16"/>
              </w:rPr>
            </w:pPr>
            <w:r w:rsidRPr="00955929">
              <w:rPr>
                <w:rFonts w:ascii="Calibri" w:eastAsia="Calibri" w:hAnsi="Calibri" w:cs="Calibri"/>
                <w:iCs/>
                <w:sz w:val="16"/>
                <w:szCs w:val="16"/>
              </w:rPr>
              <w:t>Research team’s socio-cultural competency strengthened; locally acceptable and understandable and research material; activity itself fostering trust and mutual respect and learning between PPI and researchers</w:t>
            </w:r>
          </w:p>
        </w:tc>
        <w:tc>
          <w:tcPr>
            <w:tcW w:w="3887" w:type="dxa"/>
            <w:tcMar>
              <w:top w:w="20" w:type="dxa"/>
              <w:left w:w="20" w:type="dxa"/>
              <w:right w:w="20" w:type="dxa"/>
            </w:tcMar>
          </w:tcPr>
          <w:p w14:paraId="50C86267"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risk of disclosure/stigma (impeded the dissemination work among others); differing expectations between researchers and PPI members; professional background of PPI members sometimes ignored; and representativeness (lack of diversity among PPI team)</w:t>
            </w:r>
          </w:p>
          <w:p w14:paraId="3273FBE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ensure anonymity (e.g. co-authoring a publication under a collective label); clear terms of references and memorandum of understanding (agreements); explore alternative PPI methods to achieve a more inclusive PPI group (online, collaborate more closely with community-based patient groups)</w:t>
            </w:r>
          </w:p>
        </w:tc>
      </w:tr>
      <w:tr w:rsidR="00E81CF4" w:rsidRPr="00E85C51" w14:paraId="4AF858F3" w14:textId="77777777" w:rsidTr="001B29B3">
        <w:trPr>
          <w:trHeight w:val="2195"/>
        </w:trPr>
        <w:tc>
          <w:tcPr>
            <w:tcW w:w="567" w:type="dxa"/>
            <w:tcMar>
              <w:top w:w="20" w:type="dxa"/>
              <w:left w:w="20" w:type="dxa"/>
              <w:right w:w="20" w:type="dxa"/>
            </w:tcMar>
          </w:tcPr>
          <w:p w14:paraId="1255CBB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Lessard 2020</w:t>
            </w:r>
          </w:p>
          <w:p w14:paraId="00754E9B"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{"citationID":"K7Xcuc68","properties":{"formattedCitation":"(26)","plainCitation":"(26)","noteIndex":0},"citationItems":[{"id":12616,"uris":["http://zotero.org/users/7311068/items/2TQ824S3"],"itemData":{"id":12616,"type":"article-journal","abstract":"Patient engagement (PE) promotes collaboration between stakeholders (researchers, patients, clinicians, etc). It often faces challenges due to tensions between its ethical/political and scientific underpinnings. This article explores how stakeholders applied the guiding principles of a PE project (\"co-build,\" \"support and mutual respect,\" and \"inclusiveness\") for an HIV clinical research program initiated in January 2016. Three researchers/clinicians, a PE agent, and 2 patients held 3 meetings (June-October 2018) to discuss challenges faced and how these impacted their approach to PE. Regular stakeholder discussions about PE in clinical research could be documented and help guide PE to better meet stakeholder needs.","container-title":"Journal of Patient Experience","DOI":"10.1177/2374373520975728","ISSN":"2374-3735","issue":"6","journalAbbreviation":"J Patient Exp","language":"eng","note":"PMID: 33457522\nPMCID: PMC7786743","page":"925-930","source":"PubMed","title":"Challenges of Patient Engagement in an HIV Clinical Research Program: A Qualitative Analysis of Stakeholder Accounts","title-short":"Challenges of Patient Engagement in an HIV Clinical Research Program","volume":"7","author":[{"family":"Lessard","given":"David"},{"family":"Engler","given":"Kim"},{"family":"Vicente","given":"Serge"},{"family":"Bilodeau","given":"Martin"},{"family":"Lebouché","given":"Bertrand"}],"issued":{"date-parts":[["2020",12]]}}}],"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26</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2F552DFB"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Canada</w:t>
            </w:r>
          </w:p>
        </w:tc>
        <w:tc>
          <w:tcPr>
            <w:tcW w:w="567" w:type="dxa"/>
            <w:tcMar>
              <w:top w:w="20" w:type="dxa"/>
              <w:left w:w="20" w:type="dxa"/>
              <w:right w:w="20" w:type="dxa"/>
            </w:tcMar>
          </w:tcPr>
          <w:p w14:paraId="71D1CD5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2018</w:t>
            </w:r>
          </w:p>
        </w:tc>
        <w:tc>
          <w:tcPr>
            <w:tcW w:w="993" w:type="dxa"/>
            <w:tcMar>
              <w:top w:w="20" w:type="dxa"/>
              <w:left w:w="20" w:type="dxa"/>
              <w:right w:w="20" w:type="dxa"/>
            </w:tcMar>
          </w:tcPr>
          <w:p w14:paraId="18BED80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 and Research instrument/questionnaire development</w:t>
            </w:r>
          </w:p>
        </w:tc>
        <w:tc>
          <w:tcPr>
            <w:tcW w:w="992" w:type="dxa"/>
            <w:tcMar>
              <w:top w:w="20" w:type="dxa"/>
              <w:left w:w="20" w:type="dxa"/>
              <w:right w:w="20" w:type="dxa"/>
            </w:tcMar>
          </w:tcPr>
          <w:p w14:paraId="6C71A7B4"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 and Post-Closure Phase</w:t>
            </w:r>
          </w:p>
        </w:tc>
        <w:tc>
          <w:tcPr>
            <w:tcW w:w="992" w:type="dxa"/>
            <w:tcMar>
              <w:top w:w="20" w:type="dxa"/>
              <w:left w:w="20" w:type="dxa"/>
              <w:right w:w="20" w:type="dxa"/>
            </w:tcMar>
          </w:tcPr>
          <w:p w14:paraId="5F3BA291"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PLWH in Quebec, Canada</w:t>
            </w:r>
          </w:p>
        </w:tc>
        <w:tc>
          <w:tcPr>
            <w:tcW w:w="1985" w:type="dxa"/>
            <w:tcMar>
              <w:top w:w="20" w:type="dxa"/>
              <w:left w:w="20" w:type="dxa"/>
              <w:right w:w="20" w:type="dxa"/>
            </w:tcMar>
          </w:tcPr>
          <w:p w14:paraId="0DD89063"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Vague description</w:t>
            </w:r>
            <w:r w:rsidRPr="00955929">
              <w:rPr>
                <w:rFonts w:ascii="Calibri" w:eastAsia="Calibri" w:hAnsi="Calibri" w:cs="Calibri"/>
                <w:sz w:val="16"/>
                <w:szCs w:val="16"/>
                <w:lang w:val="en-US"/>
              </w:rPr>
              <w:t xml:space="preserve"> </w:t>
            </w:r>
            <w:r>
              <w:rPr>
                <w:rFonts w:ascii="Calibri" w:eastAsia="Calibri" w:hAnsi="Calibri" w:cs="Calibri"/>
                <w:sz w:val="16"/>
                <w:szCs w:val="16"/>
              </w:rPr>
              <w:t>provided</w:t>
            </w:r>
            <w:r w:rsidRPr="00955929">
              <w:rPr>
                <w:rFonts w:ascii="Calibri" w:eastAsia="Calibri" w:hAnsi="Calibri" w:cs="Calibri"/>
                <w:sz w:val="16"/>
                <w:szCs w:val="16"/>
              </w:rPr>
              <w:t>:</w:t>
            </w:r>
          </w:p>
          <w:p w14:paraId="4827D52B" w14:textId="77777777" w:rsidR="00E81CF4" w:rsidRPr="00955929" w:rsidRDefault="00E81CF4" w:rsidP="001B29B3">
            <w:pPr>
              <w:pStyle w:val="NormalWeb"/>
              <w:rPr>
                <w:rFonts w:ascii="Calibri" w:hAnsi="Calibri" w:cs="Calibri"/>
                <w:sz w:val="16"/>
                <w:szCs w:val="16"/>
                <w:lang w:val="en-US"/>
              </w:rPr>
            </w:pPr>
            <w:r w:rsidRPr="00955929">
              <w:rPr>
                <w:rFonts w:ascii="Calibri" w:eastAsia="Calibri" w:hAnsi="Calibri" w:cs="Calibri"/>
                <w:sz w:val="16"/>
                <w:szCs w:val="16"/>
              </w:rPr>
              <w:t>Probably most were Caucasian men, some with migration background, and at least one female patient of African origin</w:t>
            </w:r>
            <w:r w:rsidRPr="00955929">
              <w:rPr>
                <w:rFonts w:ascii="Calibri" w:hAnsi="Calibri" w:cs="Calibri"/>
                <w:sz w:val="16"/>
                <w:szCs w:val="16"/>
              </w:rPr>
              <w:t xml:space="preserve"> </w:t>
            </w:r>
          </w:p>
        </w:tc>
        <w:tc>
          <w:tcPr>
            <w:tcW w:w="1984" w:type="dxa"/>
            <w:tcMar>
              <w:top w:w="20" w:type="dxa"/>
              <w:left w:w="20" w:type="dxa"/>
              <w:right w:w="20" w:type="dxa"/>
            </w:tcMar>
          </w:tcPr>
          <w:p w14:paraId="3B29BD1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Model C: A few PPI representatives are part of study team and a group of PPI representatives is consulted regularly (here: a “Patient Engagement agent”)</w:t>
            </w:r>
          </w:p>
        </w:tc>
        <w:tc>
          <w:tcPr>
            <w:tcW w:w="2977" w:type="dxa"/>
          </w:tcPr>
          <w:p w14:paraId="4B481FD4" w14:textId="77777777" w:rsidR="00E81CF4" w:rsidRPr="00955929" w:rsidRDefault="00E81CF4" w:rsidP="001B29B3">
            <w:pPr>
              <w:widowControl w:val="0"/>
              <w:rPr>
                <w:rFonts w:ascii="Calibri" w:eastAsia="Calibri" w:hAnsi="Calibri" w:cs="Calibri"/>
                <w:iCs/>
                <w:sz w:val="16"/>
                <w:szCs w:val="16"/>
              </w:rPr>
            </w:pPr>
            <w:r w:rsidRPr="00955929">
              <w:rPr>
                <w:rFonts w:ascii="Calibri" w:eastAsia="Calibri" w:hAnsi="Calibri" w:cs="Calibri"/>
                <w:iCs/>
                <w:sz w:val="16"/>
                <w:szCs w:val="16"/>
              </w:rPr>
              <w:t>Not reported, only challenges and mitigation strategies</w:t>
            </w:r>
          </w:p>
        </w:tc>
        <w:tc>
          <w:tcPr>
            <w:tcW w:w="3887" w:type="dxa"/>
            <w:tcMar>
              <w:top w:w="20" w:type="dxa"/>
              <w:left w:w="20" w:type="dxa"/>
              <w:right w:w="20" w:type="dxa"/>
            </w:tcMar>
          </w:tcPr>
          <w:p w14:paraId="28F9E740"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Challenges</w:t>
            </w:r>
            <w:r w:rsidRPr="00955929">
              <w:rPr>
                <w:rFonts w:ascii="Calibri" w:eastAsia="Calibri" w:hAnsi="Calibri" w:cs="Calibri"/>
                <w:sz w:val="16"/>
                <w:szCs w:val="16"/>
              </w:rPr>
              <w:t>: differing levels of understanding of PPI members about health research methods; PPI members diverted from initially assigned tasks; time and resources; risk of disclosure/stigma (impeded the dissemination work among others); and representativeness (lack of diversity among PPI team)</w:t>
            </w:r>
          </w:p>
          <w:p w14:paraId="162956E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clear terms of references and memorandum of understanding (agreements); allow for some flexibility in the agreement of PPI tasks; broaden the PPI activity (e.g. add an additional type of PPI model); anticipate increased workload and longer study duration; increasing emphasis on academic or professional experience and tailor involvement accordingly</w:t>
            </w:r>
          </w:p>
        </w:tc>
      </w:tr>
      <w:tr w:rsidR="00E81CF4" w:rsidRPr="00E85C51" w14:paraId="3514B814" w14:textId="77777777" w:rsidTr="001B29B3">
        <w:trPr>
          <w:trHeight w:val="757"/>
        </w:trPr>
        <w:tc>
          <w:tcPr>
            <w:tcW w:w="567" w:type="dxa"/>
            <w:tcMar>
              <w:top w:w="20" w:type="dxa"/>
              <w:left w:w="20" w:type="dxa"/>
              <w:right w:w="20" w:type="dxa"/>
            </w:tcMar>
          </w:tcPr>
          <w:p w14:paraId="34794B7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Mott 2008</w:t>
            </w:r>
          </w:p>
          <w:p w14:paraId="2C51620F"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{"citationID":"9LAo0PfC","properties":{"formattedCitation":"(27)","plainCitation":"(27)","noteIndex":0},"citationItems":[{"id":12619,"uris":["http://zotero.org/users/7311068/items/MVQEKB2D"],"itemData":{"id":12619,"type":"article-journal","abstract":"OBJECTIVE: To describe the theoretical principles that guided the establishment of Project Eban's Community Advisory Boards (CABs), their functions, and composition; the selection and recruitment processes; lessons learned; and recommendations on the use of CABs in multisite HIV clinical trial studies.\nMETHODS: In the first year of Project Eban's implementation, each of the 4 sites formed a local CAB. Member recruitment took place during the first 6 months of the study. On average, each site's CAB consisted of 13-19 stakeholders, with a total of 62 members for the multisite study, including leaders of HIV/AIDS-related community-based organizations (CBOs), hospital-based HIV/AIDS service providers, HIV/AIDS network leaders in minority communities, CBOs that serve predominantly black communities, and consumers.\nRESULTS: Each of the CAB members has expressed a strong commitment to assisting in the conduct of the research. CABs are integral to the success of the study, and their input is highly respected and used to improve the quality of the research.\nCONCLUSIONS: This article highlights the importance of CABs in the conduct of HIV multisite clinical trials and their roles in making the study culturally congruent to meet the needs of the black community in dealing with the HIV epidemic.","container-title":"Journal of Acquired Immune Deficiency Syndromes (1999)","DOI":"10.1097/QAI.0b013e31818447f5","ISSN":"1525-4135","issue":"Suppl 1","journalAbbreviation":"J Acquir Immune Defic Syndr","language":"eng","note":"PMID: 18724193\nPMCID: PMC2853920","page":"S68-74","source":"PubMed","title":"The role of Community Advisory Boards (CABs) in Project Eban","volume":"49 Suppl 1","author":[{"literal":"NIMH Multisite HIV/STD Prevention Trial for African American Couples Group"}],"issued":{"date-parts":[["2008",9,1]]}}}],"schema":"https://github.com/citation-style-language/schema/raw/master/csl-citation.json"}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27</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492BB204"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United States of America</w:t>
            </w:r>
          </w:p>
        </w:tc>
        <w:tc>
          <w:tcPr>
            <w:tcW w:w="567" w:type="dxa"/>
            <w:tcMar>
              <w:top w:w="20" w:type="dxa"/>
              <w:left w:w="20" w:type="dxa"/>
              <w:right w:w="20" w:type="dxa"/>
            </w:tcMar>
          </w:tcPr>
          <w:p w14:paraId="2C5911C1"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2003</w:t>
            </w:r>
          </w:p>
        </w:tc>
        <w:tc>
          <w:tcPr>
            <w:tcW w:w="993" w:type="dxa"/>
            <w:tcMar>
              <w:top w:w="20" w:type="dxa"/>
              <w:left w:w="20" w:type="dxa"/>
              <w:right w:w="20" w:type="dxa"/>
            </w:tcMar>
          </w:tcPr>
          <w:p w14:paraId="700AEBD5"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 xml:space="preserve">Prospective Clinical Trial </w:t>
            </w:r>
          </w:p>
        </w:tc>
        <w:tc>
          <w:tcPr>
            <w:tcW w:w="992" w:type="dxa"/>
            <w:tcMar>
              <w:top w:w="20" w:type="dxa"/>
              <w:left w:w="20" w:type="dxa"/>
              <w:right w:w="20" w:type="dxa"/>
            </w:tcMar>
          </w:tcPr>
          <w:p w14:paraId="6E06389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Planning Phase and Implementation Phase</w:t>
            </w:r>
          </w:p>
        </w:tc>
        <w:tc>
          <w:tcPr>
            <w:tcW w:w="992" w:type="dxa"/>
            <w:tcMar>
              <w:top w:w="20" w:type="dxa"/>
              <w:left w:w="20" w:type="dxa"/>
              <w:right w:w="20" w:type="dxa"/>
            </w:tcMar>
          </w:tcPr>
          <w:p w14:paraId="7FB626E9"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African American HIV serodiscordant heterosexual couples</w:t>
            </w:r>
          </w:p>
        </w:tc>
        <w:tc>
          <w:tcPr>
            <w:tcW w:w="1985" w:type="dxa"/>
            <w:tcMar>
              <w:top w:w="20" w:type="dxa"/>
              <w:left w:w="20" w:type="dxa"/>
              <w:right w:w="20" w:type="dxa"/>
            </w:tcMar>
          </w:tcPr>
          <w:p w14:paraId="09FFB70D"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Detailed description</w:t>
            </w:r>
            <w:r>
              <w:rPr>
                <w:rFonts w:ascii="Calibri" w:eastAsia="Calibri" w:hAnsi="Calibri" w:cs="Calibri"/>
                <w:sz w:val="16"/>
                <w:szCs w:val="16"/>
              </w:rPr>
              <w:t xml:space="preserve"> provided</w:t>
            </w:r>
            <w:r w:rsidRPr="00955929">
              <w:rPr>
                <w:rFonts w:ascii="Calibri" w:eastAsia="Calibri" w:hAnsi="Calibri" w:cs="Calibri"/>
                <w:sz w:val="16"/>
                <w:szCs w:val="16"/>
              </w:rPr>
              <w:t>:</w:t>
            </w:r>
          </w:p>
          <w:p w14:paraId="321E31AF"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lang w:val="en-US"/>
              </w:rPr>
              <w:t xml:space="preserve">4 sites totaled 62, with each site’s Community Advisory </w:t>
            </w:r>
            <w:r w:rsidRPr="00955929">
              <w:rPr>
                <w:rFonts w:ascii="Calibri" w:eastAsia="Calibri" w:hAnsi="Calibri" w:cs="Calibri"/>
                <w:sz w:val="16"/>
                <w:szCs w:val="16"/>
                <w:lang w:val="en-US"/>
              </w:rPr>
              <w:lastRenderedPageBreak/>
              <w:t xml:space="preserve">Board having between 13 and 19 stakeholders; black </w:t>
            </w:r>
            <w:r w:rsidRPr="00955929">
              <w:rPr>
                <w:rFonts w:ascii="Calibri" w:eastAsia="Calibri" w:hAnsi="Calibri" w:cs="Calibri"/>
                <w:sz w:val="16"/>
                <w:szCs w:val="16"/>
              </w:rPr>
              <w:t>or African American or work</w:t>
            </w:r>
            <w:r w:rsidRPr="00955929">
              <w:rPr>
                <w:rFonts w:ascii="Calibri" w:eastAsia="Calibri" w:hAnsi="Calibri" w:cs="Calibri"/>
                <w:sz w:val="16"/>
                <w:szCs w:val="16"/>
                <w:lang w:val="en-US"/>
              </w:rPr>
              <w:t>ing</w:t>
            </w:r>
            <w:r w:rsidRPr="00955929">
              <w:rPr>
                <w:rFonts w:ascii="Calibri" w:eastAsia="Calibri" w:hAnsi="Calibri" w:cs="Calibri"/>
                <w:sz w:val="16"/>
                <w:szCs w:val="16"/>
              </w:rPr>
              <w:t xml:space="preserve"> in organizations</w:t>
            </w:r>
            <w:r w:rsidRPr="00955929">
              <w:rPr>
                <w:rFonts w:ascii="Calibri" w:eastAsia="Calibri" w:hAnsi="Calibri" w:cs="Calibri"/>
                <w:sz w:val="16"/>
                <w:szCs w:val="16"/>
                <w:lang w:val="en-US"/>
              </w:rPr>
              <w:t xml:space="preserve"> </w:t>
            </w:r>
            <w:r w:rsidRPr="00955929">
              <w:rPr>
                <w:rFonts w:ascii="Calibri" w:eastAsia="Calibri" w:hAnsi="Calibri" w:cs="Calibri"/>
                <w:sz w:val="16"/>
                <w:szCs w:val="16"/>
              </w:rPr>
              <w:t>that serve black individuals</w:t>
            </w:r>
            <w:r w:rsidRPr="00955929">
              <w:rPr>
                <w:rFonts w:ascii="Calibri" w:hAnsi="Calibri" w:cs="Calibri"/>
                <w:sz w:val="16"/>
                <w:szCs w:val="16"/>
              </w:rPr>
              <w:t xml:space="preserve"> </w:t>
            </w:r>
          </w:p>
          <w:p w14:paraId="4B64D6BF" w14:textId="77777777" w:rsidR="00E81CF4" w:rsidRPr="00955929" w:rsidRDefault="00E81CF4" w:rsidP="001B29B3">
            <w:pPr>
              <w:pStyle w:val="NormalWeb"/>
              <w:rPr>
                <w:rFonts w:ascii="Calibri" w:eastAsia="Calibri" w:hAnsi="Calibri" w:cs="Calibri"/>
                <w:sz w:val="16"/>
                <w:szCs w:val="16"/>
              </w:rPr>
            </w:pPr>
          </w:p>
        </w:tc>
        <w:tc>
          <w:tcPr>
            <w:tcW w:w="1984" w:type="dxa"/>
            <w:tcMar>
              <w:top w:w="20" w:type="dxa"/>
              <w:left w:w="20" w:type="dxa"/>
              <w:right w:w="20" w:type="dxa"/>
            </w:tcMar>
          </w:tcPr>
          <w:p w14:paraId="768F44D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lastRenderedPageBreak/>
              <w:t>Model B: The same group of PPI representatives is consulted regularly throughout the study</w:t>
            </w:r>
          </w:p>
        </w:tc>
        <w:tc>
          <w:tcPr>
            <w:tcW w:w="2977" w:type="dxa"/>
          </w:tcPr>
          <w:p w14:paraId="7151A634" w14:textId="77777777" w:rsidR="00E81CF4" w:rsidRPr="00955929" w:rsidRDefault="00E81CF4" w:rsidP="001B29B3">
            <w:pPr>
              <w:widowControl w:val="0"/>
              <w:rPr>
                <w:rFonts w:ascii="Calibri" w:eastAsia="Calibri" w:hAnsi="Calibri" w:cs="Calibri"/>
                <w:i/>
                <w:sz w:val="16"/>
                <w:szCs w:val="16"/>
              </w:rPr>
            </w:pPr>
            <w:r w:rsidRPr="00955929">
              <w:rPr>
                <w:rFonts w:ascii="Calibri" w:eastAsia="Calibri" w:hAnsi="Calibri" w:cs="Calibri"/>
                <w:iCs/>
                <w:sz w:val="16"/>
                <w:szCs w:val="16"/>
              </w:rPr>
              <w:t xml:space="preserve">Research team’s socio-cultural competency strengthened; locally acceptable and understandable informed consent procedure and research material; research conduct more PPI-centered </w:t>
            </w:r>
            <w:r w:rsidRPr="00955929">
              <w:rPr>
                <w:rFonts w:ascii="Calibri" w:eastAsia="Calibri" w:hAnsi="Calibri" w:cs="Calibri"/>
                <w:iCs/>
                <w:sz w:val="16"/>
                <w:szCs w:val="16"/>
              </w:rPr>
              <w:lastRenderedPageBreak/>
              <w:t>fostering trust and respect in the community; activity itself fostering trust and mutual respect and learning between PPI and researchers; research outcomes are disseminated more widely and are understandable and better applicable in the community</w:t>
            </w:r>
          </w:p>
        </w:tc>
        <w:tc>
          <w:tcPr>
            <w:tcW w:w="3887" w:type="dxa"/>
            <w:tcMar>
              <w:top w:w="20" w:type="dxa"/>
              <w:left w:w="20" w:type="dxa"/>
              <w:right w:w="20" w:type="dxa"/>
            </w:tcMar>
          </w:tcPr>
          <w:p w14:paraId="64620383"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lastRenderedPageBreak/>
              <w:t>Challenges</w:t>
            </w:r>
            <w:r w:rsidRPr="00955929">
              <w:rPr>
                <w:rFonts w:ascii="Calibri" w:eastAsia="Calibri" w:hAnsi="Calibri" w:cs="Calibri"/>
                <w:sz w:val="16"/>
                <w:szCs w:val="16"/>
              </w:rPr>
              <w:t xml:space="preserve">: differing levels of understanding of PPI members about health research methods; PPI members diverted from initially assigned tasks; </w:t>
            </w:r>
          </w:p>
          <w:p w14:paraId="1F2DA4B7"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
                <w:sz w:val="16"/>
                <w:szCs w:val="16"/>
              </w:rPr>
              <w:t>Mitigation</w:t>
            </w:r>
            <w:r w:rsidRPr="00955929">
              <w:rPr>
                <w:rFonts w:ascii="Calibri" w:eastAsia="Calibri" w:hAnsi="Calibri" w:cs="Calibri"/>
                <w:sz w:val="16"/>
                <w:szCs w:val="16"/>
              </w:rPr>
              <w:t xml:space="preserve">: clear terms of references and memorandum of understanding (agreements); clear explanation of health </w:t>
            </w:r>
            <w:r w:rsidRPr="00955929">
              <w:rPr>
                <w:rFonts w:ascii="Calibri" w:eastAsia="Calibri" w:hAnsi="Calibri" w:cs="Calibri"/>
                <w:sz w:val="16"/>
                <w:szCs w:val="16"/>
              </w:rPr>
              <w:lastRenderedPageBreak/>
              <w:t>research methods including training material tailored to the different stakeholders involved; adequate funding earmarked for PPI activities; clear and context-sensitive communication; structured evaluation of PPI activity; offer training and mentoring in PPI for research staff</w:t>
            </w:r>
          </w:p>
        </w:tc>
      </w:tr>
      <w:tr w:rsidR="00E81CF4" w:rsidRPr="00E85C51" w14:paraId="07150C8D" w14:textId="77777777" w:rsidTr="001B29B3">
        <w:trPr>
          <w:trHeight w:val="1514"/>
        </w:trPr>
        <w:tc>
          <w:tcPr>
            <w:tcW w:w="567" w:type="dxa"/>
            <w:tcMar>
              <w:top w:w="20" w:type="dxa"/>
              <w:left w:w="20" w:type="dxa"/>
              <w:right w:w="20" w:type="dxa"/>
            </w:tcMar>
          </w:tcPr>
          <w:p w14:paraId="76E6A88F"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lastRenderedPageBreak/>
              <w:t>South 2016</w:t>
            </w:r>
          </w:p>
          <w:p w14:paraId="09DD793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w:t>
            </w:r>
            <w:r w:rsidRPr="00955929">
              <w:rPr>
                <w:rFonts w:ascii="Calibri" w:eastAsia="Calibri" w:hAnsi="Calibri" w:cs="Calibri"/>
                <w:sz w:val="16"/>
                <w:szCs w:val="16"/>
              </w:rPr>
              <w:fldChar w:fldCharType="begin"/>
            </w:r>
            <w:r w:rsidRPr="00955929">
              <w:rPr>
                <w:rFonts w:ascii="Calibri" w:eastAsia="Calibri" w:hAnsi="Calibri" w:cs="Calibri"/>
                <w:sz w:val="16"/>
                <w:szCs w:val="16"/>
              </w:rPr>
              <w:instrText xml:space="preserve"> ADDIN ZOTERO_ITEM CSL_CITATION {"citationID":"dPn7awhJ","properties":{"formattedCitation":"(28)","plainCitation":"(28)","noteIndex":0},"citationItems":[{"id":12622,"uris":["http://zotero.org/users/7311068/items/IJDK7MKC"],"itemData":{"id":12622,"type":"article-journal","abstract":"BACKGROUND: Patient and public involvement (PPI) in studies carried out by the UK Medical Research Council Clinical Trials Unit (MRC CTU) at University College London varies by research type and setting. We developed a series of case studies of PPI to document and share good practice.\nMETHODS: We used purposive sampling to identify studies representing the scope of research at the MRC CTU and different approaches to PPI. We carried out semi-structured interviews with staff and patient representatives. Interview notes were analysed descriptively to categorise the main aims and motivations for involvement; activities undertaken; their impact on the studies and lessons learned.\nRESULTS: We conducted 19 interviews about ten case studies, comprising one systematic review, one observational study and 8 randomised controlled trials in HIV and cancer. Studies were either open or completed, with start dates between 2003 and 2011. Interviews took place between March and November 2014 and were updated in summer 2015 where there had been significant developments in the study (i.e. if the study had presented results subsequent to the interview taking place). A wide range of PPI models, including representation on trial committees or management groups, community engagement, one-off task-focused activities, patient research partners and participant involvement had been used. Overall, interviewees felt that PPI had a positive impact, leading to improvements, for example in the research question; study design; communication with potential participants; study recruitment; confidence to carry out or complete a study; interpretation and communication of results; and influence on future research.\nCONCLUSIONS: A range of models of PPI can benefit clinical studies. Researchers should consider different approaches to PPI, based on the desired impact and the people they want to involve. Use of multiple models may increase the potential impacts of PPI in clinical research.","container-title":"Trials","DOI":"10.1186/s13063-016-1488-9","ISSN":"1745-6215","journalAbbreviation":"Trials","language":"eng","note":"PMID: 27473060\nPMCID: PMC4966697","page":"376","source":"PubMed","title":"Models and impact of patient and public involvement in studies carried out by the Medical Research Council Clinical Trials Unit at University College London: findings from ten case studies","title-short":"Models and impact of patient and public involvement in studies carried out by the Medical Research Council Clinical Trials Unit at University College London","volume":"17","author":[{"family":"South","given":"Annabelle"},{"family":"Hanley","given":"Bec"},{"family":"Gafos","given":"Mitzy"},{"family":"Cromarty","given":"Ben"},{"family":"Stephens","given":"Richard"},{"family":"Sturgeon","given":"Kate"},{"family":"Scott","given":"Karen"},{"family":"Cragg","given":"William J."},{"family":"Tweed","given":"Conor D."},{"family":"Teera","given":"Jacqueline"},{"family":"Vale","given":"Claire L."}],"issued":{"date-parts":[["2016",7,29]]}}}],"schema":"https://github.com/citation-style-language/schema/raw/master/csl-citation.json"} </w:instrText>
            </w:r>
            <w:r w:rsidRPr="00955929">
              <w:rPr>
                <w:rFonts w:ascii="Calibri" w:eastAsia="Calibri" w:hAnsi="Calibri" w:cs="Calibri"/>
                <w:sz w:val="16"/>
                <w:szCs w:val="16"/>
              </w:rPr>
              <w:fldChar w:fldCharType="separate"/>
            </w:r>
            <w:r w:rsidRPr="00955929">
              <w:rPr>
                <w:rFonts w:ascii="Calibri" w:eastAsia="Calibri" w:hAnsi="Calibri" w:cs="Calibri"/>
                <w:noProof/>
                <w:sz w:val="16"/>
                <w:szCs w:val="16"/>
              </w:rPr>
              <w:t>28</w:t>
            </w:r>
            <w:r w:rsidRPr="00955929">
              <w:rPr>
                <w:rFonts w:ascii="Calibri" w:eastAsia="Calibri" w:hAnsi="Calibri" w:cs="Calibri"/>
                <w:sz w:val="16"/>
                <w:szCs w:val="16"/>
              </w:rPr>
              <w:fldChar w:fldCharType="end"/>
            </w:r>
            <w:r w:rsidRPr="00955929">
              <w:rPr>
                <w:rFonts w:ascii="Calibri" w:eastAsia="Calibri" w:hAnsi="Calibri" w:cs="Calibri"/>
                <w:sz w:val="16"/>
                <w:szCs w:val="16"/>
              </w:rPr>
              <w:t>]</w:t>
            </w:r>
          </w:p>
        </w:tc>
        <w:tc>
          <w:tcPr>
            <w:tcW w:w="709" w:type="dxa"/>
            <w:tcMar>
              <w:top w:w="20" w:type="dxa"/>
              <w:left w:w="20" w:type="dxa"/>
              <w:right w:w="20" w:type="dxa"/>
            </w:tcMar>
          </w:tcPr>
          <w:p w14:paraId="1080628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United Kingdom and global</w:t>
            </w:r>
          </w:p>
        </w:tc>
        <w:tc>
          <w:tcPr>
            <w:tcW w:w="567" w:type="dxa"/>
            <w:tcMar>
              <w:top w:w="20" w:type="dxa"/>
              <w:left w:w="20" w:type="dxa"/>
              <w:right w:w="20" w:type="dxa"/>
            </w:tcMar>
          </w:tcPr>
          <w:p w14:paraId="28511204"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2003-2011</w:t>
            </w:r>
          </w:p>
        </w:tc>
        <w:tc>
          <w:tcPr>
            <w:tcW w:w="993" w:type="dxa"/>
            <w:tcMar>
              <w:top w:w="20" w:type="dxa"/>
              <w:left w:w="20" w:type="dxa"/>
              <w:right w:w="20" w:type="dxa"/>
            </w:tcMar>
          </w:tcPr>
          <w:p w14:paraId="492CDAA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Prospective Clinical Trial</w:t>
            </w:r>
          </w:p>
        </w:tc>
        <w:tc>
          <w:tcPr>
            <w:tcW w:w="992" w:type="dxa"/>
            <w:tcMar>
              <w:top w:w="20" w:type="dxa"/>
              <w:left w:w="20" w:type="dxa"/>
              <w:right w:w="20" w:type="dxa"/>
            </w:tcMar>
          </w:tcPr>
          <w:p w14:paraId="58CDF3A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All Phases</w:t>
            </w:r>
          </w:p>
        </w:tc>
        <w:tc>
          <w:tcPr>
            <w:tcW w:w="992" w:type="dxa"/>
            <w:tcMar>
              <w:top w:w="20" w:type="dxa"/>
              <w:left w:w="20" w:type="dxa"/>
              <w:right w:w="20" w:type="dxa"/>
            </w:tcMar>
          </w:tcPr>
          <w:p w14:paraId="7009B246"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Diverse group of PLWH or at risk, in UK/global</w:t>
            </w:r>
          </w:p>
        </w:tc>
        <w:tc>
          <w:tcPr>
            <w:tcW w:w="1985" w:type="dxa"/>
            <w:tcMar>
              <w:top w:w="20" w:type="dxa"/>
              <w:left w:w="20" w:type="dxa"/>
              <w:right w:w="20" w:type="dxa"/>
            </w:tcMar>
          </w:tcPr>
          <w:p w14:paraId="3F090863" w14:textId="77777777" w:rsidR="00E81CF4" w:rsidRPr="00955929" w:rsidRDefault="00E81CF4" w:rsidP="001B29B3">
            <w:pPr>
              <w:pStyle w:val="NormalWeb"/>
              <w:rPr>
                <w:rFonts w:ascii="Calibri" w:eastAsia="Calibri" w:hAnsi="Calibri" w:cs="Calibri"/>
                <w:sz w:val="16"/>
                <w:szCs w:val="16"/>
              </w:rPr>
            </w:pPr>
            <w:r w:rsidRPr="00955929">
              <w:rPr>
                <w:rFonts w:ascii="Calibri" w:eastAsia="Calibri" w:hAnsi="Calibri" w:cs="Calibri"/>
                <w:sz w:val="16"/>
                <w:szCs w:val="16"/>
              </w:rPr>
              <w:t>Vague description</w:t>
            </w:r>
            <w:r>
              <w:rPr>
                <w:rFonts w:ascii="Calibri" w:eastAsia="Calibri" w:hAnsi="Calibri" w:cs="Calibri"/>
                <w:sz w:val="16"/>
                <w:szCs w:val="16"/>
                <w:lang w:val="en-US"/>
              </w:rPr>
              <w:t xml:space="preserve"> </w:t>
            </w:r>
            <w:r>
              <w:rPr>
                <w:rFonts w:ascii="Calibri" w:eastAsia="Calibri" w:hAnsi="Calibri" w:cs="Calibri"/>
                <w:sz w:val="16"/>
                <w:szCs w:val="16"/>
              </w:rPr>
              <w:t>provided</w:t>
            </w:r>
            <w:r w:rsidRPr="00955929">
              <w:rPr>
                <w:rFonts w:ascii="Calibri" w:eastAsia="Calibri" w:hAnsi="Calibri" w:cs="Calibri"/>
                <w:sz w:val="16"/>
                <w:szCs w:val="16"/>
              </w:rPr>
              <w:t>:</w:t>
            </w:r>
          </w:p>
          <w:p w14:paraId="5893999A"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Members representing the target participant population</w:t>
            </w:r>
          </w:p>
        </w:tc>
        <w:tc>
          <w:tcPr>
            <w:tcW w:w="1984" w:type="dxa"/>
            <w:tcMar>
              <w:top w:w="20" w:type="dxa"/>
              <w:left w:w="20" w:type="dxa"/>
              <w:right w:w="20" w:type="dxa"/>
            </w:tcMar>
          </w:tcPr>
          <w:p w14:paraId="31788868"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 xml:space="preserve">A mix of PPI models (Model A-D) </w:t>
            </w:r>
          </w:p>
        </w:tc>
        <w:tc>
          <w:tcPr>
            <w:tcW w:w="2977" w:type="dxa"/>
          </w:tcPr>
          <w:p w14:paraId="7815C0F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Cs/>
                <w:sz w:val="16"/>
                <w:szCs w:val="16"/>
              </w:rPr>
              <w:t>Locally acceptable and understandable informed consent procedure and research material; research conduct more PPI-centered fostering trust and respect in the community; improved study recruitment; PPI offered different perspectives and better understanding of the data;</w:t>
            </w:r>
          </w:p>
          <w:p w14:paraId="7599A77D"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iCs/>
                <w:sz w:val="16"/>
                <w:szCs w:val="16"/>
              </w:rPr>
              <w:t>research outcomes are disseminated more widely and are understandable and better applicable in the community</w:t>
            </w:r>
          </w:p>
        </w:tc>
        <w:tc>
          <w:tcPr>
            <w:tcW w:w="3887" w:type="dxa"/>
            <w:tcMar>
              <w:top w:w="20" w:type="dxa"/>
              <w:left w:w="20" w:type="dxa"/>
              <w:right w:w="20" w:type="dxa"/>
            </w:tcMar>
          </w:tcPr>
          <w:p w14:paraId="22BB50BC" w14:textId="77777777" w:rsidR="00E81CF4" w:rsidRPr="00955929" w:rsidRDefault="00E81CF4" w:rsidP="001B29B3">
            <w:pPr>
              <w:widowControl w:val="0"/>
              <w:rPr>
                <w:rFonts w:ascii="Calibri" w:eastAsia="Calibri" w:hAnsi="Calibri" w:cs="Calibri"/>
                <w:sz w:val="16"/>
                <w:szCs w:val="16"/>
              </w:rPr>
            </w:pPr>
            <w:r w:rsidRPr="00955929">
              <w:rPr>
                <w:rFonts w:ascii="Calibri" w:eastAsia="Calibri" w:hAnsi="Calibri" w:cs="Calibri"/>
                <w:sz w:val="16"/>
                <w:szCs w:val="16"/>
              </w:rPr>
              <w:t>No PPI related challenges reported</w:t>
            </w:r>
          </w:p>
        </w:tc>
      </w:tr>
    </w:tbl>
    <w:p w14:paraId="4D8F1EF1" w14:textId="2F92E855" w:rsidR="00E81CF4" w:rsidRPr="00955929" w:rsidRDefault="00E81CF4" w:rsidP="00E81CF4">
      <w:pPr>
        <w:spacing w:line="360" w:lineRule="auto"/>
        <w:jc w:val="both"/>
        <w:rPr>
          <w:rFonts w:ascii="Calibri" w:eastAsia="Calibri" w:hAnsi="Calibri" w:cs="Calibri"/>
          <w:bCs/>
          <w:sz w:val="16"/>
          <w:szCs w:val="16"/>
        </w:rPr>
        <w:sectPr w:rsidR="00E81CF4" w:rsidRPr="00955929" w:rsidSect="00B21369">
          <w:pgSz w:w="16834" w:h="11909" w:orient="landscape"/>
          <w:pgMar w:top="1440" w:right="1440" w:bottom="1440" w:left="1440" w:header="720" w:footer="720" w:gutter="0"/>
          <w:cols w:space="720"/>
        </w:sectPr>
      </w:pPr>
      <w:r w:rsidRPr="00955929">
        <w:rPr>
          <w:rFonts w:ascii="Calibri" w:eastAsia="Calibri" w:hAnsi="Calibri" w:cs="Calibri"/>
          <w:bCs/>
          <w:sz w:val="16"/>
          <w:szCs w:val="16"/>
        </w:rPr>
        <w:t xml:space="preserve">* PPI models were classified deductively into 4 categories, A-D (see chapter “Reported PPI models”)  </w:t>
      </w:r>
    </w:p>
    <w:p w14:paraId="7D55CA49"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CF4"/>
    <w:rsid w:val="00755780"/>
    <w:rsid w:val="00857596"/>
    <w:rsid w:val="00B21369"/>
    <w:rsid w:val="00E81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5FCB3"/>
  <w15:chartTrackingRefBased/>
  <w15:docId w15:val="{E65E69FC-6C91-4530-8AD8-1005744DA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CF4"/>
    <w:pPr>
      <w:spacing w:after="0" w:line="240" w:lineRule="auto"/>
    </w:pPr>
    <w:rPr>
      <w:rFonts w:ascii="Times New Roman" w:eastAsia="Times New Roman" w:hAnsi="Times New Roman" w:cs="Times New Roman"/>
      <w:kern w:val="0"/>
      <w:sz w:val="24"/>
      <w:szCs w:val="24"/>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81CF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6670</Words>
  <Characters>38021</Characters>
  <Application>Microsoft Office Word</Application>
  <DocSecurity>0</DocSecurity>
  <Lines>316</Lines>
  <Paragraphs>89</Paragraphs>
  <ScaleCrop>false</ScaleCrop>
  <Company>Springer Nature</Company>
  <LinksUpToDate>false</LinksUpToDate>
  <CharactersWithSpaces>44602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2024-03-13T06:33:00Z</dcterms:created>
  <dcterms:modified xsi:type="dcterms:W3CDTF">2024-03-13T06:33:00Z</dcterms:modified>
</cp:coreProperties>
</file>