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007" w:rsidRDefault="00FC6007" w:rsidP="00FC6007">
      <w:pPr>
        <w:spacing w:line="360" w:lineRule="auto"/>
        <w:jc w:val="both"/>
        <w:rPr>
          <w:rFonts w:ascii="Times New Roman" w:hAnsi="Times New Roman" w:cs="Times New Roman"/>
          <w:b/>
          <w:sz w:val="32"/>
          <w:szCs w:val="32"/>
          <w:lang w:val="en-US"/>
        </w:rPr>
      </w:pPr>
      <w:r>
        <w:rPr>
          <w:rFonts w:ascii="Times New Roman" w:hAnsi="Times New Roman" w:cs="Times New Roman"/>
          <w:b/>
          <w:sz w:val="32"/>
          <w:szCs w:val="32"/>
          <w:lang w:val="en-US"/>
        </w:rPr>
        <w:t xml:space="preserve">Supplementary </w:t>
      </w:r>
      <w:r w:rsidR="00932468">
        <w:rPr>
          <w:rFonts w:ascii="Times New Roman" w:hAnsi="Times New Roman" w:cs="Times New Roman"/>
          <w:b/>
          <w:sz w:val="32"/>
          <w:szCs w:val="32"/>
          <w:lang w:val="en-US"/>
        </w:rPr>
        <w:t>Informatio</w:t>
      </w:r>
      <w:r w:rsidR="00AD54C4">
        <w:rPr>
          <w:rFonts w:ascii="Times New Roman" w:hAnsi="Times New Roman" w:cs="Times New Roman"/>
          <w:b/>
          <w:sz w:val="32"/>
          <w:szCs w:val="32"/>
          <w:lang w:val="en-US"/>
        </w:rPr>
        <w:t>n</w:t>
      </w:r>
      <w:r>
        <w:rPr>
          <w:rFonts w:ascii="Times New Roman" w:hAnsi="Times New Roman" w:cs="Times New Roman"/>
          <w:b/>
          <w:sz w:val="32"/>
          <w:szCs w:val="32"/>
          <w:lang w:val="en-US"/>
        </w:rPr>
        <w:t xml:space="preserve"> for:</w:t>
      </w:r>
    </w:p>
    <w:p w:rsidR="00FC6007" w:rsidRDefault="00FC6007" w:rsidP="00FC6007">
      <w:pPr>
        <w:spacing w:line="360" w:lineRule="auto"/>
        <w:jc w:val="both"/>
        <w:rPr>
          <w:rFonts w:ascii="Times New Roman" w:hAnsi="Times New Roman" w:cs="Times New Roman"/>
          <w:b/>
          <w:sz w:val="32"/>
          <w:szCs w:val="32"/>
          <w:lang w:val="en-US"/>
        </w:rPr>
      </w:pPr>
    </w:p>
    <w:p w:rsidR="00FC6007" w:rsidRPr="00761A18" w:rsidRDefault="00FC6007" w:rsidP="00FC6007">
      <w:pPr>
        <w:spacing w:line="360" w:lineRule="auto"/>
        <w:jc w:val="both"/>
        <w:rPr>
          <w:rFonts w:ascii="Times New Roman" w:hAnsi="Times New Roman"/>
          <w:b/>
          <w:sz w:val="32"/>
          <w:szCs w:val="32"/>
          <w:lang w:val="en-US"/>
        </w:rPr>
      </w:pPr>
      <w:r>
        <w:rPr>
          <w:rFonts w:ascii="Times New Roman" w:hAnsi="Times New Roman"/>
          <w:b/>
          <w:sz w:val="32"/>
          <w:szCs w:val="32"/>
          <w:lang w:val="en-US"/>
        </w:rPr>
        <w:t xml:space="preserve">Faricimab maintains substance integrity and sterility after compounding </w:t>
      </w:r>
      <w:r w:rsidR="00FF3CA5">
        <w:rPr>
          <w:rFonts w:ascii="Times New Roman" w:hAnsi="Times New Roman"/>
          <w:b/>
          <w:sz w:val="32"/>
          <w:szCs w:val="32"/>
          <w:lang w:val="en-US"/>
        </w:rPr>
        <w:t xml:space="preserve">and storage </w:t>
      </w:r>
      <w:r>
        <w:rPr>
          <w:rFonts w:ascii="Times New Roman" w:hAnsi="Times New Roman"/>
          <w:b/>
          <w:sz w:val="32"/>
          <w:szCs w:val="32"/>
          <w:lang w:val="en-US"/>
        </w:rPr>
        <w:t>in two different polypropylene syringe types</w:t>
      </w:r>
    </w:p>
    <w:p w:rsidR="00FC6007" w:rsidRDefault="00FC6007" w:rsidP="00FC6007">
      <w:pPr>
        <w:spacing w:line="360" w:lineRule="auto"/>
        <w:jc w:val="both"/>
        <w:rPr>
          <w:rFonts w:ascii="Times New Roman" w:hAnsi="Times New Roman"/>
          <w:lang w:val="en-US"/>
        </w:rPr>
      </w:pPr>
    </w:p>
    <w:p w:rsidR="00FC6007" w:rsidRPr="00EF4EC2" w:rsidRDefault="00FC6007" w:rsidP="00FC6007">
      <w:pPr>
        <w:spacing w:line="360" w:lineRule="auto"/>
        <w:jc w:val="both"/>
        <w:rPr>
          <w:rFonts w:ascii="Times New Roman" w:hAnsi="Times New Roman"/>
          <w:sz w:val="28"/>
          <w:szCs w:val="28"/>
        </w:rPr>
      </w:pPr>
      <w:r w:rsidRPr="00EF4EC2">
        <w:rPr>
          <w:rFonts w:ascii="Times New Roman" w:hAnsi="Times New Roman"/>
          <w:sz w:val="28"/>
          <w:szCs w:val="28"/>
        </w:rPr>
        <w:t>Alexander Taschauer</w:t>
      </w:r>
      <w:r w:rsidRPr="00EF4EC2">
        <w:rPr>
          <w:rFonts w:ascii="Times New Roman" w:hAnsi="Times New Roman"/>
          <w:sz w:val="28"/>
          <w:szCs w:val="28"/>
          <w:vertAlign w:val="superscript"/>
        </w:rPr>
        <w:t>1,2</w:t>
      </w:r>
      <w:r w:rsidRPr="00EF4EC2">
        <w:rPr>
          <w:rFonts w:ascii="Times New Roman" w:hAnsi="Times New Roman"/>
          <w:sz w:val="28"/>
          <w:szCs w:val="28"/>
        </w:rPr>
        <w:t>, Arthur Sedivy</w:t>
      </w:r>
      <w:r w:rsidRPr="00EF4EC2">
        <w:rPr>
          <w:rFonts w:ascii="Times New Roman" w:hAnsi="Times New Roman"/>
          <w:sz w:val="28"/>
          <w:szCs w:val="28"/>
          <w:vertAlign w:val="superscript"/>
        </w:rPr>
        <w:t>3</w:t>
      </w:r>
      <w:r w:rsidRPr="00EF4EC2">
        <w:rPr>
          <w:rFonts w:ascii="Times New Roman" w:hAnsi="Times New Roman"/>
          <w:sz w:val="28"/>
          <w:szCs w:val="28"/>
        </w:rPr>
        <w:t>, Daniel Egger</w:t>
      </w:r>
      <w:r w:rsidRPr="00EF4EC2">
        <w:rPr>
          <w:rFonts w:ascii="Times New Roman" w:hAnsi="Times New Roman"/>
          <w:sz w:val="28"/>
          <w:szCs w:val="28"/>
          <w:vertAlign w:val="superscript"/>
        </w:rPr>
        <w:t>4</w:t>
      </w:r>
      <w:r w:rsidRPr="00EF4EC2">
        <w:rPr>
          <w:rFonts w:ascii="Times New Roman" w:hAnsi="Times New Roman"/>
          <w:sz w:val="28"/>
          <w:szCs w:val="28"/>
        </w:rPr>
        <w:t>, Reinhard Angermann</w:t>
      </w:r>
      <w:r w:rsidRPr="00EF4EC2">
        <w:rPr>
          <w:rFonts w:ascii="Times New Roman" w:hAnsi="Times New Roman"/>
          <w:sz w:val="28"/>
          <w:szCs w:val="28"/>
          <w:vertAlign w:val="superscript"/>
        </w:rPr>
        <w:t>4</w:t>
      </w:r>
      <w:r w:rsidRPr="00EF4EC2">
        <w:rPr>
          <w:rFonts w:ascii="Times New Roman" w:hAnsi="Times New Roman"/>
          <w:sz w:val="28"/>
          <w:szCs w:val="28"/>
        </w:rPr>
        <w:t>, Haider Sami</w:t>
      </w:r>
      <w:r w:rsidRPr="00EF4EC2">
        <w:rPr>
          <w:rFonts w:ascii="Times New Roman" w:hAnsi="Times New Roman"/>
          <w:sz w:val="28"/>
          <w:szCs w:val="28"/>
          <w:vertAlign w:val="superscript"/>
        </w:rPr>
        <w:t>5</w:t>
      </w:r>
      <w:r w:rsidRPr="00EF4EC2">
        <w:rPr>
          <w:rFonts w:ascii="Times New Roman" w:hAnsi="Times New Roman"/>
          <w:sz w:val="28"/>
          <w:szCs w:val="28"/>
        </w:rPr>
        <w:t>, Claudia Wunder</w:t>
      </w:r>
      <w:r w:rsidRPr="00EF4EC2">
        <w:rPr>
          <w:rFonts w:ascii="Times New Roman" w:hAnsi="Times New Roman"/>
          <w:sz w:val="28"/>
          <w:szCs w:val="28"/>
          <w:vertAlign w:val="superscript"/>
        </w:rPr>
        <w:t>1,2</w:t>
      </w:r>
      <w:r w:rsidRPr="00EF4EC2">
        <w:rPr>
          <w:rFonts w:ascii="Times New Roman" w:hAnsi="Times New Roman"/>
          <w:sz w:val="28"/>
          <w:szCs w:val="28"/>
        </w:rPr>
        <w:t>, Sebastian M. Waldstein</w:t>
      </w:r>
      <w:r w:rsidRPr="00EF4EC2">
        <w:rPr>
          <w:rFonts w:ascii="Times New Roman" w:hAnsi="Times New Roman"/>
          <w:sz w:val="28"/>
          <w:szCs w:val="28"/>
          <w:vertAlign w:val="superscript"/>
        </w:rPr>
        <w:t>4*</w:t>
      </w:r>
    </w:p>
    <w:p w:rsidR="00FC6007" w:rsidRPr="00EF4EC2" w:rsidRDefault="00FC6007" w:rsidP="00FC6007">
      <w:pPr>
        <w:spacing w:line="360" w:lineRule="auto"/>
        <w:jc w:val="both"/>
        <w:rPr>
          <w:rFonts w:ascii="Times New Roman" w:hAnsi="Times New Roman"/>
        </w:rPr>
      </w:pPr>
    </w:p>
    <w:p w:rsidR="00FC6007" w:rsidRPr="00EF4EC2" w:rsidRDefault="00FC6007" w:rsidP="00FC6007">
      <w:pPr>
        <w:spacing w:line="360" w:lineRule="auto"/>
        <w:jc w:val="both"/>
        <w:rPr>
          <w:rFonts w:ascii="Times New Roman" w:hAnsi="Times New Roman"/>
        </w:rPr>
      </w:pPr>
    </w:p>
    <w:p w:rsidR="00FC6007" w:rsidRPr="00937E7F" w:rsidRDefault="00FC6007" w:rsidP="00FC6007">
      <w:pPr>
        <w:spacing w:line="360" w:lineRule="auto"/>
        <w:jc w:val="both"/>
        <w:rPr>
          <w:rFonts w:ascii="Times New Roman" w:hAnsi="Times New Roman" w:cs="Times New Roman"/>
          <w:sz w:val="22"/>
          <w:szCs w:val="22"/>
          <w:lang w:val="en-US"/>
        </w:rPr>
      </w:pPr>
      <w:r w:rsidRPr="00937E7F">
        <w:rPr>
          <w:rFonts w:ascii="Times New Roman" w:hAnsi="Times New Roman" w:cs="Times New Roman"/>
          <w:sz w:val="22"/>
          <w:szCs w:val="22"/>
          <w:vertAlign w:val="superscript"/>
          <w:lang w:val="en-US"/>
        </w:rPr>
        <w:t>1</w:t>
      </w:r>
      <w:r w:rsidRPr="00937E7F">
        <w:rPr>
          <w:rFonts w:ascii="Times New Roman" w:hAnsi="Times New Roman" w:cs="Times New Roman"/>
          <w:sz w:val="22"/>
          <w:szCs w:val="22"/>
          <w:lang w:val="en-US"/>
        </w:rPr>
        <w:t xml:space="preserve"> Pharmacy of the University Hospital St. Pölten, Dunant-Platz 1, 3100, St. Pölten, Austria</w:t>
      </w:r>
    </w:p>
    <w:p w:rsidR="00FC6007" w:rsidRPr="00937E7F" w:rsidRDefault="00FC6007" w:rsidP="00FC6007">
      <w:pPr>
        <w:spacing w:line="360" w:lineRule="auto"/>
        <w:jc w:val="both"/>
        <w:rPr>
          <w:rFonts w:ascii="Times New Roman" w:hAnsi="Times New Roman" w:cs="Times New Roman"/>
          <w:sz w:val="22"/>
          <w:szCs w:val="22"/>
          <w:lang w:val="en-US"/>
        </w:rPr>
      </w:pPr>
      <w:r w:rsidRPr="00937E7F">
        <w:rPr>
          <w:rFonts w:ascii="Times New Roman" w:hAnsi="Times New Roman" w:cs="Times New Roman"/>
          <w:sz w:val="22"/>
          <w:szCs w:val="22"/>
          <w:vertAlign w:val="superscript"/>
          <w:lang w:val="en-US"/>
        </w:rPr>
        <w:t>2</w:t>
      </w:r>
      <w:r w:rsidRPr="00937E7F">
        <w:rPr>
          <w:rFonts w:ascii="Times New Roman" w:hAnsi="Times New Roman" w:cs="Times New Roman"/>
          <w:sz w:val="22"/>
          <w:szCs w:val="22"/>
          <w:lang w:val="en-US"/>
        </w:rPr>
        <w:t xml:space="preserve"> Karl Landsteiner University of Health Sciences, Dr. Karl-Dorrek-Strasse 30, 3500, Krems, Austria</w:t>
      </w:r>
    </w:p>
    <w:p w:rsidR="00FC6007" w:rsidRPr="00937E7F" w:rsidRDefault="00FC6007" w:rsidP="00FC6007">
      <w:pPr>
        <w:spacing w:line="360" w:lineRule="auto"/>
        <w:jc w:val="both"/>
        <w:rPr>
          <w:rFonts w:ascii="Times New Roman" w:hAnsi="Times New Roman" w:cs="Times New Roman"/>
          <w:sz w:val="22"/>
          <w:szCs w:val="22"/>
          <w:lang w:val="en-US"/>
        </w:rPr>
      </w:pPr>
      <w:r w:rsidRPr="00937E7F">
        <w:rPr>
          <w:rFonts w:ascii="Times New Roman" w:hAnsi="Times New Roman" w:cs="Times New Roman"/>
          <w:sz w:val="22"/>
          <w:szCs w:val="22"/>
          <w:vertAlign w:val="superscript"/>
          <w:lang w:val="en-US"/>
        </w:rPr>
        <w:t>3</w:t>
      </w:r>
      <w:r w:rsidR="00C20DF8">
        <w:rPr>
          <w:rFonts w:ascii="Times New Roman" w:hAnsi="Times New Roman" w:cs="Times New Roman"/>
          <w:sz w:val="22"/>
          <w:szCs w:val="22"/>
          <w:lang w:val="en-US"/>
        </w:rPr>
        <w:t xml:space="preserve"> Protein Technologies</w:t>
      </w:r>
      <w:r w:rsidRPr="00937E7F">
        <w:rPr>
          <w:rFonts w:ascii="Times New Roman" w:hAnsi="Times New Roman" w:cs="Times New Roman"/>
          <w:sz w:val="22"/>
          <w:szCs w:val="22"/>
          <w:lang w:val="en-US"/>
        </w:rPr>
        <w:t>, Vienna Biocenter Core Facilities GmbH, Dr. Bohr-Gasse 3, 1030 Vienna, Austria</w:t>
      </w:r>
    </w:p>
    <w:p w:rsidR="00FC6007" w:rsidRPr="00937E7F" w:rsidRDefault="00FC6007" w:rsidP="00FC6007">
      <w:pPr>
        <w:spacing w:line="360" w:lineRule="auto"/>
        <w:jc w:val="both"/>
        <w:rPr>
          <w:rFonts w:ascii="Times New Roman" w:hAnsi="Times New Roman" w:cs="Times New Roman"/>
          <w:sz w:val="22"/>
          <w:szCs w:val="22"/>
        </w:rPr>
      </w:pPr>
      <w:r w:rsidRPr="00937E7F">
        <w:rPr>
          <w:rFonts w:ascii="Times New Roman" w:hAnsi="Times New Roman" w:cs="Times New Roman"/>
          <w:sz w:val="22"/>
          <w:szCs w:val="22"/>
          <w:vertAlign w:val="superscript"/>
        </w:rPr>
        <w:t>4</w:t>
      </w:r>
      <w:r w:rsidRPr="00937E7F">
        <w:rPr>
          <w:rFonts w:ascii="Times New Roman" w:hAnsi="Times New Roman" w:cs="Times New Roman"/>
          <w:sz w:val="22"/>
          <w:szCs w:val="22"/>
        </w:rPr>
        <w:t xml:space="preserve"> Department of Ophthalmology, Landesklinikum Mistelbach-Gänserndorf, Liechtensteinstrasse 67, Mistelbach, Austria</w:t>
      </w:r>
    </w:p>
    <w:p w:rsidR="00FC6007" w:rsidRDefault="00FC6007" w:rsidP="00FC6007">
      <w:pPr>
        <w:spacing w:line="360" w:lineRule="auto"/>
        <w:jc w:val="both"/>
        <w:rPr>
          <w:rFonts w:ascii="Times New Roman" w:hAnsi="Times New Roman" w:cs="Times New Roman"/>
          <w:sz w:val="22"/>
          <w:szCs w:val="22"/>
          <w:lang w:val="en-US"/>
        </w:rPr>
      </w:pPr>
      <w:r w:rsidRPr="00937E7F">
        <w:rPr>
          <w:rFonts w:ascii="Times New Roman" w:hAnsi="Times New Roman" w:cs="Times New Roman"/>
          <w:sz w:val="22"/>
          <w:szCs w:val="22"/>
          <w:vertAlign w:val="superscript"/>
          <w:lang w:val="en-US"/>
        </w:rPr>
        <w:t>5</w:t>
      </w:r>
      <w:r w:rsidRPr="00937E7F">
        <w:rPr>
          <w:rFonts w:ascii="Times New Roman" w:hAnsi="Times New Roman" w:cs="Times New Roman"/>
          <w:sz w:val="22"/>
          <w:szCs w:val="22"/>
          <w:lang w:val="en-US"/>
        </w:rPr>
        <w:t xml:space="preserve"> </w:t>
      </w:r>
      <w:r w:rsidR="00E04551" w:rsidRPr="00E04551">
        <w:rPr>
          <w:rFonts w:ascii="Times New Roman" w:hAnsi="Times New Roman" w:cs="Times New Roman"/>
          <w:sz w:val="22"/>
          <w:szCs w:val="22"/>
          <w:lang w:val="en-US"/>
        </w:rPr>
        <w:t>University of Vienna, Faculty of Life Sciences, Department of Pharmaceutical Sciences, Laboratory of Macromolecular Cancer Therapeutics (MMCT), Josef-Holaubek-Platz 2, 1090 Vienna, Austria</w:t>
      </w:r>
    </w:p>
    <w:p w:rsidR="00E04551" w:rsidRPr="00937E7F" w:rsidRDefault="00E04551" w:rsidP="00FC6007">
      <w:pPr>
        <w:spacing w:line="360" w:lineRule="auto"/>
        <w:jc w:val="both"/>
        <w:rPr>
          <w:rFonts w:ascii="Times New Roman" w:hAnsi="Times New Roman" w:cs="Times New Roman"/>
          <w:sz w:val="22"/>
          <w:szCs w:val="22"/>
          <w:lang w:val="en-US"/>
        </w:rPr>
      </w:pPr>
    </w:p>
    <w:p w:rsidR="00FC6007" w:rsidRPr="00937E7F" w:rsidRDefault="00FC6007" w:rsidP="00FC6007">
      <w:pPr>
        <w:spacing w:line="360" w:lineRule="auto"/>
        <w:jc w:val="both"/>
        <w:rPr>
          <w:rFonts w:ascii="Times New Roman" w:hAnsi="Times New Roman" w:cs="Times New Roman"/>
          <w:sz w:val="22"/>
          <w:szCs w:val="22"/>
          <w:lang w:val="en-US"/>
        </w:rPr>
      </w:pPr>
      <w:r w:rsidRPr="00937E7F">
        <w:rPr>
          <w:rFonts w:ascii="Times New Roman" w:hAnsi="Times New Roman" w:cs="Times New Roman"/>
          <w:sz w:val="22"/>
          <w:szCs w:val="22"/>
          <w:lang w:val="en-US"/>
        </w:rPr>
        <w:t>* Corresponding authors</w:t>
      </w:r>
    </w:p>
    <w:p w:rsidR="00FC6007" w:rsidRPr="00937E7F" w:rsidRDefault="00FC6007" w:rsidP="00FC6007">
      <w:pPr>
        <w:spacing w:line="360" w:lineRule="auto"/>
        <w:rPr>
          <w:rFonts w:ascii="Times New Roman" w:hAnsi="Times New Roman" w:cs="Times New Roman"/>
          <w:sz w:val="22"/>
          <w:szCs w:val="22"/>
          <w:lang w:val="en-US"/>
        </w:rPr>
      </w:pPr>
      <w:r w:rsidRPr="00937E7F">
        <w:rPr>
          <w:rFonts w:ascii="Times New Roman" w:hAnsi="Times New Roman" w:cs="Times New Roman"/>
          <w:sz w:val="22"/>
          <w:szCs w:val="22"/>
          <w:lang w:val="en-US"/>
        </w:rPr>
        <w:t xml:space="preserve">Email: </w:t>
      </w:r>
    </w:p>
    <w:p w:rsidR="00FC6007" w:rsidRPr="00937E7F" w:rsidRDefault="00656D83" w:rsidP="00FC6007">
      <w:pPr>
        <w:spacing w:line="360" w:lineRule="auto"/>
        <w:rPr>
          <w:rFonts w:ascii="Times New Roman" w:hAnsi="Times New Roman" w:cs="Times New Roman"/>
          <w:sz w:val="22"/>
          <w:szCs w:val="22"/>
        </w:rPr>
      </w:pPr>
      <w:hyperlink r:id="rId6" w:history="1">
        <w:r w:rsidR="00FC6007" w:rsidRPr="00937E7F">
          <w:rPr>
            <w:rStyle w:val="Hyperlink"/>
            <w:rFonts w:ascii="Times New Roman" w:hAnsi="Times New Roman" w:cs="Times New Roman"/>
            <w:sz w:val="22"/>
            <w:szCs w:val="22"/>
          </w:rPr>
          <w:t>sebastian.waldstein@mistelbach.lknoe.at</w:t>
        </w:r>
      </w:hyperlink>
      <w:r w:rsidR="00FC6007" w:rsidRPr="00937E7F">
        <w:rPr>
          <w:rFonts w:ascii="Times New Roman" w:hAnsi="Times New Roman" w:cs="Times New Roman"/>
          <w:sz w:val="22"/>
          <w:szCs w:val="22"/>
        </w:rPr>
        <w:t xml:space="preserve"> (S. Waldstein)</w:t>
      </w:r>
    </w:p>
    <w:p w:rsidR="00FC6007" w:rsidRPr="00937E7F" w:rsidRDefault="00FC6007" w:rsidP="00FC6007">
      <w:pPr>
        <w:rPr>
          <w:rFonts w:ascii="Times New Roman" w:hAnsi="Times New Roman" w:cs="Times New Roman"/>
          <w:b/>
          <w:sz w:val="22"/>
          <w:szCs w:val="22"/>
        </w:rPr>
      </w:pPr>
      <w:r w:rsidRPr="00937E7F">
        <w:rPr>
          <w:rFonts w:ascii="Times New Roman" w:hAnsi="Times New Roman" w:cs="Times New Roman"/>
          <w:b/>
          <w:sz w:val="22"/>
          <w:szCs w:val="22"/>
        </w:rPr>
        <w:br w:type="page"/>
      </w:r>
    </w:p>
    <w:p w:rsidR="00932468" w:rsidRDefault="00932468" w:rsidP="00FC6007">
      <w:pPr>
        <w:spacing w:line="480" w:lineRule="auto"/>
        <w:jc w:val="both"/>
        <w:rPr>
          <w:rFonts w:ascii="Times New Roman" w:hAnsi="Times New Roman" w:cs="Times New Roman"/>
          <w:sz w:val="22"/>
          <w:szCs w:val="22"/>
          <w:u w:val="single"/>
          <w:lang w:val="en-US"/>
        </w:rPr>
      </w:pPr>
      <w:r>
        <w:rPr>
          <w:rFonts w:ascii="Times New Roman" w:hAnsi="Times New Roman" w:cs="Times New Roman"/>
          <w:b/>
          <w:sz w:val="32"/>
          <w:szCs w:val="32"/>
          <w:lang w:val="en-US"/>
        </w:rPr>
        <w:lastRenderedPageBreak/>
        <w:t>Supplementary Methods</w:t>
      </w:r>
    </w:p>
    <w:p w:rsidR="00FC6007" w:rsidRPr="00224914" w:rsidRDefault="00FC6007" w:rsidP="00FC6007">
      <w:pPr>
        <w:spacing w:line="480" w:lineRule="auto"/>
        <w:jc w:val="both"/>
        <w:rPr>
          <w:rFonts w:ascii="Times New Roman" w:hAnsi="Times New Roman" w:cs="Times New Roman"/>
          <w:sz w:val="22"/>
          <w:szCs w:val="22"/>
          <w:u w:val="single"/>
          <w:lang w:val="en-US"/>
        </w:rPr>
      </w:pPr>
      <w:r w:rsidRPr="00224914">
        <w:rPr>
          <w:rFonts w:ascii="Times New Roman" w:hAnsi="Times New Roman" w:cs="Times New Roman"/>
          <w:sz w:val="22"/>
          <w:szCs w:val="22"/>
          <w:u w:val="single"/>
          <w:lang w:val="en-US"/>
        </w:rPr>
        <w:t>Reagents</w:t>
      </w:r>
    </w:p>
    <w:p w:rsidR="00FC6007" w:rsidRPr="00224914" w:rsidRDefault="00FC6007" w:rsidP="00FC6007">
      <w:pPr>
        <w:spacing w:line="480" w:lineRule="auto"/>
        <w:jc w:val="both"/>
        <w:rPr>
          <w:rFonts w:ascii="Times New Roman" w:eastAsia="Times New Roman" w:hAnsi="Times New Roman" w:cs="Times New Roman"/>
          <w:sz w:val="22"/>
          <w:szCs w:val="22"/>
          <w:lang w:val="en-US"/>
        </w:rPr>
      </w:pPr>
      <w:r w:rsidRPr="00224914">
        <w:rPr>
          <w:rFonts w:ascii="Times New Roman" w:hAnsi="Times New Roman" w:cs="Times New Roman"/>
          <w:sz w:val="22"/>
          <w:szCs w:val="22"/>
          <w:lang w:val="en-US"/>
        </w:rPr>
        <w:t>Both VEGF (sequence: Ala 27 – Arg 191; Cat.Nr.: VE5-H4210) and Ang-2 (equipped with a C-terminal polyhistidine tag; sequence: Tyr 19 – Phe 496; Cat.Nr.: AN2-H52H4) were purchased from AcroBiosystems. All further compounds used for reagent and buffer preparation were obtained from VWR Chemicals and Merck.</w:t>
      </w:r>
    </w:p>
    <w:p w:rsidR="00FC6007" w:rsidRPr="00224914" w:rsidRDefault="00FC6007" w:rsidP="00FC6007">
      <w:pPr>
        <w:spacing w:line="480" w:lineRule="auto"/>
        <w:jc w:val="both"/>
        <w:rPr>
          <w:rFonts w:ascii="Times New Roman" w:hAnsi="Times New Roman" w:cs="Times New Roman"/>
          <w:sz w:val="22"/>
          <w:szCs w:val="22"/>
          <w:u w:val="single"/>
          <w:lang w:val="en-US"/>
        </w:rPr>
      </w:pPr>
    </w:p>
    <w:p w:rsidR="00FC6007" w:rsidRPr="00224914" w:rsidRDefault="00FC6007" w:rsidP="00FC6007">
      <w:pPr>
        <w:spacing w:line="480" w:lineRule="auto"/>
        <w:jc w:val="both"/>
        <w:rPr>
          <w:rFonts w:ascii="Times New Roman" w:hAnsi="Times New Roman" w:cs="Times New Roman"/>
          <w:sz w:val="22"/>
          <w:szCs w:val="22"/>
          <w:u w:val="single"/>
          <w:lang w:val="en-US"/>
        </w:rPr>
      </w:pPr>
      <w:r w:rsidRPr="00224914">
        <w:rPr>
          <w:rFonts w:ascii="Times New Roman" w:hAnsi="Times New Roman" w:cs="Times New Roman"/>
          <w:sz w:val="22"/>
          <w:szCs w:val="22"/>
          <w:u w:val="single"/>
          <w:lang w:val="en-US"/>
        </w:rPr>
        <w:t>Sample preparation</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hAnsi="Times New Roman" w:cs="Times New Roman"/>
          <w:sz w:val="22"/>
          <w:szCs w:val="22"/>
          <w:lang w:val="en-US"/>
        </w:rPr>
        <w:t>Compounding was conducted avoiding the introduction of air bubbles. In case of BD Microfine®, the distribution of faricimab from the vial into the syringes was done with a 1mL BD Plastipak® syringe as reservoir. The formulation was drawn up through the cone of the 1mL syringe into BD Microfine® syringes. The compounding process into ZeroResidual® syringes was conducted with a Luer-Lock bubble adapter provided by the manufacturer. ZeroResidual® syringes were closed with a 30G Luer-Lock cannula from SJJ solutions. Both BD Microfine® and ZeroResidual® syringes were equipped with a plunger protection to avoid unintended ejection of the content before sealing in sterile bags.</w:t>
      </w:r>
    </w:p>
    <w:p w:rsidR="00FC6007" w:rsidRPr="00224914" w:rsidRDefault="00FC6007" w:rsidP="00FC6007">
      <w:pPr>
        <w:spacing w:line="480" w:lineRule="auto"/>
        <w:jc w:val="both"/>
        <w:rPr>
          <w:rFonts w:ascii="Times New Roman" w:hAnsi="Times New Roman" w:cs="Times New Roman"/>
          <w:sz w:val="22"/>
          <w:szCs w:val="22"/>
          <w:lang w:val="en-US"/>
        </w:rPr>
      </w:pPr>
    </w:p>
    <w:p w:rsidR="00FC6007" w:rsidRPr="00224914" w:rsidRDefault="00FC6007" w:rsidP="00FC6007">
      <w:pPr>
        <w:spacing w:line="480" w:lineRule="auto"/>
        <w:jc w:val="both"/>
        <w:rPr>
          <w:rFonts w:ascii="Times New Roman" w:eastAsia="Times New Roman" w:hAnsi="Times New Roman" w:cs="Times New Roman"/>
          <w:sz w:val="22"/>
          <w:szCs w:val="22"/>
          <w:u w:val="single"/>
          <w:lang w:val="en-US"/>
        </w:rPr>
      </w:pPr>
      <w:r w:rsidRPr="00224914">
        <w:rPr>
          <w:rFonts w:ascii="Times New Roman" w:eastAsia="Times New Roman" w:hAnsi="Times New Roman" w:cs="Times New Roman"/>
          <w:sz w:val="22"/>
          <w:szCs w:val="22"/>
          <w:u w:val="single"/>
          <w:lang w:val="en-US"/>
        </w:rPr>
        <w:t>Tertiary structure analysis</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eastAsia="Times New Roman" w:hAnsi="Times New Roman" w:cs="Times New Roman"/>
          <w:sz w:val="22"/>
          <w:szCs w:val="22"/>
          <w:lang w:val="en-US"/>
        </w:rPr>
        <w:t xml:space="preserve">Measurements were conducted with a 1mg/mL dilution of faricimab in 20mM </w:t>
      </w:r>
      <w:r w:rsidRPr="00224914">
        <w:rPr>
          <w:rFonts w:ascii="Times New Roman" w:hAnsi="Times New Roman" w:cs="Times New Roman"/>
          <w:sz w:val="22"/>
          <w:szCs w:val="22"/>
          <w:lang w:val="en-US"/>
        </w:rPr>
        <w:t>potassium phosphate buffer (pH 5.5; 0.2µm filtered). The second derivative of the obtained spectrum was calculated with the LabSolutions UV-Vis software with a smoothing level of X20 and scaling factor 1.</w:t>
      </w:r>
      <w:r w:rsidR="00937F4C" w:rsidRPr="00224914">
        <w:rPr>
          <w:rFonts w:ascii="Times New Roman" w:hAnsi="Times New Roman" w:cs="Times New Roman"/>
          <w:sz w:val="22"/>
          <w:szCs w:val="22"/>
          <w:lang w:val="en-US"/>
        </w:rPr>
        <w:t xml:space="preserve"> </w:t>
      </w:r>
      <w:r w:rsidRPr="00224914">
        <w:rPr>
          <w:rFonts w:ascii="Times New Roman" w:hAnsi="Times New Roman" w:cs="Times New Roman"/>
          <w:sz w:val="22"/>
          <w:szCs w:val="22"/>
          <w:lang w:val="en-US"/>
        </w:rPr>
        <w:t>Spectra were compared to day 0 samples based on the characteristic wavelength of the absorption minima of phenylalanine (253nm, 258nm), tyrosine (275nm, 284nm) and tryptophan (292nm).</w:t>
      </w:r>
      <w:r w:rsidRPr="00224914">
        <w:rPr>
          <w:rFonts w:ascii="Times New Roman" w:eastAsia="Times New Roman" w:hAnsi="Times New Roman" w:cs="Times New Roman"/>
          <w:sz w:val="22"/>
          <w:szCs w:val="22"/>
          <w:lang w:val="en-US"/>
        </w:rPr>
        <w:t xml:space="preserve"> </w:t>
      </w:r>
    </w:p>
    <w:p w:rsidR="00FC6007" w:rsidRPr="00224914" w:rsidRDefault="00FC6007" w:rsidP="00FC6007">
      <w:pPr>
        <w:spacing w:line="480" w:lineRule="auto"/>
        <w:jc w:val="both"/>
        <w:rPr>
          <w:rFonts w:ascii="Times New Roman" w:hAnsi="Times New Roman" w:cs="Times New Roman"/>
          <w:sz w:val="22"/>
          <w:szCs w:val="22"/>
          <w:lang w:val="en-US"/>
        </w:rPr>
      </w:pPr>
    </w:p>
    <w:p w:rsidR="00FC6007" w:rsidRPr="00224914" w:rsidRDefault="00FC6007" w:rsidP="00FC6007">
      <w:pPr>
        <w:spacing w:line="480" w:lineRule="auto"/>
        <w:jc w:val="both"/>
        <w:rPr>
          <w:rFonts w:ascii="Times New Roman" w:eastAsia="Times New Roman" w:hAnsi="Times New Roman" w:cs="Times New Roman"/>
          <w:sz w:val="22"/>
          <w:szCs w:val="22"/>
          <w:u w:val="single"/>
          <w:lang w:val="en-US"/>
        </w:rPr>
      </w:pPr>
      <w:r w:rsidRPr="00224914">
        <w:rPr>
          <w:rFonts w:ascii="Times New Roman" w:eastAsia="Times New Roman" w:hAnsi="Times New Roman" w:cs="Times New Roman"/>
          <w:sz w:val="22"/>
          <w:szCs w:val="22"/>
          <w:u w:val="single"/>
          <w:lang w:val="en-US"/>
        </w:rPr>
        <w:t>Size exclusion chromatography (SEC)</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hAnsi="Times New Roman" w:cs="Times New Roman"/>
          <w:sz w:val="22"/>
          <w:szCs w:val="22"/>
          <w:lang w:val="en-US"/>
        </w:rPr>
        <w:t xml:space="preserve">The </w:t>
      </w:r>
      <w:r w:rsidRPr="00224914">
        <w:rPr>
          <w:rFonts w:ascii="Times New Roman" w:eastAsia="Times New Roman" w:hAnsi="Times New Roman" w:cs="Times New Roman"/>
          <w:sz w:val="22"/>
          <w:szCs w:val="22"/>
          <w:lang w:val="en-US"/>
        </w:rPr>
        <w:t>OmniSEC system (Malvern) was equipped with detectors for refractive index, right-angle light scattering, low-angle light scattering, UV-Vis absorbance and intrinsic viscosity.</w:t>
      </w:r>
      <w:r w:rsidRPr="00224914">
        <w:rPr>
          <w:rFonts w:ascii="Times New Roman" w:hAnsi="Times New Roman" w:cs="Times New Roman"/>
          <w:sz w:val="22"/>
          <w:szCs w:val="22"/>
          <w:lang w:val="en-US"/>
        </w:rPr>
        <w:t xml:space="preserve"> The </w:t>
      </w:r>
      <w:r w:rsidRPr="00224914">
        <w:rPr>
          <w:rFonts w:ascii="Times New Roman" w:eastAsia="Times New Roman" w:hAnsi="Times New Roman" w:cs="Times New Roman"/>
          <w:sz w:val="22"/>
          <w:szCs w:val="22"/>
          <w:lang w:val="en-US"/>
        </w:rPr>
        <w:t xml:space="preserve">Superdex 200 10/300 column had a column volume of </w:t>
      </w:r>
      <w:r w:rsidRPr="00224914">
        <w:rPr>
          <w:rFonts w:ascii="Times New Roman" w:hAnsi="Times New Roman" w:cs="Times New Roman"/>
          <w:sz w:val="22"/>
          <w:szCs w:val="22"/>
          <w:lang w:val="en-US"/>
        </w:rPr>
        <w:t xml:space="preserve">24mL and a void volume of 8mL. The column oven was set to 35°C. The duration of each run was 55 minutes. The mobile phase (PBS) was composed of 136.9mM </w:t>
      </w:r>
      <w:r w:rsidRPr="00224914">
        <w:rPr>
          <w:rFonts w:ascii="Times New Roman" w:hAnsi="Times New Roman" w:cs="Times New Roman"/>
          <w:sz w:val="22"/>
          <w:szCs w:val="22"/>
          <w:lang w:val="en-US"/>
        </w:rPr>
        <w:lastRenderedPageBreak/>
        <w:t>NaCl, 2.7mM KCl, 8.1mM Na</w:t>
      </w:r>
      <w:r w:rsidRPr="00224914">
        <w:rPr>
          <w:rFonts w:ascii="Times New Roman" w:hAnsi="Times New Roman" w:cs="Times New Roman"/>
          <w:sz w:val="22"/>
          <w:szCs w:val="22"/>
          <w:vertAlign w:val="subscript"/>
          <w:lang w:val="en-US"/>
        </w:rPr>
        <w:t>2</w:t>
      </w:r>
      <w:r w:rsidRPr="00224914">
        <w:rPr>
          <w:rFonts w:ascii="Times New Roman" w:hAnsi="Times New Roman" w:cs="Times New Roman"/>
          <w:sz w:val="22"/>
          <w:szCs w:val="22"/>
          <w:lang w:val="en-US"/>
        </w:rPr>
        <w:t>HPO</w:t>
      </w:r>
      <w:r w:rsidRPr="00224914">
        <w:rPr>
          <w:rFonts w:ascii="Times New Roman" w:hAnsi="Times New Roman" w:cs="Times New Roman"/>
          <w:sz w:val="22"/>
          <w:szCs w:val="22"/>
          <w:vertAlign w:val="subscript"/>
          <w:lang w:val="en-US"/>
        </w:rPr>
        <w:t>4</w:t>
      </w:r>
      <w:r w:rsidRPr="00224914">
        <w:rPr>
          <w:rFonts w:ascii="Times New Roman" w:hAnsi="Times New Roman" w:cs="Times New Roman"/>
          <w:sz w:val="22"/>
          <w:szCs w:val="22"/>
          <w:lang w:val="en-US"/>
        </w:rPr>
        <w:t xml:space="preserve"> and 1.5mM KH</w:t>
      </w:r>
      <w:r w:rsidRPr="00224914">
        <w:rPr>
          <w:rFonts w:ascii="Times New Roman" w:hAnsi="Times New Roman" w:cs="Times New Roman"/>
          <w:sz w:val="22"/>
          <w:szCs w:val="22"/>
          <w:vertAlign w:val="subscript"/>
          <w:lang w:val="en-US"/>
        </w:rPr>
        <w:t>2</w:t>
      </w:r>
      <w:r w:rsidRPr="00224914">
        <w:rPr>
          <w:rFonts w:ascii="Times New Roman" w:hAnsi="Times New Roman" w:cs="Times New Roman"/>
          <w:sz w:val="22"/>
          <w:szCs w:val="22"/>
          <w:lang w:val="en-US"/>
        </w:rPr>
        <w:t>PO</w:t>
      </w:r>
      <w:r w:rsidRPr="00224914">
        <w:rPr>
          <w:rFonts w:ascii="Times New Roman" w:hAnsi="Times New Roman" w:cs="Times New Roman"/>
          <w:sz w:val="22"/>
          <w:szCs w:val="22"/>
          <w:vertAlign w:val="subscript"/>
          <w:lang w:val="en-US"/>
        </w:rPr>
        <w:t>4</w:t>
      </w:r>
      <w:r w:rsidRPr="00224914">
        <w:rPr>
          <w:rFonts w:ascii="Times New Roman" w:hAnsi="Times New Roman" w:cs="Times New Roman"/>
          <w:sz w:val="22"/>
          <w:szCs w:val="22"/>
          <w:lang w:val="en-US"/>
        </w:rPr>
        <w:t xml:space="preserve"> dissolved in MilliQ water and set to a pH of 7.3.</w:t>
      </w:r>
      <w:r w:rsidR="00844194">
        <w:rPr>
          <w:rFonts w:ascii="Times New Roman" w:hAnsi="Times New Roman" w:cs="Times New Roman"/>
          <w:sz w:val="22"/>
          <w:szCs w:val="22"/>
          <w:lang w:val="en-US"/>
        </w:rPr>
        <w:t xml:space="preserve"> </w:t>
      </w:r>
      <w:r w:rsidRPr="00224914">
        <w:rPr>
          <w:rFonts w:ascii="Times New Roman" w:hAnsi="Times New Roman" w:cs="Times New Roman"/>
          <w:sz w:val="22"/>
          <w:szCs w:val="22"/>
          <w:lang w:val="en-US"/>
        </w:rPr>
        <w:t>Bovine serum albumin was used as calibrant and for monitoring variations within the system. Samples were diluted to 1mg/mL with 20mM potassium phosphate buffer (pH 5.5; 0.2µm filtered), filtered through 0.45µm Ultrafree®-MC-HV Durapore® PVDF centrifugation filters and kept in the autosampler at 6°C until injection.</w:t>
      </w:r>
      <w:r w:rsidR="00175A22">
        <w:rPr>
          <w:rFonts w:ascii="Times New Roman" w:hAnsi="Times New Roman" w:cs="Times New Roman"/>
          <w:sz w:val="22"/>
          <w:szCs w:val="22"/>
          <w:lang w:val="en-US"/>
        </w:rPr>
        <w:t xml:space="preserve"> For each measurement run, 100µL (100µg faricimab) were injected.</w:t>
      </w:r>
    </w:p>
    <w:p w:rsidR="00FC6007" w:rsidRPr="00224914" w:rsidRDefault="00FC6007" w:rsidP="00FC6007">
      <w:pPr>
        <w:spacing w:line="480" w:lineRule="auto"/>
        <w:jc w:val="both"/>
        <w:rPr>
          <w:rFonts w:ascii="Times New Roman" w:hAnsi="Times New Roman" w:cs="Times New Roman"/>
          <w:sz w:val="22"/>
          <w:szCs w:val="22"/>
          <w:lang w:val="en-US"/>
        </w:rPr>
      </w:pPr>
    </w:p>
    <w:p w:rsidR="00FC6007" w:rsidRPr="00224914" w:rsidRDefault="00FC6007" w:rsidP="00FC6007">
      <w:pPr>
        <w:spacing w:line="480" w:lineRule="auto"/>
        <w:jc w:val="both"/>
        <w:rPr>
          <w:rFonts w:ascii="Times New Roman" w:hAnsi="Times New Roman" w:cs="Times New Roman"/>
          <w:sz w:val="22"/>
          <w:szCs w:val="22"/>
          <w:u w:val="single"/>
          <w:lang w:val="en-US"/>
        </w:rPr>
      </w:pPr>
      <w:r w:rsidRPr="00224914">
        <w:rPr>
          <w:rFonts w:ascii="Times New Roman" w:hAnsi="Times New Roman" w:cs="Times New Roman"/>
          <w:sz w:val="22"/>
          <w:szCs w:val="22"/>
          <w:u w:val="single"/>
          <w:lang w:val="en-US"/>
        </w:rPr>
        <w:t>Nano Differential Scanning Fluorimetry (nanoDSF)</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hAnsi="Times New Roman" w:cs="Times New Roman"/>
          <w:sz w:val="22"/>
          <w:szCs w:val="22"/>
          <w:lang w:val="en-US"/>
        </w:rPr>
        <w:t>Samples were diluted to 1mg/mL with 20mM potassium phosphate buffer (pH 5.5; 0.2µm filtered) and filtered through 0.45µm Ultrafree®-MC-HV Durapore® PVDF centrifugation filters. Unfolding and aggregation profiles were measured between 20°C and 95°C and a temperature ramp of 1°C per minute.</w:t>
      </w:r>
    </w:p>
    <w:p w:rsidR="00FC6007" w:rsidRPr="00224914" w:rsidRDefault="00FC6007" w:rsidP="00FC6007">
      <w:pPr>
        <w:spacing w:line="480" w:lineRule="auto"/>
        <w:jc w:val="both"/>
        <w:rPr>
          <w:rFonts w:ascii="Times New Roman" w:hAnsi="Times New Roman" w:cs="Times New Roman"/>
          <w:sz w:val="22"/>
          <w:szCs w:val="22"/>
          <w:lang w:val="en-US"/>
        </w:rPr>
      </w:pPr>
    </w:p>
    <w:p w:rsidR="00FC6007" w:rsidRPr="00224914" w:rsidRDefault="00FC6007" w:rsidP="00FC6007">
      <w:pPr>
        <w:spacing w:line="480" w:lineRule="auto"/>
        <w:jc w:val="both"/>
        <w:rPr>
          <w:rFonts w:ascii="Times New Roman" w:hAnsi="Times New Roman" w:cs="Times New Roman"/>
          <w:sz w:val="22"/>
          <w:szCs w:val="22"/>
          <w:u w:val="single"/>
          <w:lang w:val="en-US"/>
        </w:rPr>
      </w:pPr>
      <w:r w:rsidRPr="00224914">
        <w:rPr>
          <w:rFonts w:ascii="Times New Roman" w:hAnsi="Times New Roman" w:cs="Times New Roman"/>
          <w:sz w:val="22"/>
          <w:szCs w:val="22"/>
          <w:u w:val="single"/>
          <w:lang w:val="en-US"/>
        </w:rPr>
        <w:t>Turbidity analysis</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hAnsi="Times New Roman" w:cs="Times New Roman"/>
          <w:sz w:val="22"/>
          <w:szCs w:val="22"/>
          <w:lang w:val="en-US"/>
        </w:rPr>
        <w:t>Samples were diluted to 1mg/mL in 20mM potassium phosphate buffer (pH 5.5; 0.2µm filtered). Absorption was measured at 280nm and 350nm.</w:t>
      </w:r>
    </w:p>
    <w:p w:rsidR="00FC6007" w:rsidRPr="00224914" w:rsidRDefault="00FC6007" w:rsidP="00FC6007">
      <w:pPr>
        <w:spacing w:line="480" w:lineRule="auto"/>
        <w:jc w:val="both"/>
        <w:rPr>
          <w:rFonts w:ascii="Times New Roman" w:hAnsi="Times New Roman" w:cs="Times New Roman"/>
          <w:sz w:val="22"/>
          <w:szCs w:val="22"/>
          <w:lang w:val="en-US"/>
        </w:rPr>
      </w:pPr>
    </w:p>
    <w:p w:rsidR="00FC6007" w:rsidRPr="00224914" w:rsidRDefault="00FC6007" w:rsidP="00FC6007">
      <w:pPr>
        <w:spacing w:line="480" w:lineRule="auto"/>
        <w:jc w:val="both"/>
        <w:rPr>
          <w:rFonts w:ascii="Times New Roman" w:eastAsia="Times New Roman" w:hAnsi="Times New Roman" w:cs="Times New Roman"/>
          <w:sz w:val="22"/>
          <w:szCs w:val="22"/>
          <w:u w:val="single"/>
          <w:lang w:val="en-US"/>
        </w:rPr>
      </w:pPr>
      <w:r w:rsidRPr="00224914">
        <w:rPr>
          <w:rFonts w:ascii="Times New Roman" w:eastAsia="Times New Roman" w:hAnsi="Times New Roman" w:cs="Times New Roman"/>
          <w:sz w:val="22"/>
          <w:szCs w:val="22"/>
          <w:u w:val="single"/>
          <w:lang w:val="en-US"/>
        </w:rPr>
        <w:t>Hydrodynamic diameter of antibody-derived nanoparticles</w:t>
      </w:r>
    </w:p>
    <w:p w:rsidR="00FC6007" w:rsidRDefault="00FC6007" w:rsidP="00DD6907">
      <w:pPr>
        <w:spacing w:line="480" w:lineRule="auto"/>
        <w:jc w:val="both"/>
        <w:rPr>
          <w:rFonts w:ascii="Times New Roman" w:hAnsi="Times New Roman" w:cs="Times New Roman"/>
          <w:sz w:val="22"/>
          <w:szCs w:val="22"/>
          <w:lang w:val="en-US"/>
        </w:rPr>
      </w:pPr>
      <w:r w:rsidRPr="00224914">
        <w:rPr>
          <w:rFonts w:ascii="Times New Roman" w:eastAsia="Times New Roman" w:hAnsi="Times New Roman" w:cs="Times New Roman"/>
          <w:sz w:val="22"/>
          <w:szCs w:val="22"/>
          <w:lang w:val="en-US"/>
        </w:rPr>
        <w:t xml:space="preserve">Faricimab was diluted to 3mg/mL with 20mM </w:t>
      </w:r>
      <w:r w:rsidRPr="00224914">
        <w:rPr>
          <w:rFonts w:ascii="Times New Roman" w:hAnsi="Times New Roman" w:cs="Times New Roman"/>
          <w:sz w:val="22"/>
          <w:szCs w:val="22"/>
          <w:lang w:val="en-US"/>
        </w:rPr>
        <w:t>potassium phosphate buffer (pH 5.5; 0.2µm filtered) by slow pipetting avoiding introduction of air bubbles. For each dilution 6 consecutive measurements were conducted.</w:t>
      </w:r>
    </w:p>
    <w:p w:rsidR="00DD6907" w:rsidRPr="00224914" w:rsidRDefault="00DD6907" w:rsidP="00DD6907">
      <w:pPr>
        <w:spacing w:line="480" w:lineRule="auto"/>
        <w:jc w:val="both"/>
        <w:rPr>
          <w:rFonts w:ascii="Times New Roman" w:hAnsi="Times New Roman" w:cs="Times New Roman"/>
          <w:sz w:val="22"/>
          <w:szCs w:val="22"/>
          <w:lang w:val="en-US"/>
        </w:rPr>
      </w:pPr>
    </w:p>
    <w:p w:rsidR="00FC6007" w:rsidRPr="00224914" w:rsidRDefault="00FC6007" w:rsidP="00FC6007">
      <w:pPr>
        <w:spacing w:line="480" w:lineRule="auto"/>
        <w:jc w:val="both"/>
        <w:rPr>
          <w:rFonts w:ascii="Times New Roman" w:hAnsi="Times New Roman" w:cs="Times New Roman"/>
          <w:sz w:val="22"/>
          <w:szCs w:val="22"/>
          <w:u w:val="single"/>
          <w:lang w:val="en-US"/>
        </w:rPr>
      </w:pPr>
      <w:r w:rsidRPr="00224914">
        <w:rPr>
          <w:rFonts w:ascii="Times New Roman" w:hAnsi="Times New Roman" w:cs="Times New Roman"/>
          <w:sz w:val="22"/>
          <w:szCs w:val="22"/>
          <w:u w:val="single"/>
          <w:lang w:val="en-US"/>
        </w:rPr>
        <w:t>Specific binding of VEGF and Ang-2</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hAnsi="Times New Roman" w:cs="Times New Roman"/>
          <w:sz w:val="22"/>
          <w:szCs w:val="22"/>
          <w:lang w:val="en-US"/>
        </w:rPr>
        <w:t xml:space="preserve">Both antigens (VEGF and Ang-2) were reconstituted in sterile MilliQ water to 0.6mg/mL and filtered through 0.45µm Ultrafree®-MC-HV Durapore® PVDF centrifugation filters. For the binding experiment, the stock solutions were further diluted in HBS-T running buffer (50mM HEPES, 150mM NaCl, 0.005% Tween-20, pH 7.5) to 200nM for VEGF and 100nM for Ang-2. Faricimab samples were diluted in HBS-T buffer to 25nM. </w:t>
      </w:r>
      <w:r w:rsidR="00A43045">
        <w:rPr>
          <w:rFonts w:ascii="Times New Roman" w:hAnsi="Times New Roman" w:cs="Times New Roman"/>
          <w:sz w:val="22"/>
          <w:szCs w:val="22"/>
          <w:lang w:val="en-US"/>
        </w:rPr>
        <w:t xml:space="preserve">The flow rate was set to 7.5µL/min. </w:t>
      </w:r>
      <w:r w:rsidRPr="00224914">
        <w:rPr>
          <w:rFonts w:ascii="Times New Roman" w:hAnsi="Times New Roman" w:cs="Times New Roman"/>
          <w:sz w:val="22"/>
          <w:szCs w:val="22"/>
          <w:lang w:val="en-US"/>
        </w:rPr>
        <w:t xml:space="preserve">The 4PCP Creoptix chip was pre-conditioned with borate buffer (pH 9.0; 0.1M sodium tetraborate decahydrate; 1M NaCl) and 0.2X PBS. The anti-human IgG (Fc) antibody was immobilized by EDC/NHS chemistry using an antibody capture </w:t>
      </w:r>
      <w:r w:rsidRPr="00224914">
        <w:rPr>
          <w:rFonts w:ascii="Times New Roman" w:hAnsi="Times New Roman" w:cs="Times New Roman"/>
          <w:sz w:val="22"/>
          <w:szCs w:val="22"/>
          <w:lang w:val="en-US"/>
        </w:rPr>
        <w:lastRenderedPageBreak/>
        <w:t>kit (Cytiva BR100839) reaching immobilization levels of around 4000pg/mm</w:t>
      </w:r>
      <w:r w:rsidRPr="00224914">
        <w:rPr>
          <w:rFonts w:ascii="Times New Roman" w:hAnsi="Times New Roman" w:cs="Times New Roman"/>
          <w:sz w:val="22"/>
          <w:szCs w:val="22"/>
          <w:vertAlign w:val="superscript"/>
          <w:lang w:val="en-US"/>
        </w:rPr>
        <w:t>2</w:t>
      </w:r>
      <w:r w:rsidRPr="00224914">
        <w:rPr>
          <w:rFonts w:ascii="Times New Roman" w:hAnsi="Times New Roman" w:cs="Times New Roman"/>
          <w:sz w:val="22"/>
          <w:szCs w:val="22"/>
          <w:lang w:val="en-US"/>
        </w:rPr>
        <w:t>. After faricimab injection, a buffer-startup was conducted to wash away any loosely bound faricimab. Before antigen injection a blank measurement was done. The surface mass at the end of the blank measurement was used as reference level to quantify the binding shifts in the sensorgram after antigen injection. Chip regeneration (decoupling of faricimab together with bound antigens from the chip) after every experiment round was done with 3M MgCl</w:t>
      </w:r>
      <w:r w:rsidRPr="00224914">
        <w:rPr>
          <w:rFonts w:ascii="Times New Roman" w:hAnsi="Times New Roman" w:cs="Times New Roman"/>
          <w:sz w:val="22"/>
          <w:szCs w:val="22"/>
          <w:vertAlign w:val="subscript"/>
          <w:lang w:val="en-US"/>
        </w:rPr>
        <w:t>2</w:t>
      </w:r>
      <w:r w:rsidRPr="00224914">
        <w:rPr>
          <w:rFonts w:ascii="Times New Roman" w:hAnsi="Times New Roman" w:cs="Times New Roman"/>
          <w:sz w:val="22"/>
          <w:szCs w:val="22"/>
          <w:lang w:val="en-US"/>
        </w:rPr>
        <w:t xml:space="preserve"> (pH 2.1). </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hAnsi="Times New Roman" w:cs="Times New Roman"/>
          <w:sz w:val="22"/>
          <w:szCs w:val="22"/>
          <w:lang w:val="en-US"/>
        </w:rPr>
        <w:t xml:space="preserve">Three experiments were conducted with faricimab stored in BD Microfine® and ZeroResidual® syringes, whereas in each experiment round the samples for channel 2, 3 and 4 were rotated to exclude negative interference with the results because of channel dependent variations. </w:t>
      </w:r>
      <w:r w:rsidRPr="00224914">
        <w:rPr>
          <w:rFonts w:ascii="Times New Roman" w:hAnsi="Times New Roman" w:cs="Times New Roman"/>
          <w:iCs/>
          <w:sz w:val="22"/>
          <w:szCs w:val="22"/>
          <w:lang w:val="en-US"/>
        </w:rPr>
        <w:t>As 3 replicates of day 0 samples were always included in the measurement cycles together with faricimab samples in BD Microfine® and ZeroResidual® in total 6 replicates of day 0 and 3 replicates of compounded faricimab samples were analyzed.</w:t>
      </w:r>
    </w:p>
    <w:p w:rsidR="00FC6007" w:rsidRPr="00224914" w:rsidRDefault="00FC6007" w:rsidP="00FC6007">
      <w:pPr>
        <w:spacing w:line="480" w:lineRule="auto"/>
        <w:jc w:val="both"/>
        <w:rPr>
          <w:rFonts w:ascii="Times New Roman" w:eastAsia="Times New Roman" w:hAnsi="Times New Roman" w:cs="Times New Roman"/>
          <w:sz w:val="22"/>
          <w:szCs w:val="22"/>
          <w:lang w:val="en-US"/>
        </w:rPr>
      </w:pPr>
    </w:p>
    <w:p w:rsidR="00FC6007" w:rsidRPr="00224914" w:rsidRDefault="00FC6007" w:rsidP="00FC6007">
      <w:pPr>
        <w:spacing w:line="480" w:lineRule="auto"/>
        <w:jc w:val="both"/>
        <w:rPr>
          <w:rFonts w:ascii="Times New Roman" w:hAnsi="Times New Roman" w:cs="Times New Roman"/>
          <w:sz w:val="22"/>
          <w:szCs w:val="22"/>
          <w:u w:val="single"/>
          <w:lang w:val="en-US"/>
        </w:rPr>
      </w:pPr>
      <w:r w:rsidRPr="00224914">
        <w:rPr>
          <w:rFonts w:ascii="Times New Roman" w:hAnsi="Times New Roman" w:cs="Times New Roman"/>
          <w:sz w:val="22"/>
          <w:szCs w:val="22"/>
          <w:u w:val="single"/>
          <w:lang w:val="en-US"/>
        </w:rPr>
        <w:t>Bacterial endotoxins</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hAnsi="Times New Roman" w:cs="Times New Roman"/>
          <w:sz w:val="22"/>
          <w:szCs w:val="22"/>
          <w:lang w:val="en-US"/>
        </w:rPr>
        <w:t xml:space="preserve">Quantification of bacterial endotoxins was done with an Endosafe® PTS system (Charles River) equipped with limulus amebocyte lysate (LAL) cartridges (Charles River; Cat.No.: PTS2005F; measurement range: 0.05 Endotoxin Units (EU)/mL to 5.0EU/mL) as per Ph.Eur. For sample preparation, only endotoxin-free Eppendorf tubes and pipette tips were used. Only measurements showing a spike recovery between 50% to 200% were accepted. </w:t>
      </w:r>
    </w:p>
    <w:p w:rsidR="00FC6007" w:rsidRPr="00224914" w:rsidRDefault="00FC6007" w:rsidP="00FC6007">
      <w:pPr>
        <w:spacing w:line="480" w:lineRule="auto"/>
        <w:jc w:val="both"/>
        <w:rPr>
          <w:rFonts w:ascii="Times New Roman" w:hAnsi="Times New Roman" w:cs="Times New Roman"/>
          <w:sz w:val="22"/>
          <w:szCs w:val="22"/>
          <w:lang w:val="en-US"/>
        </w:rPr>
      </w:pPr>
    </w:p>
    <w:p w:rsidR="00FC6007" w:rsidRPr="00224914" w:rsidRDefault="00FC6007" w:rsidP="00FC6007">
      <w:pPr>
        <w:spacing w:line="480" w:lineRule="auto"/>
        <w:jc w:val="both"/>
        <w:rPr>
          <w:rFonts w:ascii="Times New Roman" w:hAnsi="Times New Roman" w:cs="Times New Roman"/>
          <w:sz w:val="22"/>
          <w:szCs w:val="22"/>
          <w:u w:val="single"/>
          <w:lang w:val="en-US"/>
        </w:rPr>
      </w:pPr>
      <w:r w:rsidRPr="00224914">
        <w:rPr>
          <w:rFonts w:ascii="Times New Roman" w:hAnsi="Times New Roman" w:cs="Times New Roman"/>
          <w:sz w:val="22"/>
          <w:szCs w:val="22"/>
          <w:u w:val="single"/>
          <w:lang w:val="en-US"/>
        </w:rPr>
        <w:t>Sterility</w:t>
      </w:r>
    </w:p>
    <w:p w:rsidR="00FC6007" w:rsidRPr="00224914" w:rsidRDefault="00FC6007" w:rsidP="00FC6007">
      <w:pPr>
        <w:spacing w:line="480" w:lineRule="auto"/>
        <w:jc w:val="both"/>
        <w:rPr>
          <w:rFonts w:ascii="Times New Roman" w:hAnsi="Times New Roman" w:cs="Times New Roman"/>
          <w:sz w:val="22"/>
          <w:szCs w:val="22"/>
          <w:lang w:val="en-US"/>
        </w:rPr>
      </w:pPr>
      <w:r w:rsidRPr="00224914">
        <w:rPr>
          <w:rFonts w:ascii="Times New Roman" w:hAnsi="Times New Roman" w:cs="Times New Roman"/>
          <w:sz w:val="22"/>
          <w:szCs w:val="22"/>
          <w:lang w:val="en-US"/>
        </w:rPr>
        <w:t xml:space="preserve">All culture media used for sterility test </w:t>
      </w:r>
      <w:r w:rsidR="00E3724C" w:rsidRPr="00224914">
        <w:rPr>
          <w:rFonts w:ascii="Times New Roman" w:hAnsi="Times New Roman" w:cs="Times New Roman"/>
          <w:sz w:val="22"/>
          <w:szCs w:val="22"/>
          <w:lang w:val="en-US"/>
        </w:rPr>
        <w:t xml:space="preserve">were </w:t>
      </w:r>
      <w:r w:rsidRPr="00224914">
        <w:rPr>
          <w:rFonts w:ascii="Times New Roman" w:hAnsi="Times New Roman" w:cs="Times New Roman"/>
          <w:sz w:val="22"/>
          <w:szCs w:val="22"/>
          <w:lang w:val="en-US"/>
        </w:rPr>
        <w:t>prepared in accordance to the manufacturer´s instructions. Samples in tryptic soy broth were incubated between 20°C and 25°C for 14 days and samples in fluid thioglycolate medium between 30°C and 35°C for 14 days. At the end of the incubation period, the verification of suitability was confirmed by bacteriostasis and fungistasis tests.</w:t>
      </w:r>
      <w:r w:rsidRPr="00224914">
        <w:rPr>
          <w:rFonts w:ascii="Times New Roman" w:hAnsi="Times New Roman" w:cs="Times New Roman"/>
          <w:sz w:val="22"/>
          <w:szCs w:val="22"/>
        </w:rPr>
        <w:fldChar w:fldCharType="begin"/>
      </w:r>
      <w:r w:rsidRPr="00224914">
        <w:rPr>
          <w:rFonts w:ascii="Times New Roman" w:hAnsi="Times New Roman" w:cs="Times New Roman"/>
          <w:sz w:val="22"/>
          <w:szCs w:val="22"/>
          <w:lang w:val="en-US"/>
        </w:rPr>
        <w:instrText xml:space="preserve"> ADDIN EN.REFLIST </w:instrText>
      </w:r>
      <w:r w:rsidRPr="00224914">
        <w:rPr>
          <w:rFonts w:ascii="Times New Roman" w:hAnsi="Times New Roman" w:cs="Times New Roman"/>
          <w:sz w:val="22"/>
          <w:szCs w:val="22"/>
        </w:rPr>
        <w:fldChar w:fldCharType="end"/>
      </w:r>
    </w:p>
    <w:p w:rsidR="00011352" w:rsidRPr="00224914" w:rsidRDefault="00011352">
      <w:pPr>
        <w:spacing w:after="160" w:line="259" w:lineRule="auto"/>
        <w:rPr>
          <w:rFonts w:ascii="Times New Roman" w:hAnsi="Times New Roman" w:cs="Times New Roman"/>
          <w:b/>
          <w:sz w:val="22"/>
          <w:szCs w:val="22"/>
          <w:lang w:val="en-US"/>
        </w:rPr>
      </w:pPr>
      <w:r w:rsidRPr="00224914">
        <w:rPr>
          <w:rFonts w:ascii="Times New Roman" w:hAnsi="Times New Roman" w:cs="Times New Roman"/>
          <w:b/>
          <w:sz w:val="22"/>
          <w:szCs w:val="22"/>
          <w:lang w:val="en-US"/>
        </w:rPr>
        <w:br w:type="page"/>
      </w:r>
    </w:p>
    <w:p w:rsidR="00011352" w:rsidRDefault="00011352" w:rsidP="00011352">
      <w:pPr>
        <w:spacing w:line="480" w:lineRule="auto"/>
        <w:jc w:val="both"/>
        <w:rPr>
          <w:rFonts w:ascii="Times New Roman" w:hAnsi="Times New Roman" w:cs="Times New Roman"/>
          <w:sz w:val="22"/>
          <w:szCs w:val="22"/>
          <w:u w:val="single"/>
          <w:lang w:val="en-US"/>
        </w:rPr>
      </w:pPr>
      <w:r>
        <w:rPr>
          <w:rFonts w:ascii="Times New Roman" w:hAnsi="Times New Roman" w:cs="Times New Roman"/>
          <w:b/>
          <w:sz w:val="32"/>
          <w:szCs w:val="32"/>
          <w:lang w:val="en-US"/>
        </w:rPr>
        <w:lastRenderedPageBreak/>
        <w:t>Supplementary Figures</w:t>
      </w:r>
    </w:p>
    <w:p w:rsidR="00011352" w:rsidRDefault="00011352" w:rsidP="00011352">
      <w:pPr>
        <w:spacing w:line="360" w:lineRule="auto"/>
        <w:rPr>
          <w:rFonts w:ascii="Times New Roman" w:hAnsi="Times New Roman" w:cs="Times New Roman"/>
        </w:rPr>
      </w:pPr>
      <w:r w:rsidRPr="004A0A0C">
        <w:rPr>
          <w:rFonts w:ascii="Times New Roman" w:hAnsi="Times New Roman" w:cs="Times New Roman"/>
          <w:noProof/>
          <w:lang w:eastAsia="de-AT"/>
        </w:rPr>
        <w:drawing>
          <wp:inline distT="0" distB="0" distL="0" distR="0" wp14:anchorId="3FB8A507" wp14:editId="299FCEB1">
            <wp:extent cx="5760720" cy="3716872"/>
            <wp:effectExtent l="0" t="0" r="0" b="0"/>
            <wp:docPr id="1" name="Grafik 1" descr="T:\QM_Dokumente\ARBEITSORDNER\PB11 Kontrolllabor\BE\PB11-BE Stabilität von Faricimab in PP Spritzen\Publikation\Figures\Supp Figure 1\Supp Figure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QM_Dokumente\ARBEITSORDNER\PB11 Kontrolllabor\BE\PB11-BE Stabilität von Faricimab in PP Spritzen\Publikation\Figures\Supp Figure 1\Supp Figure 1.tif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716872"/>
                    </a:xfrm>
                    <a:prstGeom prst="rect">
                      <a:avLst/>
                    </a:prstGeom>
                    <a:noFill/>
                    <a:ln>
                      <a:noFill/>
                    </a:ln>
                  </pic:spPr>
                </pic:pic>
              </a:graphicData>
            </a:graphic>
          </wp:inline>
        </w:drawing>
      </w:r>
    </w:p>
    <w:p w:rsidR="00011352" w:rsidRPr="00D57627" w:rsidRDefault="00011352" w:rsidP="00011352">
      <w:pPr>
        <w:spacing w:line="360" w:lineRule="auto"/>
        <w:jc w:val="both"/>
        <w:rPr>
          <w:rFonts w:ascii="Times New Roman" w:hAnsi="Times New Roman" w:cs="Times New Roman"/>
          <w:i/>
          <w:sz w:val="22"/>
          <w:szCs w:val="22"/>
          <w:lang w:val="en-US"/>
        </w:rPr>
      </w:pPr>
      <w:r w:rsidRPr="00D57627">
        <w:rPr>
          <w:rFonts w:ascii="Times New Roman" w:hAnsi="Times New Roman" w:cs="Times New Roman"/>
          <w:b/>
          <w:bCs/>
          <w:i/>
          <w:sz w:val="22"/>
          <w:szCs w:val="22"/>
          <w:lang w:val="en-US"/>
        </w:rPr>
        <w:t xml:space="preserve">Supp. Figure 1: Overlay of nanoDSF measurements of faricimab. </w:t>
      </w:r>
      <w:r w:rsidRPr="00D57627">
        <w:rPr>
          <w:rFonts w:ascii="Times New Roman" w:hAnsi="Times New Roman" w:cs="Times New Roman"/>
          <w:i/>
          <w:sz w:val="22"/>
          <w:szCs w:val="22"/>
          <w:lang w:val="en-US"/>
        </w:rPr>
        <w:t>(a) 350nm/330nm graph as a function of temperature. The vertical dashed lines show the automatically detected onset- and the second inflection point. (b) The first derivative of the 350nm/330nm graph shows two peak maxima derived by the unfolding of the C</w:t>
      </w:r>
      <w:r w:rsidRPr="00D57627">
        <w:rPr>
          <w:rFonts w:ascii="Times New Roman" w:hAnsi="Times New Roman" w:cs="Times New Roman"/>
          <w:i/>
          <w:sz w:val="22"/>
          <w:szCs w:val="22"/>
          <w:vertAlign w:val="subscript"/>
          <w:lang w:val="en-US"/>
        </w:rPr>
        <w:t>H</w:t>
      </w:r>
      <w:r w:rsidRPr="00D57627">
        <w:rPr>
          <w:rFonts w:ascii="Times New Roman" w:hAnsi="Times New Roman" w:cs="Times New Roman"/>
          <w:i/>
          <w:sz w:val="22"/>
          <w:szCs w:val="22"/>
          <w:lang w:val="en-US"/>
        </w:rPr>
        <w:t xml:space="preserve">2 domain (first transition; 67°C) and </w:t>
      </w:r>
      <w:r w:rsidRPr="00D57627">
        <w:rPr>
          <w:rFonts w:ascii="Times New Roman" w:hAnsi="Times New Roman" w:cs="Times New Roman"/>
          <w:i/>
          <w:iCs/>
          <w:sz w:val="22"/>
          <w:szCs w:val="22"/>
          <w:lang w:val="en-US"/>
        </w:rPr>
        <w:t>unfolding process of the Fab/C</w:t>
      </w:r>
      <w:r w:rsidRPr="00D57627">
        <w:rPr>
          <w:rFonts w:ascii="Times New Roman" w:hAnsi="Times New Roman" w:cs="Times New Roman"/>
          <w:i/>
          <w:iCs/>
          <w:sz w:val="22"/>
          <w:szCs w:val="22"/>
          <w:vertAlign w:val="subscript"/>
          <w:lang w:val="en-US"/>
        </w:rPr>
        <w:t>H</w:t>
      </w:r>
      <w:r w:rsidRPr="00D57627">
        <w:rPr>
          <w:rFonts w:ascii="Times New Roman" w:hAnsi="Times New Roman" w:cs="Times New Roman"/>
          <w:i/>
          <w:iCs/>
          <w:sz w:val="22"/>
          <w:szCs w:val="22"/>
          <w:lang w:val="en-US"/>
        </w:rPr>
        <w:t>3 domain</w:t>
      </w:r>
      <w:r w:rsidRPr="00D57627">
        <w:rPr>
          <w:rFonts w:ascii="Times New Roman" w:hAnsi="Times New Roman" w:cs="Times New Roman"/>
          <w:i/>
          <w:sz w:val="22"/>
          <w:szCs w:val="22"/>
          <w:lang w:val="en-US"/>
        </w:rPr>
        <w:t xml:space="preserve"> (second peak; maximum; 73°C). (c) Light scattering graph as a function of temperature to detect aggregation processes. The vertical dashed lines show the automatically detected onset- (73°C) and the inflection point (75°C).</w:t>
      </w:r>
    </w:p>
    <w:p w:rsidR="00011352" w:rsidRPr="00D57627" w:rsidRDefault="00011352" w:rsidP="00011352">
      <w:pPr>
        <w:rPr>
          <w:rFonts w:ascii="Times New Roman" w:hAnsi="Times New Roman" w:cs="Times New Roman"/>
          <w:i/>
          <w:sz w:val="22"/>
          <w:szCs w:val="22"/>
          <w:lang w:val="en-US"/>
        </w:rPr>
      </w:pPr>
      <w:r w:rsidRPr="00D57627">
        <w:rPr>
          <w:rFonts w:ascii="Times New Roman" w:hAnsi="Times New Roman" w:cs="Times New Roman"/>
          <w:i/>
          <w:sz w:val="22"/>
          <w:szCs w:val="22"/>
          <w:lang w:val="en-US"/>
        </w:rPr>
        <w:br w:type="page"/>
      </w:r>
    </w:p>
    <w:p w:rsidR="00011352" w:rsidRPr="004A0A0C" w:rsidRDefault="00011352" w:rsidP="00011352">
      <w:pPr>
        <w:spacing w:line="360" w:lineRule="auto"/>
        <w:rPr>
          <w:rFonts w:ascii="Times New Roman" w:hAnsi="Times New Roman" w:cs="Times New Roman"/>
        </w:rPr>
      </w:pPr>
      <w:r w:rsidRPr="004A0A0C">
        <w:rPr>
          <w:rFonts w:ascii="Times New Roman" w:hAnsi="Times New Roman" w:cs="Times New Roman"/>
          <w:noProof/>
          <w:lang w:eastAsia="de-AT"/>
        </w:rPr>
        <w:lastRenderedPageBreak/>
        <w:drawing>
          <wp:inline distT="0" distB="0" distL="0" distR="0" wp14:anchorId="72C92B46" wp14:editId="2A8E0781">
            <wp:extent cx="5135635" cy="3447627"/>
            <wp:effectExtent l="0" t="0" r="0" b="0"/>
            <wp:docPr id="3" name="Grafik 3" descr="T:\QM_Dokumente\ARBEITSORDNER\PB11 Kontrolllabor\BE\PB11-BE Stabilität von Faricimab in PP Spritzen\Publikation\Figures\Supp Figure 2\Supp Figure 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QM_Dokumente\ARBEITSORDNER\PB11 Kontrolllabor\BE\PB11-BE Stabilität von Faricimab in PP Spritzen\Publikation\Figures\Supp Figure 2\Supp Figure 2.tif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58236" cy="3462799"/>
                    </a:xfrm>
                    <a:prstGeom prst="rect">
                      <a:avLst/>
                    </a:prstGeom>
                    <a:noFill/>
                    <a:ln>
                      <a:noFill/>
                    </a:ln>
                  </pic:spPr>
                </pic:pic>
              </a:graphicData>
            </a:graphic>
          </wp:inline>
        </w:drawing>
      </w:r>
    </w:p>
    <w:p w:rsidR="00011352" w:rsidRPr="00D57627" w:rsidRDefault="00011352" w:rsidP="00011352">
      <w:pPr>
        <w:spacing w:line="360" w:lineRule="auto"/>
        <w:jc w:val="both"/>
        <w:rPr>
          <w:rFonts w:ascii="Times New Roman" w:hAnsi="Times New Roman" w:cs="Times New Roman"/>
          <w:i/>
          <w:sz w:val="22"/>
          <w:szCs w:val="22"/>
          <w:lang w:val="en-US"/>
        </w:rPr>
      </w:pPr>
      <w:r w:rsidRPr="00D57627">
        <w:rPr>
          <w:rFonts w:ascii="Times New Roman" w:hAnsi="Times New Roman" w:cs="Times New Roman"/>
          <w:b/>
          <w:bCs/>
          <w:i/>
          <w:sz w:val="22"/>
          <w:szCs w:val="22"/>
          <w:lang w:val="en-US"/>
        </w:rPr>
        <w:t xml:space="preserve">Supp. Figure 2: Representative sensorgram of a GCI measurement circle to evaluate binding efficiency of faricimab </w:t>
      </w:r>
      <w:r w:rsidR="006B750C" w:rsidRPr="00D57627">
        <w:rPr>
          <w:rFonts w:ascii="Times New Roman" w:hAnsi="Times New Roman" w:cs="Times New Roman"/>
          <w:b/>
          <w:bCs/>
          <w:i/>
          <w:sz w:val="22"/>
          <w:szCs w:val="22"/>
          <w:lang w:val="en-US"/>
        </w:rPr>
        <w:t>to</w:t>
      </w:r>
      <w:r w:rsidRPr="00D57627">
        <w:rPr>
          <w:rFonts w:ascii="Times New Roman" w:hAnsi="Times New Roman" w:cs="Times New Roman"/>
          <w:b/>
          <w:bCs/>
          <w:i/>
          <w:sz w:val="22"/>
          <w:szCs w:val="22"/>
          <w:lang w:val="en-US"/>
        </w:rPr>
        <w:t xml:space="preserve"> VEGF and Ang-2. </w:t>
      </w:r>
      <w:r w:rsidRPr="00D57627">
        <w:rPr>
          <w:rFonts w:ascii="Times New Roman" w:hAnsi="Times New Roman" w:cs="Times New Roman"/>
          <w:i/>
          <w:sz w:val="22"/>
          <w:szCs w:val="22"/>
          <w:lang w:val="en-US"/>
        </w:rPr>
        <w:t>The sensorgram of the control channel (channel 1) is depicted as a blue line, whereas the sensorgrams of channel 2, 3 and 4 are depicted as a red, green and yellow line, respectively. VEGF and Ang-2 injection into channel 1 resulted in bulk signal</w:t>
      </w:r>
      <w:r w:rsidR="00656D83">
        <w:rPr>
          <w:rFonts w:ascii="Times New Roman" w:hAnsi="Times New Roman" w:cs="Times New Roman"/>
          <w:i/>
          <w:sz w:val="22"/>
          <w:szCs w:val="22"/>
          <w:lang w:val="en-US"/>
        </w:rPr>
        <w:t>,</w:t>
      </w:r>
      <w:bookmarkStart w:id="0" w:name="_GoBack"/>
      <w:bookmarkEnd w:id="0"/>
      <w:r w:rsidRPr="00D57627">
        <w:rPr>
          <w:rFonts w:ascii="Times New Roman" w:hAnsi="Times New Roman" w:cs="Times New Roman"/>
          <w:i/>
          <w:sz w:val="22"/>
          <w:szCs w:val="22"/>
          <w:lang w:val="en-US"/>
        </w:rPr>
        <w:t xml:space="preserve"> which went back to the baseline level. Faricimab was immobilized in channel 2 to 4. In those channels specific binding was existent for both antigens.</w:t>
      </w:r>
    </w:p>
    <w:p w:rsidR="00322E07" w:rsidRPr="00D57627" w:rsidRDefault="00322E07">
      <w:pPr>
        <w:rPr>
          <w:sz w:val="22"/>
          <w:szCs w:val="22"/>
          <w:lang w:val="en-US"/>
        </w:rPr>
      </w:pPr>
    </w:p>
    <w:sectPr w:rsidR="00322E07" w:rsidRPr="00D57627">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5A5F" w:rsidRDefault="002F5A5F">
      <w:r>
        <w:separator/>
      </w:r>
    </w:p>
  </w:endnote>
  <w:endnote w:type="continuationSeparator" w:id="0">
    <w:p w:rsidR="002F5A5F" w:rsidRDefault="002F5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7B9" w:rsidRDefault="00FC6007" w:rsidP="00F52892">
    <w:pPr>
      <w:pStyle w:val="Fuzeile"/>
      <w:jc w:val="right"/>
    </w:pPr>
    <w:r>
      <w:t xml:space="preserve">Supplementary </w:t>
    </w:r>
    <w:r w:rsidR="000976AB">
      <w:t>Information</w:t>
    </w:r>
    <w:r>
      <w:tab/>
    </w:r>
    <w:r>
      <w:tab/>
      <w:t xml:space="preserve">Page </w:t>
    </w:r>
    <w:sdt>
      <w:sdtPr>
        <w:id w:val="636845387"/>
        <w:docPartObj>
          <w:docPartGallery w:val="Page Numbers (Bottom of Page)"/>
          <w:docPartUnique/>
        </w:docPartObj>
      </w:sdtPr>
      <w:sdtEndPr/>
      <w:sdtContent>
        <w:r>
          <w:fldChar w:fldCharType="begin"/>
        </w:r>
        <w:r>
          <w:instrText>PAGE   \* MERGEFORMAT</w:instrText>
        </w:r>
        <w:r>
          <w:fldChar w:fldCharType="separate"/>
        </w:r>
        <w:r w:rsidR="00656D83" w:rsidRPr="00656D83">
          <w:rPr>
            <w:noProof/>
            <w:lang w:val="de-DE"/>
          </w:rPr>
          <w:t>1</w:t>
        </w:r>
        <w: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5A5F" w:rsidRDefault="002F5A5F">
      <w:r>
        <w:separator/>
      </w:r>
    </w:p>
  </w:footnote>
  <w:footnote w:type="continuationSeparator" w:id="0">
    <w:p w:rsidR="002F5A5F" w:rsidRDefault="002F5A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007"/>
    <w:rsid w:val="00011352"/>
    <w:rsid w:val="000976AB"/>
    <w:rsid w:val="00175A22"/>
    <w:rsid w:val="001C2D85"/>
    <w:rsid w:val="00224914"/>
    <w:rsid w:val="002D3549"/>
    <w:rsid w:val="002F5A5F"/>
    <w:rsid w:val="00322E07"/>
    <w:rsid w:val="00534DE7"/>
    <w:rsid w:val="00543443"/>
    <w:rsid w:val="00656D83"/>
    <w:rsid w:val="006B750C"/>
    <w:rsid w:val="007F17B9"/>
    <w:rsid w:val="00844194"/>
    <w:rsid w:val="00932468"/>
    <w:rsid w:val="00937E7F"/>
    <w:rsid w:val="00937F4C"/>
    <w:rsid w:val="009B47FC"/>
    <w:rsid w:val="00A43045"/>
    <w:rsid w:val="00AD54C4"/>
    <w:rsid w:val="00AD5C1D"/>
    <w:rsid w:val="00C20DF8"/>
    <w:rsid w:val="00D57627"/>
    <w:rsid w:val="00DD6907"/>
    <w:rsid w:val="00E04551"/>
    <w:rsid w:val="00E3724C"/>
    <w:rsid w:val="00E47706"/>
    <w:rsid w:val="00EF5ACF"/>
    <w:rsid w:val="00FC6007"/>
    <w:rsid w:val="00FF3CA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53BDC"/>
  <w15:chartTrackingRefBased/>
  <w15:docId w15:val="{697EBAEF-C1E7-4E92-A191-CAE70A735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C6007"/>
    <w:pPr>
      <w:spacing w:after="0" w:line="240" w:lineRule="auto"/>
    </w:pPr>
    <w:rPr>
      <w:kern w:val="2"/>
      <w:sz w:val="24"/>
      <w:szCs w:val="24"/>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FC6007"/>
    <w:pPr>
      <w:tabs>
        <w:tab w:val="center" w:pos="4536"/>
        <w:tab w:val="right" w:pos="9072"/>
      </w:tabs>
    </w:pPr>
  </w:style>
  <w:style w:type="character" w:customStyle="1" w:styleId="FuzeileZchn">
    <w:name w:val="Fußzeile Zchn"/>
    <w:basedOn w:val="Absatz-Standardschriftart"/>
    <w:link w:val="Fuzeile"/>
    <w:uiPriority w:val="99"/>
    <w:rsid w:val="00FC6007"/>
    <w:rPr>
      <w:kern w:val="2"/>
      <w:sz w:val="24"/>
      <w:szCs w:val="24"/>
      <w14:ligatures w14:val="standardContextual"/>
    </w:rPr>
  </w:style>
  <w:style w:type="character" w:styleId="Hyperlink">
    <w:name w:val="Hyperlink"/>
    <w:uiPriority w:val="99"/>
    <w:unhideWhenUsed/>
    <w:rsid w:val="00FC6007"/>
    <w:rPr>
      <w:color w:val="0563C1"/>
      <w:u w:val="single"/>
    </w:rPr>
  </w:style>
  <w:style w:type="paragraph" w:styleId="Kopfzeile">
    <w:name w:val="header"/>
    <w:basedOn w:val="Standard"/>
    <w:link w:val="KopfzeileZchn"/>
    <w:uiPriority w:val="99"/>
    <w:unhideWhenUsed/>
    <w:rsid w:val="000976AB"/>
    <w:pPr>
      <w:tabs>
        <w:tab w:val="center" w:pos="4536"/>
        <w:tab w:val="right" w:pos="9072"/>
      </w:tabs>
    </w:pPr>
  </w:style>
  <w:style w:type="character" w:customStyle="1" w:styleId="KopfzeileZchn">
    <w:name w:val="Kopfzeile Zchn"/>
    <w:basedOn w:val="Absatz-Standardschriftart"/>
    <w:link w:val="Kopfzeile"/>
    <w:uiPriority w:val="99"/>
    <w:rsid w:val="000976AB"/>
    <w:rPr>
      <w:kern w:val="2"/>
      <w:sz w:val="24"/>
      <w:szCs w:val="24"/>
      <w14:ligatures w14:val="standardContextual"/>
    </w:rPr>
  </w:style>
  <w:style w:type="paragraph" w:styleId="Sprechblasentext">
    <w:name w:val="Balloon Text"/>
    <w:basedOn w:val="Standard"/>
    <w:link w:val="SprechblasentextZchn"/>
    <w:uiPriority w:val="99"/>
    <w:semiHidden/>
    <w:unhideWhenUsed/>
    <w:rsid w:val="00E3724C"/>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3724C"/>
    <w:rPr>
      <w:rFonts w:ascii="Segoe UI" w:hAnsi="Segoe UI" w:cs="Segoe UI"/>
      <w:kern w:val="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ebastian.waldstein@mistelbach.lknoe.a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1102</Words>
  <Characters>6948</Characters>
  <Application>Microsoft Office Word</Application>
  <DocSecurity>0</DocSecurity>
  <Lines>57</Lines>
  <Paragraphs>16</Paragraphs>
  <ScaleCrop>false</ScaleCrop>
  <HeadingPairs>
    <vt:vector size="2" baseType="variant">
      <vt:variant>
        <vt:lpstr>Titel</vt:lpstr>
      </vt:variant>
      <vt:variant>
        <vt:i4>1</vt:i4>
      </vt:variant>
    </vt:vector>
  </HeadingPairs>
  <TitlesOfParts>
    <vt:vector size="1" baseType="lpstr">
      <vt:lpstr/>
    </vt:vector>
  </TitlesOfParts>
  <Company>Universitätsklinikum St. Pölten</Company>
  <LinksUpToDate>false</LinksUpToDate>
  <CharactersWithSpaces>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Taschauer Alexander, UK St. Pölten</dc:creator>
  <cp:keywords/>
  <dc:description/>
  <cp:lastModifiedBy>Taschauer Alexander, UK St. Pölten</cp:lastModifiedBy>
  <cp:revision>17</cp:revision>
  <dcterms:created xsi:type="dcterms:W3CDTF">2024-02-14T09:45:00Z</dcterms:created>
  <dcterms:modified xsi:type="dcterms:W3CDTF">2024-03-06T06:25:00Z</dcterms:modified>
</cp:coreProperties>
</file>