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2944" w14:textId="77777777" w:rsidR="009F7E06" w:rsidRDefault="002411B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Supplemental Table S1 Risk classification standard</w:t>
      </w:r>
      <w:r>
        <w:rPr>
          <w:rFonts w:ascii="Times New Roman" w:hAnsi="Times New Roman" w:hint="eastAsia"/>
          <w:sz w:val="24"/>
        </w:rPr>
        <w:t>.</w:t>
      </w:r>
    </w:p>
    <w:tbl>
      <w:tblPr>
        <w:tblW w:w="901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280"/>
        <w:gridCol w:w="2489"/>
        <w:gridCol w:w="2241"/>
      </w:tblGrid>
      <w:tr w:rsidR="009F7E06" w14:paraId="24065849" w14:textId="77777777">
        <w:trPr>
          <w:jc w:val="center"/>
        </w:trPr>
        <w:tc>
          <w:tcPr>
            <w:tcW w:w="4280" w:type="dxa"/>
            <w:tcBorders>
              <w:bottom w:val="single" w:sz="12" w:space="0" w:color="auto"/>
            </w:tcBorders>
          </w:tcPr>
          <w:p w14:paraId="6D89F22A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low-risk </w:t>
            </w: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14:paraId="601C14A4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intermediate-risk</w:t>
            </w:r>
          </w:p>
        </w:tc>
        <w:tc>
          <w:tcPr>
            <w:tcW w:w="2241" w:type="dxa"/>
            <w:tcBorders>
              <w:bottom w:val="single" w:sz="12" w:space="0" w:color="auto"/>
            </w:tcBorders>
          </w:tcPr>
          <w:p w14:paraId="3050BA43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high-risk</w:t>
            </w:r>
          </w:p>
        </w:tc>
      </w:tr>
      <w:tr w:rsidR="009F7E06" w14:paraId="38BE9331" w14:textId="77777777">
        <w:trPr>
          <w:jc w:val="center"/>
        </w:trPr>
        <w:tc>
          <w:tcPr>
            <w:tcW w:w="4280" w:type="dxa"/>
            <w:tcBorders>
              <w:top w:val="single" w:sz="12" w:space="0" w:color="auto"/>
            </w:tcBorders>
          </w:tcPr>
          <w:p w14:paraId="2275A7FC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1.Necessary conditions</w:t>
            </w:r>
          </w:p>
          <w:p w14:paraId="16BA429F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patients with B-lineage ALL (B-ALL), who met one of the following criteria </w:t>
            </w:r>
          </w:p>
          <w:p w14:paraId="029A7999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Times New Roman" w:hAnsi="Times New Roman"/>
                <w:sz w:val="24"/>
              </w:rPr>
              <w:t>age≥365 days and &lt;10 years and presenting leukocyte count ≤50×10</w:t>
            </w:r>
            <w:r>
              <w:rPr>
                <w:rFonts w:ascii="Times New Roman" w:hAnsi="Times New Roman"/>
                <w:sz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</w:rPr>
              <w:t>/L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; </w:t>
            </w:r>
          </w:p>
          <w:p w14:paraId="7B37A005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②</w:t>
            </w:r>
            <w:proofErr w:type="spellStart"/>
            <w:r>
              <w:rPr>
                <w:rFonts w:ascii="Times New Roman" w:hAnsi="Times New Roman"/>
                <w:sz w:val="24"/>
              </w:rPr>
              <w:t>hyperdiploidy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(≥50 chromosomes or DNA index≥1.16);</w:t>
            </w:r>
          </w:p>
          <w:p w14:paraId="2002DDED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③</w:t>
            </w:r>
            <w:r>
              <w:rPr>
                <w:rFonts w:ascii="Times New Roman" w:hAnsi="Times New Roman"/>
                <w:sz w:val="24"/>
              </w:rPr>
              <w:t>ETV6-RUNX1 fusion-positive;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29088C1D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ascii="Times New Roman" w:hAnsi="Times New Roman"/>
                <w:sz w:val="24"/>
              </w:rPr>
              <w:t>but not have</w:t>
            </w:r>
            <w:r>
              <w:rPr>
                <w:rFonts w:ascii="Times New Roman" w:hAnsi="Times New Roman"/>
                <w:sz w:val="24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47F40528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Times New Roman" w:hAnsi="Times New Roman"/>
                <w:sz w:val="24"/>
              </w:rPr>
              <w:t>central n</w:t>
            </w:r>
            <w:r>
              <w:rPr>
                <w:rFonts w:ascii="Times New Roman" w:hAnsi="Times New Roman"/>
                <w:sz w:val="24"/>
              </w:rPr>
              <w:t>ervous system (CNS) leukemia and/or testicular leukemia;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7776BA73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Times New Roman" w:hAnsi="Times New Roman"/>
                <w:sz w:val="24"/>
              </w:rPr>
              <w:t xml:space="preserve">adverse genetic features: t (9;22) or BCR-ABL1 fusion; t (1;19) or TCF3-PBX1 fusion; or hypodiploidy (&lt;44 chromosomes); iAMP21,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20DBD5B3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③D19 MRD≥1%</w:t>
            </w:r>
          </w:p>
        </w:tc>
        <w:tc>
          <w:tcPr>
            <w:tcW w:w="2489" w:type="dxa"/>
            <w:tcBorders>
              <w:top w:val="single" w:sz="12" w:space="0" w:color="auto"/>
            </w:tcBorders>
          </w:tcPr>
          <w:p w14:paraId="2CA1FAB0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1.Ph</w:t>
            </w:r>
            <w:r>
              <w:rPr>
                <w:rFonts w:ascii="Times New Roman" w:hAnsi="Times New Roman"/>
                <w:color w:val="000000"/>
                <w:kern w:val="0"/>
                <w:sz w:val="24"/>
                <w:vertAlign w:val="superscript"/>
                <w:lang w:bidi="ar"/>
              </w:rPr>
              <w:t>＋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ALL </w:t>
            </w:r>
          </w:p>
          <w:p w14:paraId="5D1AF06D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2.T-ALL </w:t>
            </w:r>
          </w:p>
          <w:p w14:paraId="6D86722B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3.MLLr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Age≥6 months or </w:t>
            </w:r>
          </w:p>
          <w:p w14:paraId="59D6BD07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WBC&lt;300×10</w:t>
            </w:r>
            <w:r>
              <w:rPr>
                <w:rFonts w:ascii="Times New Roman" w:hAnsi="Times New Roman"/>
                <w:color w:val="000000"/>
                <w:kern w:val="0"/>
                <w:sz w:val="24"/>
                <w:vertAlign w:val="superscript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/L </w:t>
            </w:r>
          </w:p>
          <w:p w14:paraId="1E1E947B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．</w:t>
            </w:r>
            <w:r>
              <w:rPr>
                <w:rFonts w:ascii="Times New Roman" w:hAnsi="Times New Roman"/>
                <w:sz w:val="24"/>
              </w:rPr>
              <w:t>hypodiploidy (&lt;44 chromosomes</w:t>
            </w:r>
          </w:p>
          <w:p w14:paraId="1632EB7B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5.ALL not eligible for low and high-risk groups</w:t>
            </w:r>
          </w:p>
          <w:p w14:paraId="3A809B63" w14:textId="77777777" w:rsidR="009F7E06" w:rsidRDefault="009F7E06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41" w:type="dxa"/>
            <w:tcBorders>
              <w:top w:val="single" w:sz="12" w:space="0" w:color="auto"/>
            </w:tcBorders>
          </w:tcPr>
          <w:p w14:paraId="72D5E64D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1.D46 MRD≥1%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；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12F100CD" w14:textId="77777777" w:rsidR="009F7E06" w:rsidRDefault="002411B2">
            <w:pPr>
              <w:widowControl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infants younger than 6 months with KMT2A rearrangement and a leucocyte count of 300 ×10⁹/L or more </w:t>
            </w:r>
          </w:p>
          <w:p w14:paraId="42B87072" w14:textId="77777777" w:rsidR="009F7E06" w:rsidRDefault="009F7E06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</w:tbl>
    <w:p w14:paraId="491EBA27" w14:textId="77777777" w:rsidR="002411B2" w:rsidRDefault="002411B2">
      <w:pPr>
        <w:rPr>
          <w:rFonts w:ascii="Times New Roman" w:hAnsi="Times New Roman"/>
          <w:sz w:val="24"/>
        </w:rPr>
      </w:pPr>
    </w:p>
    <w:p w14:paraId="18ACB042" w14:textId="77777777" w:rsidR="002411B2" w:rsidRDefault="002411B2">
      <w:pPr>
        <w:rPr>
          <w:rFonts w:ascii="Times New Roman" w:hAnsi="Times New Roman"/>
          <w:sz w:val="24"/>
        </w:rPr>
      </w:pPr>
    </w:p>
    <w:p w14:paraId="7DE0D52B" w14:textId="77777777" w:rsidR="002411B2" w:rsidRDefault="002411B2">
      <w:pPr>
        <w:rPr>
          <w:rFonts w:ascii="Times New Roman" w:hAnsi="Times New Roman"/>
          <w:sz w:val="24"/>
        </w:rPr>
      </w:pPr>
    </w:p>
    <w:p w14:paraId="0E55623C" w14:textId="77777777" w:rsidR="002411B2" w:rsidRDefault="002411B2">
      <w:pPr>
        <w:rPr>
          <w:rFonts w:ascii="Times New Roman" w:hAnsi="Times New Roman"/>
          <w:sz w:val="24"/>
        </w:rPr>
      </w:pPr>
    </w:p>
    <w:p w14:paraId="141B1D2A" w14:textId="77777777" w:rsidR="002411B2" w:rsidRDefault="002411B2">
      <w:pPr>
        <w:rPr>
          <w:rFonts w:ascii="Times New Roman" w:hAnsi="Times New Roman"/>
          <w:sz w:val="24"/>
        </w:rPr>
      </w:pPr>
    </w:p>
    <w:p w14:paraId="32FD4E67" w14:textId="77777777" w:rsidR="002411B2" w:rsidRDefault="002411B2">
      <w:pPr>
        <w:rPr>
          <w:rFonts w:ascii="Times New Roman" w:hAnsi="Times New Roman"/>
          <w:sz w:val="24"/>
        </w:rPr>
      </w:pPr>
    </w:p>
    <w:p w14:paraId="61CB99C1" w14:textId="77777777" w:rsidR="002411B2" w:rsidRDefault="002411B2">
      <w:pPr>
        <w:rPr>
          <w:rFonts w:ascii="Times New Roman" w:hAnsi="Times New Roman"/>
          <w:sz w:val="24"/>
        </w:rPr>
      </w:pPr>
    </w:p>
    <w:p w14:paraId="6F3AB3FA" w14:textId="77777777" w:rsidR="002411B2" w:rsidRDefault="002411B2">
      <w:pPr>
        <w:rPr>
          <w:rFonts w:ascii="Times New Roman" w:hAnsi="Times New Roman"/>
          <w:sz w:val="24"/>
        </w:rPr>
      </w:pPr>
    </w:p>
    <w:p w14:paraId="330DF522" w14:textId="77777777" w:rsidR="002411B2" w:rsidRDefault="002411B2">
      <w:pPr>
        <w:rPr>
          <w:rFonts w:ascii="Times New Roman" w:hAnsi="Times New Roman"/>
          <w:sz w:val="24"/>
        </w:rPr>
      </w:pPr>
    </w:p>
    <w:p w14:paraId="48951965" w14:textId="77777777" w:rsidR="002411B2" w:rsidRDefault="002411B2">
      <w:pPr>
        <w:rPr>
          <w:rFonts w:ascii="Times New Roman" w:hAnsi="Times New Roman"/>
          <w:sz w:val="24"/>
        </w:rPr>
      </w:pPr>
    </w:p>
    <w:p w14:paraId="5586A591" w14:textId="77777777" w:rsidR="002411B2" w:rsidRDefault="002411B2">
      <w:pPr>
        <w:rPr>
          <w:rFonts w:ascii="Times New Roman" w:hAnsi="Times New Roman"/>
          <w:sz w:val="24"/>
        </w:rPr>
      </w:pPr>
    </w:p>
    <w:p w14:paraId="42000CD3" w14:textId="77777777" w:rsidR="002411B2" w:rsidRDefault="002411B2">
      <w:pPr>
        <w:rPr>
          <w:rFonts w:ascii="Times New Roman" w:hAnsi="Times New Roman"/>
          <w:sz w:val="24"/>
        </w:rPr>
      </w:pPr>
    </w:p>
    <w:p w14:paraId="61EBA3BB" w14:textId="77777777" w:rsidR="002411B2" w:rsidRDefault="002411B2">
      <w:pPr>
        <w:rPr>
          <w:rFonts w:ascii="Times New Roman" w:hAnsi="Times New Roman"/>
          <w:sz w:val="24"/>
        </w:rPr>
      </w:pPr>
    </w:p>
    <w:p w14:paraId="01940ECD" w14:textId="77777777" w:rsidR="002411B2" w:rsidRDefault="002411B2">
      <w:pPr>
        <w:rPr>
          <w:rFonts w:ascii="Times New Roman" w:hAnsi="Times New Roman"/>
          <w:sz w:val="24"/>
        </w:rPr>
      </w:pPr>
    </w:p>
    <w:p w14:paraId="6B76618A" w14:textId="77777777" w:rsidR="002411B2" w:rsidRDefault="002411B2">
      <w:pPr>
        <w:rPr>
          <w:rFonts w:ascii="Times New Roman" w:hAnsi="Times New Roman"/>
          <w:sz w:val="24"/>
        </w:rPr>
      </w:pPr>
    </w:p>
    <w:p w14:paraId="19D48E3C" w14:textId="77777777" w:rsidR="002411B2" w:rsidRDefault="002411B2">
      <w:pPr>
        <w:rPr>
          <w:rFonts w:ascii="Times New Roman" w:hAnsi="Times New Roman"/>
          <w:sz w:val="24"/>
        </w:rPr>
      </w:pPr>
    </w:p>
    <w:p w14:paraId="5487511B" w14:textId="77777777" w:rsidR="002411B2" w:rsidRDefault="002411B2">
      <w:pPr>
        <w:rPr>
          <w:rFonts w:ascii="Times New Roman" w:hAnsi="Times New Roman"/>
          <w:sz w:val="24"/>
        </w:rPr>
      </w:pPr>
    </w:p>
    <w:p w14:paraId="25F3A03F" w14:textId="77777777" w:rsidR="002411B2" w:rsidRDefault="002411B2">
      <w:pPr>
        <w:rPr>
          <w:rFonts w:ascii="Times New Roman" w:hAnsi="Times New Roman"/>
          <w:sz w:val="24"/>
        </w:rPr>
      </w:pPr>
    </w:p>
    <w:p w14:paraId="47F73227" w14:textId="77777777" w:rsidR="002411B2" w:rsidRDefault="002411B2">
      <w:pPr>
        <w:rPr>
          <w:rFonts w:ascii="Times New Roman" w:hAnsi="Times New Roman"/>
          <w:sz w:val="24"/>
        </w:rPr>
      </w:pPr>
    </w:p>
    <w:p w14:paraId="0452C0C7" w14:textId="77777777" w:rsidR="002411B2" w:rsidRDefault="002411B2">
      <w:pPr>
        <w:rPr>
          <w:rFonts w:ascii="Times New Roman" w:hAnsi="Times New Roman"/>
          <w:sz w:val="24"/>
        </w:rPr>
      </w:pPr>
    </w:p>
    <w:p w14:paraId="03A0C46F" w14:textId="77777777" w:rsidR="002411B2" w:rsidRDefault="002411B2">
      <w:pPr>
        <w:rPr>
          <w:rFonts w:ascii="Times New Roman" w:hAnsi="Times New Roman"/>
          <w:sz w:val="24"/>
        </w:rPr>
      </w:pPr>
    </w:p>
    <w:p w14:paraId="17B5343F" w14:textId="77777777" w:rsidR="002411B2" w:rsidRDefault="002411B2">
      <w:pPr>
        <w:rPr>
          <w:rFonts w:ascii="Times New Roman" w:hAnsi="Times New Roman"/>
          <w:sz w:val="24"/>
        </w:rPr>
      </w:pPr>
    </w:p>
    <w:p w14:paraId="6FDC3EC7" w14:textId="77777777" w:rsidR="002411B2" w:rsidRDefault="002411B2">
      <w:pPr>
        <w:rPr>
          <w:rFonts w:ascii="Times New Roman" w:hAnsi="Times New Roman"/>
          <w:sz w:val="24"/>
        </w:rPr>
      </w:pPr>
    </w:p>
    <w:p w14:paraId="01E67069" w14:textId="77777777" w:rsidR="002411B2" w:rsidRDefault="002411B2">
      <w:pPr>
        <w:rPr>
          <w:rFonts w:ascii="Times New Roman" w:hAnsi="Times New Roman"/>
          <w:sz w:val="24"/>
        </w:rPr>
      </w:pPr>
    </w:p>
    <w:p w14:paraId="58D387FD" w14:textId="77777777" w:rsidR="002411B2" w:rsidRDefault="002411B2">
      <w:pPr>
        <w:rPr>
          <w:rFonts w:ascii="Times New Roman" w:hAnsi="Times New Roman"/>
          <w:sz w:val="24"/>
        </w:rPr>
      </w:pPr>
    </w:p>
    <w:p w14:paraId="0221871C" w14:textId="00730D58" w:rsidR="009F7E06" w:rsidRDefault="002411B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Supplemental Table S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Basic characteristics of 337 ALL children</w:t>
      </w:r>
      <w:r>
        <w:rPr>
          <w:rFonts w:ascii="Times New Roman" w:hAnsi="Times New Roman" w:hint="eastAsia"/>
          <w:sz w:val="24"/>
        </w:rPr>
        <w:t>.</w:t>
      </w:r>
    </w:p>
    <w:tbl>
      <w:tblPr>
        <w:tblW w:w="4828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1698"/>
        <w:gridCol w:w="1838"/>
        <w:gridCol w:w="2205"/>
      </w:tblGrid>
      <w:tr w:rsidR="009F7E06" w14:paraId="76FE8928" w14:textId="77777777">
        <w:trPr>
          <w:trHeight w:val="423"/>
          <w:jc w:val="center"/>
        </w:trPr>
        <w:tc>
          <w:tcPr>
            <w:tcW w:w="1510" w:type="pct"/>
            <w:tcBorders>
              <w:bottom w:val="single" w:sz="12" w:space="0" w:color="auto"/>
            </w:tcBorders>
          </w:tcPr>
          <w:p w14:paraId="5B48FB83" w14:textId="77777777" w:rsidR="009F7E06" w:rsidRDefault="009F7E06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pct"/>
            <w:tcBorders>
              <w:bottom w:val="single" w:sz="12" w:space="0" w:color="auto"/>
            </w:tcBorders>
          </w:tcPr>
          <w:p w14:paraId="19E5AF3B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n(</w:t>
            </w:r>
            <w:proofErr w:type="gramEnd"/>
            <w:r>
              <w:rPr>
                <w:rFonts w:ascii="Times New Roman" w:hAnsi="Times New Roman"/>
                <w:sz w:val="24"/>
              </w:rPr>
              <w:t>%)</w:t>
            </w:r>
          </w:p>
        </w:tc>
        <w:tc>
          <w:tcPr>
            <w:tcW w:w="1117" w:type="pct"/>
            <w:tcBorders>
              <w:bottom w:val="single" w:sz="12" w:space="0" w:color="auto"/>
            </w:tcBorders>
          </w:tcPr>
          <w:p w14:paraId="1B801E5D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bottom w:val="single" w:sz="12" w:space="0" w:color="auto"/>
            </w:tcBorders>
          </w:tcPr>
          <w:p w14:paraId="1D19848B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0F4A3D7D" w14:textId="77777777">
        <w:trPr>
          <w:jc w:val="center"/>
        </w:trPr>
        <w:tc>
          <w:tcPr>
            <w:tcW w:w="1510" w:type="pct"/>
            <w:tcBorders>
              <w:top w:val="single" w:sz="12" w:space="0" w:color="auto"/>
            </w:tcBorders>
          </w:tcPr>
          <w:p w14:paraId="1DE0BA5F" w14:textId="77777777" w:rsidR="009F7E06" w:rsidRDefault="002411B2">
            <w:pPr>
              <w:pStyle w:val="Default"/>
              <w:ind w:firstLineChars="200" w:firstLine="48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Gender </w:t>
            </w:r>
          </w:p>
          <w:p w14:paraId="515A8549" w14:textId="77777777" w:rsidR="009F7E06" w:rsidRDefault="009F7E06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14:paraId="18B812E5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17" w:type="pct"/>
            <w:tcBorders>
              <w:top w:val="single" w:sz="12" w:space="0" w:color="auto"/>
            </w:tcBorders>
          </w:tcPr>
          <w:p w14:paraId="68B998B5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 of initial diagnosis</w:t>
            </w:r>
          </w:p>
        </w:tc>
        <w:tc>
          <w:tcPr>
            <w:tcW w:w="1339" w:type="pct"/>
            <w:tcBorders>
              <w:top w:val="single" w:sz="12" w:space="0" w:color="auto"/>
            </w:tcBorders>
          </w:tcPr>
          <w:p w14:paraId="33243677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F7E06" w14:paraId="6A310F06" w14:textId="77777777">
        <w:trPr>
          <w:jc w:val="center"/>
        </w:trPr>
        <w:tc>
          <w:tcPr>
            <w:tcW w:w="1510" w:type="pct"/>
          </w:tcPr>
          <w:p w14:paraId="2E25981D" w14:textId="77777777" w:rsidR="009F7E06" w:rsidRDefault="002411B2">
            <w:pPr>
              <w:pStyle w:val="Default"/>
              <w:ind w:firstLineChars="200" w:firstLine="48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Male </w:t>
            </w:r>
          </w:p>
          <w:p w14:paraId="734950BF" w14:textId="77777777" w:rsidR="009F7E06" w:rsidRDefault="009F7E06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pct"/>
          </w:tcPr>
          <w:p w14:paraId="5EABA2C6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60.83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79907BA4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Second quarter</w:t>
            </w:r>
          </w:p>
        </w:tc>
        <w:tc>
          <w:tcPr>
            <w:tcW w:w="1339" w:type="pct"/>
          </w:tcPr>
          <w:p w14:paraId="36E42A21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28.19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61B00AAA" w14:textId="77777777">
        <w:trPr>
          <w:jc w:val="center"/>
        </w:trPr>
        <w:tc>
          <w:tcPr>
            <w:tcW w:w="1510" w:type="pct"/>
          </w:tcPr>
          <w:p w14:paraId="771A4D9D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Female </w:t>
            </w:r>
          </w:p>
        </w:tc>
        <w:tc>
          <w:tcPr>
            <w:tcW w:w="1032" w:type="pct"/>
          </w:tcPr>
          <w:p w14:paraId="47208A94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39.17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4671240F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Third quarter</w:t>
            </w:r>
          </w:p>
        </w:tc>
        <w:tc>
          <w:tcPr>
            <w:tcW w:w="1339" w:type="pct"/>
          </w:tcPr>
          <w:p w14:paraId="7D813A8C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26.11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01A8472F" w14:textId="77777777">
        <w:trPr>
          <w:jc w:val="center"/>
        </w:trPr>
        <w:tc>
          <w:tcPr>
            <w:tcW w:w="1510" w:type="pct"/>
          </w:tcPr>
          <w:p w14:paraId="3995F4B3" w14:textId="77777777" w:rsidR="009F7E06" w:rsidRDefault="002411B2">
            <w:pPr>
              <w:pStyle w:val="Default"/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Age(years)</w:t>
            </w:r>
          </w:p>
        </w:tc>
        <w:tc>
          <w:tcPr>
            <w:tcW w:w="1032" w:type="pct"/>
          </w:tcPr>
          <w:p w14:paraId="48D941CE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17" w:type="pct"/>
          </w:tcPr>
          <w:p w14:paraId="51BE6050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Fourth quarter</w:t>
            </w:r>
          </w:p>
        </w:tc>
        <w:tc>
          <w:tcPr>
            <w:tcW w:w="1339" w:type="pct"/>
          </w:tcPr>
          <w:p w14:paraId="0F81CD29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22.55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186690F6" w14:textId="77777777">
        <w:trPr>
          <w:jc w:val="center"/>
        </w:trPr>
        <w:tc>
          <w:tcPr>
            <w:tcW w:w="1510" w:type="pct"/>
          </w:tcPr>
          <w:p w14:paraId="2FBF8CC6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＜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32" w:type="pct"/>
          </w:tcPr>
          <w:p w14:paraId="62885255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1.48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22CB7A62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Lineage</w:t>
            </w:r>
          </w:p>
        </w:tc>
        <w:tc>
          <w:tcPr>
            <w:tcW w:w="1339" w:type="pct"/>
          </w:tcPr>
          <w:p w14:paraId="7322C82E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F7E06" w14:paraId="410735F4" w14:textId="77777777">
        <w:trPr>
          <w:trHeight w:val="90"/>
          <w:jc w:val="center"/>
        </w:trPr>
        <w:tc>
          <w:tcPr>
            <w:tcW w:w="1510" w:type="pct"/>
          </w:tcPr>
          <w:p w14:paraId="31D3F7C6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1-9.9</w:t>
            </w:r>
          </w:p>
        </w:tc>
        <w:tc>
          <w:tcPr>
            <w:tcW w:w="1032" w:type="pct"/>
          </w:tcPr>
          <w:p w14:paraId="2BD52892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89.32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2B822103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B-ALL</w:t>
            </w:r>
          </w:p>
        </w:tc>
        <w:tc>
          <w:tcPr>
            <w:tcW w:w="1339" w:type="pct"/>
          </w:tcPr>
          <w:p w14:paraId="3A393DDE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308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91.39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1015C7A0" w14:textId="77777777">
        <w:trPr>
          <w:jc w:val="center"/>
        </w:trPr>
        <w:tc>
          <w:tcPr>
            <w:tcW w:w="1510" w:type="pct"/>
          </w:tcPr>
          <w:p w14:paraId="4CADB658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≥10</w:t>
            </w:r>
          </w:p>
        </w:tc>
        <w:tc>
          <w:tcPr>
            <w:tcW w:w="1032" w:type="pct"/>
          </w:tcPr>
          <w:p w14:paraId="3F392C9B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31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9.20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0F70F999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T-ALL</w:t>
            </w:r>
          </w:p>
        </w:tc>
        <w:tc>
          <w:tcPr>
            <w:tcW w:w="1339" w:type="pct"/>
          </w:tcPr>
          <w:p w14:paraId="7C241A66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8.61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69C3E8AB" w14:textId="77777777">
        <w:trPr>
          <w:trHeight w:val="90"/>
          <w:jc w:val="center"/>
        </w:trPr>
        <w:tc>
          <w:tcPr>
            <w:tcW w:w="1510" w:type="pct"/>
          </w:tcPr>
          <w:p w14:paraId="2E97EF50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Days from symptom onset to </w:t>
            </w:r>
            <w:r>
              <w:rPr>
                <w:rFonts w:ascii="Times New Roman" w:hAnsi="Times New Roman"/>
                <w:sz w:val="24"/>
              </w:rPr>
              <w:t>diagnosis</w:t>
            </w:r>
          </w:p>
        </w:tc>
        <w:tc>
          <w:tcPr>
            <w:tcW w:w="1032" w:type="pct"/>
          </w:tcPr>
          <w:p w14:paraId="15C48DA8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17" w:type="pct"/>
          </w:tcPr>
          <w:p w14:paraId="307B2559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Fused gene</w:t>
            </w:r>
          </w:p>
        </w:tc>
        <w:tc>
          <w:tcPr>
            <w:tcW w:w="1339" w:type="pct"/>
          </w:tcPr>
          <w:p w14:paraId="7F548D76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F7E06" w14:paraId="3E38D429" w14:textId="77777777">
        <w:trPr>
          <w:jc w:val="center"/>
        </w:trPr>
        <w:tc>
          <w:tcPr>
            <w:tcW w:w="1510" w:type="pct"/>
          </w:tcPr>
          <w:p w14:paraId="1BC1CB41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≤15d</w:t>
            </w:r>
          </w:p>
        </w:tc>
        <w:tc>
          <w:tcPr>
            <w:tcW w:w="1032" w:type="pct"/>
          </w:tcPr>
          <w:p w14:paraId="749F3C00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52.23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1BCDBF78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TEL-AML1</w:t>
            </w:r>
          </w:p>
        </w:tc>
        <w:tc>
          <w:tcPr>
            <w:tcW w:w="1339" w:type="pct"/>
          </w:tcPr>
          <w:p w14:paraId="3F370EA0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65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19.29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3481E4E6" w14:textId="77777777">
        <w:trPr>
          <w:jc w:val="center"/>
        </w:trPr>
        <w:tc>
          <w:tcPr>
            <w:tcW w:w="1510" w:type="pct"/>
          </w:tcPr>
          <w:p w14:paraId="2530000A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>15d</w:t>
            </w:r>
          </w:p>
        </w:tc>
        <w:tc>
          <w:tcPr>
            <w:tcW w:w="1032" w:type="pct"/>
          </w:tcPr>
          <w:p w14:paraId="3D7E3CA0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47.77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2EE89A6C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E2A-PBX1</w:t>
            </w:r>
          </w:p>
        </w:tc>
        <w:tc>
          <w:tcPr>
            <w:tcW w:w="1339" w:type="pct"/>
          </w:tcPr>
          <w:p w14:paraId="2C78E1F9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4.15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42A0F340" w14:textId="77777777">
        <w:trPr>
          <w:jc w:val="center"/>
        </w:trPr>
        <w:tc>
          <w:tcPr>
            <w:tcW w:w="1510" w:type="pct"/>
          </w:tcPr>
          <w:p w14:paraId="7637246B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WBC counts at diagnosis</w:t>
            </w:r>
          </w:p>
        </w:tc>
        <w:tc>
          <w:tcPr>
            <w:tcW w:w="1032" w:type="pct"/>
          </w:tcPr>
          <w:p w14:paraId="3C7D070C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17" w:type="pct"/>
          </w:tcPr>
          <w:p w14:paraId="238419AC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BCR-ABL</w:t>
            </w:r>
          </w:p>
        </w:tc>
        <w:tc>
          <w:tcPr>
            <w:tcW w:w="1339" w:type="pct"/>
          </w:tcPr>
          <w:p w14:paraId="1DD9ABCF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3.26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423CD9BC" w14:textId="77777777">
        <w:trPr>
          <w:jc w:val="center"/>
        </w:trPr>
        <w:tc>
          <w:tcPr>
            <w:tcW w:w="1510" w:type="pct"/>
          </w:tcPr>
          <w:p w14:paraId="33A0A9EE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＜</w:t>
            </w:r>
            <w:r>
              <w:rPr>
                <w:rFonts w:ascii="Times New Roman" w:hAnsi="Times New Roman"/>
                <w:sz w:val="24"/>
              </w:rPr>
              <w:t>50×10</w:t>
            </w:r>
            <w:r>
              <w:rPr>
                <w:rFonts w:ascii="Times New Roman" w:hAnsi="Times New Roman"/>
                <w:sz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</w:rPr>
              <w:t>/L</w:t>
            </w:r>
          </w:p>
        </w:tc>
        <w:tc>
          <w:tcPr>
            <w:tcW w:w="1032" w:type="pct"/>
          </w:tcPr>
          <w:p w14:paraId="35A3D479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262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77.74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691AE498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KMT2A-r</w:t>
            </w:r>
          </w:p>
        </w:tc>
        <w:tc>
          <w:tcPr>
            <w:tcW w:w="1339" w:type="pct"/>
          </w:tcPr>
          <w:p w14:paraId="47C095BA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2.67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70DCEA33" w14:textId="77777777">
        <w:trPr>
          <w:jc w:val="center"/>
        </w:trPr>
        <w:tc>
          <w:tcPr>
            <w:tcW w:w="1510" w:type="pct"/>
          </w:tcPr>
          <w:p w14:paraId="3379E0FB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≥50×10</w:t>
            </w:r>
            <w:r>
              <w:rPr>
                <w:rFonts w:ascii="Times New Roman" w:hAnsi="Times New Roman"/>
                <w:sz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</w:rPr>
              <w:t>/L</w:t>
            </w:r>
          </w:p>
        </w:tc>
        <w:tc>
          <w:tcPr>
            <w:tcW w:w="1032" w:type="pct"/>
          </w:tcPr>
          <w:p w14:paraId="65B8D54C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75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22.26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7EDBB5D3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other</w:t>
            </w:r>
          </w:p>
        </w:tc>
        <w:tc>
          <w:tcPr>
            <w:tcW w:w="1339" w:type="pct"/>
          </w:tcPr>
          <w:p w14:paraId="4DDB4B19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38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11.28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3ED99011" w14:textId="77777777">
        <w:trPr>
          <w:jc w:val="center"/>
        </w:trPr>
        <w:tc>
          <w:tcPr>
            <w:tcW w:w="1510" w:type="pct"/>
          </w:tcPr>
          <w:p w14:paraId="6611AAD9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Co-infection at initial </w:t>
            </w:r>
            <w:r>
              <w:rPr>
                <w:rFonts w:ascii="Times New Roman" w:hAnsi="Times New Roman"/>
                <w:sz w:val="24"/>
              </w:rPr>
              <w:t>diagnosis</w:t>
            </w:r>
          </w:p>
        </w:tc>
        <w:tc>
          <w:tcPr>
            <w:tcW w:w="1032" w:type="pct"/>
          </w:tcPr>
          <w:p w14:paraId="4ED43EA4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17" w:type="pct"/>
          </w:tcPr>
          <w:p w14:paraId="3F74046D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none</w:t>
            </w:r>
          </w:p>
        </w:tc>
        <w:tc>
          <w:tcPr>
            <w:tcW w:w="1339" w:type="pct"/>
          </w:tcPr>
          <w:p w14:paraId="60DAA42F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59.35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5AEBE6E6" w14:textId="77777777">
        <w:trPr>
          <w:trHeight w:val="436"/>
          <w:jc w:val="center"/>
        </w:trPr>
        <w:tc>
          <w:tcPr>
            <w:tcW w:w="1510" w:type="pct"/>
          </w:tcPr>
          <w:p w14:paraId="3B78B2B8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Yes</w:t>
            </w:r>
          </w:p>
        </w:tc>
        <w:tc>
          <w:tcPr>
            <w:tcW w:w="1032" w:type="pct"/>
          </w:tcPr>
          <w:p w14:paraId="206D0ED1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37.69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12DE36D4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Risk level</w:t>
            </w:r>
          </w:p>
          <w:p w14:paraId="71EA20C1" w14:textId="77777777" w:rsidR="009F7E06" w:rsidRDefault="009F7E06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</w:tcPr>
          <w:p w14:paraId="3DF77FBA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F7E06" w14:paraId="4FDEB51D" w14:textId="77777777">
        <w:trPr>
          <w:jc w:val="center"/>
        </w:trPr>
        <w:tc>
          <w:tcPr>
            <w:tcW w:w="1510" w:type="pct"/>
          </w:tcPr>
          <w:p w14:paraId="2705E7B6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No</w:t>
            </w:r>
          </w:p>
        </w:tc>
        <w:tc>
          <w:tcPr>
            <w:tcW w:w="1032" w:type="pct"/>
          </w:tcPr>
          <w:p w14:paraId="28970903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62.31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45416E0A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LR</w:t>
            </w:r>
          </w:p>
        </w:tc>
        <w:tc>
          <w:tcPr>
            <w:tcW w:w="1339" w:type="pct"/>
          </w:tcPr>
          <w:p w14:paraId="7A274714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59.05%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7446B87F" w14:textId="77777777">
        <w:trPr>
          <w:jc w:val="center"/>
        </w:trPr>
        <w:tc>
          <w:tcPr>
            <w:tcW w:w="1510" w:type="pct"/>
          </w:tcPr>
          <w:p w14:paraId="2DD6F446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 of initial diagnosis</w:t>
            </w:r>
          </w:p>
        </w:tc>
        <w:tc>
          <w:tcPr>
            <w:tcW w:w="1032" w:type="pct"/>
          </w:tcPr>
          <w:p w14:paraId="2A65F9FF" w14:textId="77777777" w:rsidR="009F7E06" w:rsidRDefault="009F7E06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17" w:type="pct"/>
          </w:tcPr>
          <w:p w14:paraId="253479F0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IR</w:t>
            </w:r>
          </w:p>
        </w:tc>
        <w:tc>
          <w:tcPr>
            <w:tcW w:w="1339" w:type="pct"/>
          </w:tcPr>
          <w:p w14:paraId="6936BEE8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39.17%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  <w:tr w:rsidR="009F7E06" w14:paraId="429A6C29" w14:textId="77777777">
        <w:trPr>
          <w:jc w:val="center"/>
        </w:trPr>
        <w:tc>
          <w:tcPr>
            <w:tcW w:w="1510" w:type="pct"/>
          </w:tcPr>
          <w:p w14:paraId="5820E7C1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First quarter</w:t>
            </w:r>
          </w:p>
        </w:tc>
        <w:tc>
          <w:tcPr>
            <w:tcW w:w="1032" w:type="pct"/>
          </w:tcPr>
          <w:p w14:paraId="0167CEA1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23.15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117" w:type="pct"/>
          </w:tcPr>
          <w:p w14:paraId="066E9F1A" w14:textId="77777777" w:rsidR="009F7E06" w:rsidRDefault="002411B2">
            <w:pPr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HR</w:t>
            </w:r>
          </w:p>
        </w:tc>
        <w:tc>
          <w:tcPr>
            <w:tcW w:w="1339" w:type="pct"/>
          </w:tcPr>
          <w:p w14:paraId="5CDA6D27" w14:textId="77777777" w:rsidR="009F7E06" w:rsidRDefault="002411B2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1.78%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</w:tr>
    </w:tbl>
    <w:p w14:paraId="39342634" w14:textId="77777777" w:rsidR="009F7E06" w:rsidRDefault="009F7E06">
      <w:pPr>
        <w:rPr>
          <w:sz w:val="24"/>
        </w:rPr>
      </w:pPr>
    </w:p>
    <w:sectPr w:rsidR="009F7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 Condensed Bold Tr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9F7E06"/>
    <w:rsid w:val="002411B2"/>
    <w:rsid w:val="009F7E06"/>
    <w:rsid w:val="2F85139B"/>
    <w:rsid w:val="5E1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A2071"/>
  <w15:docId w15:val="{4CD278A2-A64B-43E5-878F-BC5A924B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wiss Condensed Bold Tr" w:eastAsia="Swiss Condensed Bold Tr" w:hAnsi="Calibri" w:cs="Swiss Condensed Bold T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fu-si</dc:creator>
  <cp:lastModifiedBy>valumn w</cp:lastModifiedBy>
  <cp:revision>2</cp:revision>
  <dcterms:created xsi:type="dcterms:W3CDTF">2023-06-12T15:15:00Z</dcterms:created>
  <dcterms:modified xsi:type="dcterms:W3CDTF">2024-03-11T14:53:00Z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A1B2380265864610968221235ADD3C1C_12</vt:lpwstr>
  </property>
</Properties>
</file>