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rPr>
          <w:b w:val="0"/>
        </w:rPr>
      </w:pPr>
      <w:bookmarkStart w:id="0" w:name="_GoBack"/>
      <w:bookmarkEnd w:id="0"/>
      <w:r>
        <w:t>Supplementary Material</w:t>
      </w:r>
    </w:p>
    <w:p>
      <w:pPr>
        <w:pStyle w:val="4"/>
        <w:numPr>
          <w:ilvl w:val="0"/>
          <w:numId w:val="3"/>
        </w:numPr>
      </w:pPr>
      <w:r>
        <w:t>Supplementary Figures</w:t>
      </w:r>
    </w:p>
    <w:p>
      <w:pPr>
        <w:keepNext/>
        <w:jc w:val="center"/>
        <w:rPr>
          <w:rFonts w:cs="Times New Roman"/>
          <w:szCs w:val="24"/>
        </w:rPr>
      </w:pPr>
      <w:r>
        <w:drawing>
          <wp:inline distT="0" distB="0" distL="0" distR="0">
            <wp:extent cx="6393815" cy="3803650"/>
            <wp:effectExtent l="0" t="0" r="6985" b="635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44504" cy="3833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/>
        <w:jc w:val="center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Supplementary Figure </w:t>
      </w:r>
      <w:r>
        <w:rPr>
          <w:rFonts w:cs="Times New Roman"/>
          <w:b/>
          <w:bCs/>
          <w:szCs w:val="24"/>
        </w:rPr>
        <w:fldChar w:fldCharType="begin"/>
      </w:r>
      <w:r>
        <w:rPr>
          <w:rFonts w:cs="Times New Roman"/>
          <w:b/>
          <w:bCs/>
          <w:szCs w:val="24"/>
        </w:rPr>
        <w:instrText xml:space="preserve"> SEQ Figure \* ARABIC </w:instrText>
      </w:r>
      <w:r>
        <w:rPr>
          <w:rFonts w:cs="Times New Roman"/>
          <w:b/>
          <w:bCs/>
          <w:szCs w:val="24"/>
        </w:rPr>
        <w:fldChar w:fldCharType="separate"/>
      </w:r>
      <w:r>
        <w:rPr>
          <w:rFonts w:cs="Times New Roman"/>
          <w:b/>
          <w:bCs/>
          <w:szCs w:val="24"/>
        </w:rPr>
        <w:t>1</w:t>
      </w:r>
      <w:r>
        <w:rPr>
          <w:rFonts w:cs="Times New Roman"/>
          <w:b/>
          <w:bCs/>
          <w:szCs w:val="24"/>
        </w:rPr>
        <w:fldChar w:fldCharType="end"/>
      </w:r>
      <w:r>
        <w:rPr>
          <w:rFonts w:cs="Times New Roman"/>
          <w:b/>
          <w:bCs/>
          <w:szCs w:val="24"/>
        </w:rPr>
        <w:t xml:space="preserve">. </w:t>
      </w:r>
      <w:r>
        <w:rPr>
          <w:rFonts w:cs="Times New Roman"/>
          <w:szCs w:val="24"/>
        </w:rPr>
        <w:t xml:space="preserve">Flow chart in the study  </w:t>
      </w:r>
    </w:p>
    <w:p>
      <w:pPr>
        <w:spacing w:before="240"/>
        <w:sectPr>
          <w:headerReference r:id="rId6" w:type="first"/>
          <w:footerReference r:id="rId7" w:type="default"/>
          <w:headerReference r:id="rId5" w:type="even"/>
          <w:footerReference r:id="rId8" w:type="even"/>
          <w:pgSz w:w="15840" w:h="12240" w:orient="landscape"/>
          <w:pgMar w:top="1181" w:right="1138" w:bottom="1282" w:left="1138" w:header="720" w:footer="720" w:gutter="0"/>
          <w:cols w:space="720" w:num="1"/>
          <w:titlePg/>
          <w:docGrid w:linePitch="360" w:charSpace="0"/>
        </w:sectPr>
      </w:pPr>
    </w:p>
    <w:p>
      <w:pPr>
        <w:pStyle w:val="4"/>
        <w:numPr>
          <w:ilvl w:val="0"/>
          <w:numId w:val="3"/>
        </w:numPr>
      </w:pPr>
      <w:r>
        <w:t>Supplementary Tables</w:t>
      </w:r>
    </w:p>
    <w:p>
      <w:pPr>
        <w:pStyle w:val="4"/>
        <w:numPr>
          <w:ilvl w:val="1"/>
          <w:numId w:val="3"/>
        </w:numPr>
        <w:rPr>
          <w:lang w:val="en-US" w:eastAsia="en-US"/>
        </w:rPr>
      </w:pPr>
      <w:r>
        <w:t>Supplementary Table S1.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en-US"/>
        </w:rPr>
        <w:t>Number of participants in subgroup analyses</w:t>
      </w:r>
    </w:p>
    <w:tbl>
      <w:tblPr>
        <w:tblStyle w:val="55"/>
        <w:tblW w:w="0" w:type="auto"/>
        <w:tblInd w:w="13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140"/>
        <w:gridCol w:w="1070"/>
        <w:gridCol w:w="1000"/>
        <w:gridCol w:w="960"/>
        <w:gridCol w:w="1100"/>
        <w:gridCol w:w="1220"/>
        <w:gridCol w:w="1250"/>
        <w:gridCol w:w="1290"/>
        <w:gridCol w:w="1100"/>
        <w:gridCol w:w="10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exact"/>
        </w:trPr>
        <w:tc>
          <w:tcPr>
            <w:tcW w:w="1733" w:type="dxa"/>
            <w:tcBorders>
              <w:bottom w:val="nil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27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umber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of 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men</w:t>
            </w:r>
          </w:p>
        </w:tc>
        <w:tc>
          <w:tcPr>
            <w:tcW w:w="589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umber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of 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women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exact"/>
        </w:trPr>
        <w:tc>
          <w:tcPr>
            <w:tcW w:w="173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T1</w:t>
            </w: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T2</w:t>
            </w:r>
          </w:p>
        </w:tc>
        <w:tc>
          <w:tcPr>
            <w:tcW w:w="10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T3</w:t>
            </w:r>
          </w:p>
        </w:tc>
        <w:tc>
          <w:tcPr>
            <w:tcW w:w="9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T4</w:t>
            </w: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Total</w:t>
            </w:r>
          </w:p>
        </w:tc>
        <w:tc>
          <w:tcPr>
            <w:tcW w:w="12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T1</w:t>
            </w:r>
          </w:p>
        </w:tc>
        <w:tc>
          <w:tcPr>
            <w:tcW w:w="1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T2</w:t>
            </w:r>
          </w:p>
        </w:tc>
        <w:tc>
          <w:tcPr>
            <w:tcW w:w="12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T3</w:t>
            </w: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T4</w:t>
            </w:r>
          </w:p>
        </w:tc>
        <w:tc>
          <w:tcPr>
            <w:tcW w:w="10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exact"/>
        </w:trPr>
        <w:tc>
          <w:tcPr>
            <w:tcW w:w="1733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BMI &lt; 24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598</w:t>
            </w:r>
          </w:p>
        </w:tc>
        <w:tc>
          <w:tcPr>
            <w:tcW w:w="107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1988</w:t>
            </w:r>
          </w:p>
        </w:tc>
        <w:tc>
          <w:tcPr>
            <w:tcW w:w="100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1034</w:t>
            </w:r>
          </w:p>
        </w:tc>
        <w:tc>
          <w:tcPr>
            <w:tcW w:w="96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195</w:t>
            </w:r>
          </w:p>
        </w:tc>
        <w:tc>
          <w:tcPr>
            <w:tcW w:w="1100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3815</w:t>
            </w:r>
          </w:p>
        </w:tc>
        <w:tc>
          <w:tcPr>
            <w:tcW w:w="122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1052</w:t>
            </w:r>
          </w:p>
        </w:tc>
        <w:tc>
          <w:tcPr>
            <w:tcW w:w="125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2864</w:t>
            </w:r>
          </w:p>
        </w:tc>
        <w:tc>
          <w:tcPr>
            <w:tcW w:w="129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1167</w:t>
            </w:r>
          </w:p>
        </w:tc>
        <w:tc>
          <w:tcPr>
            <w:tcW w:w="110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130</w:t>
            </w:r>
          </w:p>
        </w:tc>
        <w:tc>
          <w:tcPr>
            <w:tcW w:w="1030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5213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exact"/>
        </w:trPr>
        <w:tc>
          <w:tcPr>
            <w:tcW w:w="1733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24 ≤ BMI &lt; 28</w:t>
            </w:r>
          </w:p>
        </w:tc>
        <w:tc>
          <w:tcPr>
            <w:tcW w:w="114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174</w:t>
            </w:r>
          </w:p>
        </w:tc>
        <w:tc>
          <w:tcPr>
            <w:tcW w:w="10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758</w:t>
            </w:r>
          </w:p>
        </w:tc>
        <w:tc>
          <w:tcPr>
            <w:tcW w:w="10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578</w:t>
            </w:r>
          </w:p>
        </w:tc>
        <w:tc>
          <w:tcPr>
            <w:tcW w:w="9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131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1641</w:t>
            </w:r>
          </w:p>
        </w:tc>
        <w:tc>
          <w:tcPr>
            <w:tcW w:w="122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125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381</w:t>
            </w:r>
          </w:p>
        </w:tc>
        <w:tc>
          <w:tcPr>
            <w:tcW w:w="129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269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49</w:t>
            </w:r>
          </w:p>
        </w:tc>
        <w:tc>
          <w:tcPr>
            <w:tcW w:w="103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exact"/>
        </w:trPr>
        <w:tc>
          <w:tcPr>
            <w:tcW w:w="1733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BMI ≥ 28</w:t>
            </w:r>
          </w:p>
        </w:tc>
        <w:tc>
          <w:tcPr>
            <w:tcW w:w="114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0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0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96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122</w:t>
            </w:r>
          </w:p>
        </w:tc>
        <w:tc>
          <w:tcPr>
            <w:tcW w:w="122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5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129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110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103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exact"/>
        </w:trPr>
        <w:tc>
          <w:tcPr>
            <w:tcW w:w="1733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Non-hypertension</w:t>
            </w:r>
          </w:p>
        </w:tc>
        <w:tc>
          <w:tcPr>
            <w:tcW w:w="114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694</w:t>
            </w:r>
          </w:p>
        </w:tc>
        <w:tc>
          <w:tcPr>
            <w:tcW w:w="107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2512</w:t>
            </w:r>
          </w:p>
        </w:tc>
        <w:tc>
          <w:tcPr>
            <w:tcW w:w="100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1443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281</w:t>
            </w:r>
          </w:p>
        </w:tc>
        <w:tc>
          <w:tcPr>
            <w:tcW w:w="110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4930</w:t>
            </w:r>
          </w:p>
        </w:tc>
        <w:tc>
          <w:tcPr>
            <w:tcW w:w="122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1098</w:t>
            </w:r>
          </w:p>
        </w:tc>
        <w:tc>
          <w:tcPr>
            <w:tcW w:w="125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3084</w:t>
            </w:r>
          </w:p>
        </w:tc>
        <w:tc>
          <w:tcPr>
            <w:tcW w:w="129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1316</w:t>
            </w:r>
          </w:p>
        </w:tc>
        <w:tc>
          <w:tcPr>
            <w:tcW w:w="110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163</w:t>
            </w:r>
          </w:p>
        </w:tc>
        <w:tc>
          <w:tcPr>
            <w:tcW w:w="103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5661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exact"/>
        </w:trPr>
        <w:tc>
          <w:tcPr>
            <w:tcW w:w="1733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eastAsia="zh-CN"/>
              </w:rPr>
              <w:t>Hypertension</w:t>
            </w:r>
          </w:p>
        </w:tc>
        <w:tc>
          <w:tcPr>
            <w:tcW w:w="114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107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282</w:t>
            </w:r>
          </w:p>
        </w:tc>
        <w:tc>
          <w:tcPr>
            <w:tcW w:w="100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217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10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648</w:t>
            </w:r>
          </w:p>
        </w:tc>
        <w:tc>
          <w:tcPr>
            <w:tcW w:w="122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25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182</w:t>
            </w:r>
          </w:p>
        </w:tc>
        <w:tc>
          <w:tcPr>
            <w:tcW w:w="129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148</w:t>
            </w:r>
          </w:p>
        </w:tc>
        <w:tc>
          <w:tcPr>
            <w:tcW w:w="110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1030" w:type="dxa"/>
            <w:vAlign w:val="center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405</w:t>
            </w:r>
          </w:p>
        </w:tc>
      </w:tr>
    </w:tbl>
    <w:p/>
    <w:p>
      <w:pPr>
        <w:pStyle w:val="4"/>
        <w:numPr>
          <w:ilvl w:val="1"/>
          <w:numId w:val="3"/>
        </w:numPr>
      </w:pPr>
      <w:r>
        <w:t>Supplementary Table S</w:t>
      </w:r>
      <w:r>
        <w:rPr>
          <w:rFonts w:hint="eastAsia" w:eastAsia="宋体"/>
          <w:lang w:val="en-US" w:eastAsia="zh-CN"/>
        </w:rPr>
        <w:t>2</w:t>
      </w:r>
      <w:r>
        <w:t>. Risk for incident NAFLD adjusted for UA quartile categories</w:t>
      </w:r>
    </w:p>
    <w:tbl>
      <w:tblPr>
        <w:tblStyle w:val="53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874"/>
        <w:gridCol w:w="1953"/>
        <w:gridCol w:w="1953"/>
        <w:gridCol w:w="1953"/>
        <w:gridCol w:w="1953"/>
        <w:gridCol w:w="1859"/>
      </w:tblGrid>
      <w:t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  <w:t>Models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  <w:t>Trajectory 1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  <w:t>Trajectory 2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  <w:t>Trajectory 3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  <w:t>Trajectory 4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b w:val="0"/>
                <w:bCs w:val="0"/>
                <w:i/>
                <w:kern w:val="2"/>
                <w:sz w:val="21"/>
                <w:szCs w:val="21"/>
                <w:lang w:eastAsia="zh-CN"/>
              </w:rPr>
              <w:t>P</w:t>
            </w:r>
            <w:r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宋体" w:cs="Times New Roman"/>
                <w:b w:val="0"/>
                <w:bCs w:val="0"/>
                <w:kern w:val="2"/>
                <w:sz w:val="21"/>
                <w:szCs w:val="21"/>
                <w:vertAlign w:val="subscript"/>
                <w:lang w:eastAsia="zh-CN"/>
              </w:rPr>
              <w:t>trend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Men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Model 3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1.00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1.43 (1.03-1.99)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2.22 (1.48-3.35)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3.05 (1.73-5.36)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Women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Model 3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1.00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  <w:t>1.25</w:t>
            </w:r>
            <w:r>
              <w:rPr>
                <w:rFonts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  <w:t>(0.81-1.94)</w:t>
            </w:r>
            <w:r>
              <w:rPr>
                <w:rFonts w:eastAsia="宋体" w:cs="Times New Roman"/>
                <w:kern w:val="2"/>
                <w:sz w:val="21"/>
                <w:szCs w:val="21"/>
                <w:vertAlign w:val="superscript"/>
                <w:lang w:eastAsia="zh-CN"/>
              </w:rPr>
              <w:t xml:space="preserve"> 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  <w:t>2.27</w:t>
            </w:r>
            <w:r>
              <w:rPr>
                <w:rFonts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  <w:t>(1.33-3.9)</w:t>
            </w:r>
            <w:r>
              <w:rPr>
                <w:rFonts w:eastAsia="宋体" w:cs="Times New Roman"/>
                <w:kern w:val="2"/>
                <w:sz w:val="21"/>
                <w:szCs w:val="21"/>
                <w:vertAlign w:val="superscript"/>
                <w:lang w:eastAsia="zh-CN"/>
              </w:rPr>
              <w:t xml:space="preserve"> 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  <w:t>2.27</w:t>
            </w:r>
            <w:r>
              <w:rPr>
                <w:rFonts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CSongGB18030C-Light" w:cs="Times New Roman"/>
                <w:color w:val="000000"/>
                <w:kern w:val="2"/>
                <w:sz w:val="21"/>
                <w:szCs w:val="21"/>
                <w:lang w:eastAsia="zh-CN"/>
              </w:rPr>
              <w:t>(0.99-5.12)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after="0" w:line="360" w:lineRule="auto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&lt;0.001</w:t>
            </w:r>
          </w:p>
        </w:tc>
      </w:tr>
    </w:tbl>
    <w:p>
      <w:pPr>
        <w:rPr>
          <w:rFonts w:cs="Times New Roman"/>
          <w:szCs w:val="24"/>
        </w:rPr>
      </w:pPr>
      <w:r>
        <w:rPr>
          <w:rFonts w:cs="Times New Roman"/>
          <w:szCs w:val="24"/>
        </w:rPr>
        <w:t>Model 3 was adjusted by age, UA, BMI, WHR, SBP, DBP, TC, TG, AST</w:t>
      </w:r>
      <w:r>
        <w:rPr>
          <w:rFonts w:cs="Times New Roman"/>
          <w:szCs w:val="24"/>
          <w:lang w:eastAsia="zh-CN"/>
        </w:rPr>
        <w:t>,</w:t>
      </w:r>
      <w:r>
        <w:rPr>
          <w:rFonts w:cs="Times New Roman"/>
          <w:szCs w:val="24"/>
        </w:rPr>
        <w:t xml:space="preserve"> and ALT.</w:t>
      </w:r>
    </w:p>
    <w:p>
      <w:pPr>
        <w:rPr>
          <w:rFonts w:cs="Times New Roman"/>
          <w:szCs w:val="24"/>
        </w:rPr>
      </w:pPr>
      <w:r>
        <w:rPr>
          <w:rFonts w:cs="Times New Roman"/>
          <w:szCs w:val="24"/>
        </w:rPr>
        <w:t>BMI body mass index, WHR Wasit/Hip ratio, UA uric acid, SBP systolic blood pressure, DBP diastolic blood pressure, TG triglyceride, TC total serum cholesterol, ALT alanine aminotransferase, AST aspartate aminotransferase.</w:t>
      </w:r>
    </w:p>
    <w:p>
      <w:pPr>
        <w:rPr>
          <w:rFonts w:cs="Times New Roman"/>
          <w:szCs w:val="24"/>
        </w:rPr>
      </w:pPr>
    </w:p>
    <w:p>
      <w:pPr>
        <w:rPr>
          <w:rFonts w:cs="Times New Roman"/>
          <w:szCs w:val="24"/>
        </w:rPr>
      </w:pPr>
    </w:p>
    <w:p>
      <w:pPr>
        <w:rPr>
          <w:rFonts w:cs="Times New Roman"/>
          <w:szCs w:val="24"/>
        </w:rPr>
      </w:pPr>
    </w:p>
    <w:p>
      <w:pPr>
        <w:rPr>
          <w:rFonts w:cs="Times New Roman"/>
          <w:szCs w:val="24"/>
        </w:rPr>
      </w:pPr>
    </w:p>
    <w:p>
      <w:pPr>
        <w:pStyle w:val="4"/>
        <w:numPr>
          <w:ilvl w:val="1"/>
          <w:numId w:val="3"/>
        </w:numPr>
      </w:pPr>
      <w:r>
        <w:t xml:space="preserve"> Supplementary Table S</w:t>
      </w:r>
      <w:r>
        <w:rPr>
          <w:rFonts w:hint="eastAsia" w:eastAsia="宋体"/>
          <w:lang w:val="en-US" w:eastAsia="zh-CN"/>
        </w:rPr>
        <w:t>3</w:t>
      </w:r>
      <w:r>
        <w:t>. Sex-specific association between serum UA trajectories and NAFLD risk after deleting missing data</w:t>
      </w:r>
    </w:p>
    <w:tbl>
      <w:tblPr>
        <w:tblStyle w:val="5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2"/>
        <w:gridCol w:w="2611"/>
        <w:gridCol w:w="2866"/>
        <w:gridCol w:w="2814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  <w:t>Variable</w:t>
            </w:r>
          </w:p>
        </w:tc>
        <w:tc>
          <w:tcPr>
            <w:tcW w:w="26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 xml:space="preserve"> Trajectory 1 (T1)</w:t>
            </w:r>
          </w:p>
        </w:tc>
        <w:tc>
          <w:tcPr>
            <w:tcW w:w="28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Trajectory 2 (T2)</w:t>
            </w: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 xml:space="preserve">Trajectory 3 (T3) </w:t>
            </w:r>
          </w:p>
        </w:tc>
        <w:tc>
          <w:tcPr>
            <w:tcW w:w="28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before="0" w:after="0"/>
              <w:jc w:val="both"/>
              <w:rPr>
                <w:rFonts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Trajectory 4 (T4)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Men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Model 1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 (reference)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1.32 (1.03-1.7)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1.90 (1.47-2.47)</w:t>
            </w:r>
          </w:p>
        </w:tc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2.38 (1.69-3.35)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Model 2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 xml:space="preserve">1 (reference) 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1.55 (1.16-2.07)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2.56 (1.77-3.74)</w:t>
            </w:r>
          </w:p>
        </w:tc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3.51 (2.04-6.03)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Model 3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 xml:space="preserve">1 (reference) 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1.47 (1.06-2.04)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2.24 (1.47-3.43)</w:t>
            </w:r>
          </w:p>
        </w:tc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2.77 (1.49-5.14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Women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Model 1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 (reference)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1.47 (1.05-2.08)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3.07 (2.19-4.4)</w:t>
            </w:r>
          </w:p>
        </w:tc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4.9 (2.98-7.97)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Model 2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 xml:space="preserve">1 (reference) 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1.53 (1.05-2.26)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3.08 (1.91-5.04)</w:t>
            </w:r>
          </w:p>
        </w:tc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4.05 (1.85-8.83)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Model 3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 xml:space="preserve">1 (reference) </w:t>
            </w:r>
          </w:p>
        </w:tc>
        <w:tc>
          <w:tcPr>
            <w:tcW w:w="286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1.52 (0.98-2.4)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2.91 (1.66-5.19)</w:t>
            </w:r>
          </w:p>
        </w:tc>
        <w:tc>
          <w:tcPr>
            <w:tcW w:w="280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0" w:after="0"/>
              <w:jc w:val="both"/>
              <w:textAlignment w:val="center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2.73 (1.08-6.83)</w:t>
            </w:r>
          </w:p>
        </w:tc>
      </w:tr>
    </w:tbl>
    <w:p>
      <w:pPr>
        <w:rPr>
          <w:rFonts w:cs="Times New Roman"/>
        </w:rPr>
      </w:pPr>
      <w:r>
        <w:rPr>
          <w:rFonts w:cs="Times New Roman"/>
        </w:rPr>
        <w:t>Model 1 was unadjusted baseline variables</w:t>
      </w:r>
    </w:p>
    <w:p>
      <w:pPr>
        <w:rPr>
          <w:rFonts w:cs="Times New Roman"/>
        </w:rPr>
      </w:pPr>
      <w:r>
        <w:rPr>
          <w:rFonts w:cs="Times New Roman"/>
        </w:rPr>
        <w:t xml:space="preserve">Model 2 was adjusted by age and UA </w:t>
      </w:r>
    </w:p>
    <w:p>
      <w:pPr>
        <w:rPr>
          <w:rFonts w:cs="Times New Roman"/>
        </w:rPr>
      </w:pPr>
      <w:r>
        <w:rPr>
          <w:rFonts w:cs="Times New Roman"/>
        </w:rPr>
        <w:t>Model 3 was adjusted by age, UA, BMI, WHR, SBP, DBP, TC, TG, AST and ALT.</w:t>
      </w:r>
    </w:p>
    <w:p>
      <w:pPr>
        <w:rPr>
          <w:rFonts w:cs="Times New Roman"/>
        </w:rPr>
      </w:pPr>
      <w:r>
        <w:rPr>
          <w:rFonts w:cs="Times New Roman"/>
        </w:rPr>
        <w:t>Date is shown as OR with 95%CI.</w:t>
      </w:r>
    </w:p>
    <w:p>
      <w:pPr>
        <w:rPr>
          <w:rFonts w:cs="Times New Roman"/>
        </w:rPr>
      </w:pPr>
      <w:r>
        <w:rPr>
          <w:rFonts w:cs="Times New Roman"/>
          <w:vertAlign w:val="superscript"/>
        </w:rPr>
        <w:t>a</w:t>
      </w:r>
      <w:r>
        <w:rPr>
          <w:rFonts w:cs="Times New Roman"/>
        </w:rPr>
        <w:t>Number of nonalcoholic fatty liver cases/number of participants in distinct trajectories</w:t>
      </w:r>
    </w:p>
    <w:p>
      <w:pPr>
        <w:rPr>
          <w:rFonts w:cs="Times New Roman"/>
        </w:rPr>
      </w:pPr>
      <w:r>
        <w:rPr>
          <w:rFonts w:cs="Times New Roman"/>
        </w:rPr>
        <w:t>BMI body mass index, WHR Wasit/Hip ratio, UA uric acid, SBP systolic blood pressure, DBP diastolic blood pressure, TG triglyceride, TC total serum cholesterol, ALT alanine aminotransferase, AST aspartate aminotransferase.</w:t>
      </w:r>
    </w:p>
    <w:sectPr>
      <w:pgSz w:w="15840" w:h="12240" w:orient="landscape"/>
      <w:pgMar w:top="1181" w:right="1138" w:bottom="1282" w:left="1138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CSongGB18030C-Ligh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616.3pt;margin-top:546.5pt;height:31.15pt;width:118.8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ExXRCLSAAAABAEAAA8AAABkcnMvZG93bnJldi54bWxNj8FOwzAQRO9I/IO1&#10;SFwQtZNKKQpxeqiUc9WUD3DjJQnY6yh2mvL3LFzgstJoRjNvq/3NO3HFOY6BNGQbBQKpC3akXsPb&#10;uXl+ARGTIWtcINTwhRH29f1dZUobVjrhtU294BKKpdEwpDSVUsZuQG/iJkxI7L2H2ZvEcu6lnc3K&#10;5d7JXKlCejMSLwxmwsOA3We7eA0hX5/cqc2aw3H9aNRxwXMbUevHh0y9gkh4S39h+MFndKiZ6RIW&#10;slE4DfxI+r3s5dtdAeKioci3IOtK/oevvwFQSwMEFAAAAAgAh07iQEQHADgzAgAAdQQAAA4AAABk&#10;cnMvZTJvRG9jLnhtbK1UTW/bMAy9D9h/EHRf7KRJ2gZxiqxBhgHFWqAtdlZkOTagr0lK7O7X70l2&#10;0qLboYddHIqkHvkeqSxvOiXJUTjfGF3Q8SinRGhuykbvC/r8tP1yRYkPTJdMGi0K+iI8vVl9/rRs&#10;7UJMTG1kKRwBiPaL1ha0DsEusszzWijmR8YKjWBlnGIBR7fPSsdaoCuZTfJ8nrXGldYZLryHd9MH&#10;6YDoPgJoqqrhYmP4QQkdelQnJAug5OvGerpK3VaV4OG+qrwIRBYUTEP6ogjsXfxmqyVb7B2zdcOH&#10;FthHWnjHSbFGo+gZasMCIwfX/AWlGu6MN1UYcaOynkhSBCzG+TttHmtmReICqb09i+7/Hyz/cXxw&#10;pCkLOptTopnCxJ9EF8hX0xG4oE9r/QJpjxaJoYMfW3Pyezgj7a5yKv6CEEEc6r6c1Y1oPF6a5VeX&#10;c4Q4YhfXs3k+izDZ623rfPgmjCLRKKjD9JKo7HjnQ596SonFtNk2UqYJSk3ags4vZnm6cI4AXOqY&#10;K9IuDDCRUd95tEK36waaO1O+gKUz/Z54y7cNWrljPjwwh8VA93g64R6fShqUNINFSW3c73/5Yz7m&#10;hSglLRatoP7XgTlBifyuMcnr8XQK2JAO09nlBAf3NrJ7G9EHdWuwy2M8UsuTGfODPJmVM+onXtg6&#10;VkWIaY7aBQ0n8zb0648XysV6nZKwi5aFO/1oeYSOgnm7PgQInHSPMvXaYF7xgG1MkxteTlz3t+eU&#10;9fpvsfo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TFdEItIAAAAEAQAADwAAAAAAAAABACAAAAA4&#10;AAAAZHJzL2Rvd25yZXYueG1sUEsBAhQAFAAAAAgAh07iQEQHADgzAgAAdQQAAA4AAAAAAAAAAQAg&#10;AAAANwEAAGRycy9lMm9Eb2MueG1sUEsFBgAAAAAGAAYAWQEAANw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FBgAAAAAAAAAAAAAAAAAAAAAAAFBLAwQKAAAAAACHTuJAAAAAAAAAAAAAAAAABAAAAGRycy9Q&#10;SwMEFAAAAAgAh07iQExXRCLSAAAABAEAAA8AAABkcnMvZG93bnJldi54bWxNj8FOwzAQRO9I/IO1&#10;SFwQtZNKKQpxeqiUc9WUD3DjJQnY6yh2mvL3LFzgstJoRjNvq/3NO3HFOY6BNGQbBQKpC3akXsPb&#10;uXl+ARGTIWtcINTwhRH29f1dZUobVjrhtU294BKKpdEwpDSVUsZuQG/iJkxI7L2H2ZvEcu6lnc3K&#10;5d7JXKlCejMSLwxmwsOA3We7eA0hX5/cqc2aw3H9aNRxwXMbUevHh0y9gkh4S39h+MFndKiZ6RIW&#10;slE4DfxI+r3s5dtdAeKioci3IOtK/oevvwFQSwMEFAAAAAgAh07iQFsR1fExAgAAcwQAAA4AAABk&#10;cnMvZTJvRG9jLnhtbK1UTW/bMAy9D9h/EHRf7LRJ2gZ1iqxBhgHBWiAtdlZkuTagr0lK7OzX70l2&#10;0qLboYddHIqkHvkeqdzedUqSg3C+Mbqg41FOidDclI1+Kejz0/rLNSU+MF0yabQo6FF4erf4/Om2&#10;tXNxYWojS+EIQLSft7agdQh2nmWe10IxPzJWaAQr4xQLOLqXrHSsBbqS2UWez7LWuNI6w4X38K76&#10;IB0Q3UcATVU1XKwM3yuhQ4/qhGQBlHzdWE8XqduqEjw8VJUXgciCgmlIXxSBvYvfbHHL5i+O2brh&#10;QwvsIy2846RYo1H0DLVigZG9a/6CUg13xpsqjLhRWU8kKQIW4/ydNtuaWZG4QGpvz6L7/wfLfxwe&#10;HWlKbAIlmikM/El0gXw1HRlHdVrr50jaWqSFDu6YOfg9nJF0VzkVf0GHIA5tj2dtIxiPl6b59dUM&#10;IY7Y5c10lk8jTPZ62zofvgmjSDQK6jC7JCk7bHzoU08psZg260ZK+NlcatIWdHY5zdOFcwTgUscE&#10;kTZhgImM+s6jFbpdN9DZmfIIls70W+ItXzdoZcN8eGQOa4Hu8XDCAz6VNChpBouS2rjf//LHfEwL&#10;UUparFlB/a89c4IS+V1jjjfjyQSwIR0m06sLHNzbyO5tRO/VvcEmY1boLpkxP8iTWTmjfuJ9LWNV&#10;hJjmqF3QcDLvQ7/8eJ9cLJcpCZtoWdjoreUROgrm7XIfIHDSPcrUa4N5xQN2MU1ueDdx2d+eU9br&#10;f8Xi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ExXRCLSAAAABAEAAA8AAAAAAAAAAQAgAAAAOAAA&#10;AGRycy9kb3ducmV2LnhtbFBLAQIUABQAAAAIAIdO4kBbEdXxMQIAAHMEAAAOAAAAAAAAAAEAIAAA&#10;ADcBAABkcnMvZTJvRG9jLnhtbFBLBQYAAAAABgAGAFkBAADaBQAAAAA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>
    <w:nsid w:val="7A6973FC"/>
    <w:multiLevelType w:val="multilevel"/>
    <w:tmpl w:val="7A6973FC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xNGY5MTM2M2RkNTA3NGY2ZDE1MDBhZjc4ZjJmYmIifQ=="/>
  </w:docVars>
  <w:rsids>
    <w:rsidRoot w:val="00ED20B5"/>
    <w:rsid w:val="0000547E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46AE9"/>
    <w:rsid w:val="003544FB"/>
    <w:rsid w:val="003A2E1C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B35BA"/>
    <w:rsid w:val="007C206C"/>
    <w:rsid w:val="00817DD6"/>
    <w:rsid w:val="0083759F"/>
    <w:rsid w:val="00885156"/>
    <w:rsid w:val="009151AA"/>
    <w:rsid w:val="0093429D"/>
    <w:rsid w:val="00943573"/>
    <w:rsid w:val="00956C3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DFF"/>
    <w:rsid w:val="00CE4FEE"/>
    <w:rsid w:val="00D060CF"/>
    <w:rsid w:val="00DB59C3"/>
    <w:rsid w:val="00DC259A"/>
    <w:rsid w:val="00DE23E8"/>
    <w:rsid w:val="00DF1F32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C2005"/>
    <w:rsid w:val="1DA72B21"/>
    <w:rsid w:val="7E3DA0CE"/>
    <w:rsid w:val="D73733B1"/>
    <w:rsid w:val="F6FDB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uiPriority w:val="99"/>
    <w:rPr>
      <w:b/>
      <w:bCs/>
    </w:rPr>
  </w:style>
  <w:style w:type="table" w:styleId="21">
    <w:name w:val="Table Grid"/>
    <w:basedOn w:val="20"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uiPriority w:val="99"/>
    <w:rPr>
      <w:vertAlign w:val="superscript"/>
    </w:rPr>
  </w:style>
  <w:style w:type="character" w:styleId="25">
    <w:name w:val="FollowedHyperlink"/>
    <w:basedOn w:val="22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uiPriority w:val="99"/>
  </w:style>
  <w:style w:type="character" w:styleId="28">
    <w:name w:val="Hyperlink"/>
    <w:basedOn w:val="22"/>
    <w:unhideWhenUsed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uiPriority w:val="99"/>
    <w:rPr>
      <w:vertAlign w:val="superscript"/>
    </w:rPr>
  </w:style>
  <w:style w:type="character" w:customStyle="1" w:styleId="31">
    <w:name w:val="标题 1 字符"/>
    <w:basedOn w:val="22"/>
    <w:link w:val="2"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标题 2 字符"/>
    <w:basedOn w:val="22"/>
    <w:link w:val="4"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副标题 字符"/>
    <w:basedOn w:val="22"/>
    <w:link w:val="15"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批注框文本 字符"/>
    <w:basedOn w:val="22"/>
    <w:link w:val="12"/>
    <w:semiHidden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批注文字 字符"/>
    <w:basedOn w:val="22"/>
    <w:link w:val="10"/>
    <w:semiHidden/>
    <w:uiPriority w:val="99"/>
    <w:rPr>
      <w:rFonts w:ascii="Times New Roman" w:hAnsi="Times New Roman"/>
      <w:sz w:val="20"/>
      <w:szCs w:val="20"/>
    </w:rPr>
  </w:style>
  <w:style w:type="character" w:customStyle="1" w:styleId="38">
    <w:name w:val="批注主题 字符"/>
    <w:basedOn w:val="37"/>
    <w:link w:val="19"/>
    <w:semiHidden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尾注文本 字符"/>
    <w:basedOn w:val="22"/>
    <w:link w:val="11"/>
    <w:semiHidden/>
    <w:uiPriority w:val="99"/>
    <w:rPr>
      <w:rFonts w:ascii="Times New Roman" w:hAnsi="Times New Roman"/>
      <w:sz w:val="20"/>
      <w:szCs w:val="20"/>
    </w:rPr>
  </w:style>
  <w:style w:type="character" w:customStyle="1" w:styleId="40">
    <w:name w:val="页脚 字符"/>
    <w:basedOn w:val="22"/>
    <w:link w:val="13"/>
    <w:uiPriority w:val="99"/>
    <w:rPr>
      <w:rFonts w:ascii="Times New Roman" w:hAnsi="Times New Roman"/>
      <w:sz w:val="24"/>
    </w:rPr>
  </w:style>
  <w:style w:type="character" w:customStyle="1" w:styleId="41">
    <w:name w:val="脚注文本 字符"/>
    <w:basedOn w:val="22"/>
    <w:link w:val="16"/>
    <w:semiHidden/>
    <w:uiPriority w:val="99"/>
    <w:rPr>
      <w:rFonts w:ascii="Times New Roman" w:hAnsi="Times New Roman"/>
      <w:sz w:val="20"/>
      <w:szCs w:val="20"/>
    </w:rPr>
  </w:style>
  <w:style w:type="character" w:customStyle="1" w:styleId="42">
    <w:name w:val="页眉 字符"/>
    <w:basedOn w:val="22"/>
    <w:link w:val="14"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标题 3 字符"/>
    <w:basedOn w:val="22"/>
    <w:link w:val="5"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标题 4 字符"/>
    <w:basedOn w:val="22"/>
    <w:link w:val="6"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标题 5 字符"/>
    <w:basedOn w:val="22"/>
    <w:link w:val="7"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引用 字符"/>
    <w:basedOn w:val="22"/>
    <w:link w:val="48"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标题 字符"/>
    <w:basedOn w:val="22"/>
    <w:link w:val="18"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  <w:style w:type="table" w:customStyle="1" w:styleId="53">
    <w:name w:val="网格型1"/>
    <w:basedOn w:val="20"/>
    <w:uiPriority w:val="9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4">
    <w:name w:val="网格型2"/>
    <w:basedOn w:val="20"/>
    <w:uiPriority w:val="9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5">
    <w:name w:val="网格型5"/>
    <w:basedOn w:val="20"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camille/Library/Containers/com.kingsoft.wpsoffice.mac/Data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Pages>3</Pages>
  <Words>274</Words>
  <Characters>1580</Characters>
  <Lines>13</Lines>
  <Paragraphs>3</Paragraphs>
  <TotalTime>6</TotalTime>
  <ScaleCrop>false</ScaleCrop>
  <LinksUpToDate>false</LinksUpToDate>
  <CharactersWithSpaces>1795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2018-11-23T16:58:00Z</dcterms:created>
  <dc:creator>Frontiers Media SA</dc:creator>
  <cp:lastModifiedBy>自来卷小江～</cp:lastModifiedBy>
  <cp:lastPrinted>2022-08-01T17:45:00Z</cp:lastPrinted>
  <dcterms:modified xsi:type="dcterms:W3CDTF">2023-04-30T12:45:33Z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2380CCE49E4E06285EF24D649592E225</vt:lpwstr>
  </property>
</Properties>
</file>