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Arial" w:hAnsi="Arial" w:cs="Arial"/>
          <w:sz w:val="20"/>
          <w:szCs w:val="20"/>
        </w:rPr>
      </w:pPr>
      <w:r>
        <w:rPr>
          <w:rFonts w:hint="eastAsia" w:ascii="Arial" w:hAnsi="Arial" w:cs="Arial"/>
          <w:sz w:val="20"/>
          <w:szCs w:val="20"/>
        </w:rPr>
        <w:t>Supplemental table 1</w:t>
      </w:r>
      <w:r>
        <w:rPr>
          <w:rFonts w:ascii="Arial" w:hAnsi="Arial" w:cs="Arial"/>
          <w:sz w:val="20"/>
          <w:szCs w:val="20"/>
        </w:rPr>
        <w:t>. Univariable and multivariable Cox regression for OS.</w:t>
      </w:r>
    </w:p>
    <w:tbl>
      <w:tblPr>
        <w:tblStyle w:val="4"/>
        <w:tblW w:w="13400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0"/>
        <w:gridCol w:w="4445"/>
        <w:gridCol w:w="1185"/>
        <w:gridCol w:w="1474"/>
        <w:gridCol w:w="1156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30" w:type="dxa"/>
            <w:gridSpan w:val="2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Univariable</w:t>
            </w:r>
          </w:p>
        </w:tc>
        <w:tc>
          <w:tcPr>
            <w:tcW w:w="2630" w:type="dxa"/>
            <w:gridSpan w:val="2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Multivariable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45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HR(95%CI)</w:t>
            </w:r>
          </w:p>
        </w:tc>
        <w:tc>
          <w:tcPr>
            <w:tcW w:w="1185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474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HR(95%CI)</w:t>
            </w:r>
          </w:p>
        </w:tc>
        <w:tc>
          <w:tcPr>
            <w:tcW w:w="1156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4445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444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1.340(0.575-3.120)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0.498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≤60 years old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＞60 years old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1.874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(0.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793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4.426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0.152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IIIc-IIID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IV M1a-M1b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0.185(0.052-0.653)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0.009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IV M1c-M1d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0.388(0.147-1.024)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 xml:space="preserve">0.056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LDH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Normal(≤ULN)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Elevated(＞ULN)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1.215(0.526-2.807)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0.648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ECOG PS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≥1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0.949(0.276-3.270)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0.935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Primary site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Cutaneous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Acral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37513.276(0.000-2.2755E117)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0.937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Mucosal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71510.253(0.000-4.3606E117)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0.933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Unkown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9304.249(0.000-5.6623E116)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0.945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Front line treatment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PD-1 /IFN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PD-1+IFN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1.158(0.154-8.688)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0.886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Front-line treatment response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0.048(0.000-16916.927)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0.640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Gene mutation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Wild type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BRAF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0.738(0.205-2.661)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0.643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NRAS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0.424(0.042-4.245)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0.465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cKIT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0.729(0.143-3.716)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0.704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Unkown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0.391(0.096-2.499)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0.391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PD-1 Monoantibody type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Pembrolizumab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Toripalimab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14444.657(0.000-6.188E+135)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0.951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IFN dose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600μg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300μg</w:t>
            </w:r>
          </w:p>
        </w:tc>
        <w:tc>
          <w:tcPr>
            <w:tcW w:w="4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0.643(0.216-1.909)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0.426 </w:t>
            </w:r>
          </w:p>
        </w:tc>
        <w:tc>
          <w:tcPr>
            <w:tcW w:w="14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sz w:val="20"/>
          <w:szCs w:val="20"/>
          <w:lang w:val="en-US" w:eastAsia="zh-CN"/>
        </w:rPr>
        <w:t>Supplemental t</w:t>
      </w:r>
      <w:r>
        <w:rPr>
          <w:rFonts w:hint="default" w:ascii="Arial" w:hAnsi="Arial" w:cs="Arial"/>
          <w:sz w:val="20"/>
          <w:szCs w:val="20"/>
        </w:rPr>
        <w:t>able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eastAsia" w:ascii="Arial" w:hAnsi="Arial" w:cs="Arial"/>
          <w:sz w:val="20"/>
          <w:szCs w:val="20"/>
          <w:lang w:val="en-US" w:eastAsia="zh-CN"/>
        </w:rPr>
        <w:t>2</w:t>
      </w:r>
      <w:r>
        <w:rPr>
          <w:rFonts w:hint="default" w:ascii="Arial" w:hAnsi="Arial" w:cs="Arial"/>
          <w:sz w:val="20"/>
          <w:szCs w:val="20"/>
        </w:rPr>
        <w:t>.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Univariable and multivariable Cox regression for PFS </w:t>
      </w:r>
    </w:p>
    <w:tbl>
      <w:tblPr>
        <w:tblStyle w:val="4"/>
        <w:tblW w:w="13270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0"/>
        <w:gridCol w:w="3580"/>
        <w:gridCol w:w="940"/>
        <w:gridCol w:w="1670"/>
        <w:gridCol w:w="960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20" w:type="dxa"/>
            <w:gridSpan w:val="2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Univariable</w:t>
            </w:r>
          </w:p>
        </w:tc>
        <w:tc>
          <w:tcPr>
            <w:tcW w:w="2630" w:type="dxa"/>
            <w:gridSpan w:val="2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Multivariable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HR(95%CI)</w:t>
            </w:r>
          </w:p>
        </w:tc>
        <w:tc>
          <w:tcPr>
            <w:tcW w:w="94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67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HR(95%CI)</w:t>
            </w:r>
          </w:p>
        </w:tc>
        <w:tc>
          <w:tcPr>
            <w:tcW w:w="9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358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35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1.245(0.643-2.410)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0.516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≤60 years old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＞60 years old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0.948(0.488-1.843)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0.875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IIIc-IIID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IV M1a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M1b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811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(0.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350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-1.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87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7)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625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 xml:space="preserve">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IV M1c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M1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d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1.360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(0.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621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-2.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980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0.4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 xml:space="preserve">2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LDH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Normal(≤ULN)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Elevated(＞ULN)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1.127(0.583-2.180)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0.722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ECOG PS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≥1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0.896(0.368-2.182)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0.809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Primary site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Cutaneous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Acral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0.256(0.030-2.177)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0.212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Mucosal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0.405(0.051-3.219)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0.393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Unkown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0.393(0.046-3.316)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0.390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Front line treatment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PD-1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IFN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PD-1+IFN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0.746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(0.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100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5.590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776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 xml:space="preserve">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Front-line treatment response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0.340(0.0045-2.559)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0.295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Gene mutation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Wild type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BRAF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0.405(0.114-1.444)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0.164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NRAS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1.031(0.105-10.143)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0.979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cKIT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0.678(0.162-2.833)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0.594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Unkown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0.302(0.073-1.248)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0.098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PD-1 Monoantibody type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Pembrolizumab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Toripalimab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1.932(0.781-4.781)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0.154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IFN dose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600μg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61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300μg</w:t>
            </w:r>
          </w:p>
        </w:tc>
        <w:tc>
          <w:tcPr>
            <w:tcW w:w="35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0.609(0.270-1.372)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0.231 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sz w:val="20"/>
          <w:szCs w:val="20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sz w:val="20"/>
          <w:szCs w:val="20"/>
          <w:lang w:val="en-US" w:eastAsia="zh-CN"/>
        </w:rPr>
        <w:t>Supplemental t</w:t>
      </w:r>
      <w:r>
        <w:rPr>
          <w:rFonts w:hint="default" w:ascii="Arial" w:hAnsi="Arial" w:cs="Arial"/>
          <w:sz w:val="20"/>
          <w:szCs w:val="20"/>
        </w:rPr>
        <w:t>able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eastAsia" w:ascii="Arial" w:hAnsi="Arial" w:cs="Arial"/>
          <w:sz w:val="20"/>
          <w:szCs w:val="20"/>
          <w:lang w:val="en-US" w:eastAsia="zh-CN"/>
        </w:rPr>
        <w:t>3</w:t>
      </w:r>
      <w:r>
        <w:rPr>
          <w:rFonts w:hint="default" w:ascii="Arial" w:hAnsi="Arial" w:cs="Arial"/>
          <w:sz w:val="20"/>
          <w:szCs w:val="20"/>
        </w:rPr>
        <w:t>.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default" w:ascii="Arial" w:hAnsi="Arial" w:cs="Arial"/>
          <w:sz w:val="20"/>
          <w:szCs w:val="20"/>
        </w:rPr>
        <w:t>Univariable and multivariable Logistic regression of irAE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default" w:ascii="Arial" w:hAnsi="Arial" w:cs="Arial"/>
          <w:sz w:val="20"/>
          <w:szCs w:val="20"/>
        </w:rPr>
        <w:t xml:space="preserve">for ORR </w:t>
      </w:r>
    </w:p>
    <w:tbl>
      <w:tblPr>
        <w:tblStyle w:val="4"/>
        <w:tblW w:w="13730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0"/>
        <w:gridCol w:w="2410"/>
        <w:gridCol w:w="960"/>
        <w:gridCol w:w="1460"/>
        <w:gridCol w:w="960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94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Univariable</w:t>
            </w:r>
          </w:p>
        </w:tc>
        <w:tc>
          <w:tcPr>
            <w:tcW w:w="9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Multivariable</w:t>
            </w:r>
          </w:p>
        </w:tc>
        <w:tc>
          <w:tcPr>
            <w:tcW w:w="9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OR(95%CI)</w:t>
            </w:r>
          </w:p>
        </w:tc>
        <w:tc>
          <w:tcPr>
            <w:tcW w:w="9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4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OR(95%CI)</w:t>
            </w:r>
          </w:p>
        </w:tc>
        <w:tc>
          <w:tcPr>
            <w:tcW w:w="9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Fatigue</w:t>
            </w:r>
          </w:p>
        </w:tc>
        <w:tc>
          <w:tcPr>
            <w:tcW w:w="241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1.732(0.369-8.133)</w:t>
            </w:r>
          </w:p>
        </w:tc>
        <w:tc>
          <w:tcPr>
            <w:tcW w:w="9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0.487 </w:t>
            </w:r>
          </w:p>
        </w:tc>
        <w:tc>
          <w:tcPr>
            <w:tcW w:w="14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Fever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3.286(0.343-31.476)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0.302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Rash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1.442(0.222-9.372)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0.701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Vitiligo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5.714(0.596-54.824)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0.131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Decreased appetite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1.545(0.372-6.408)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0.549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Hypothyroidism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3.000(0.457-19.691)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0.252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Oral ulcer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12.535(1.480-106.175)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 xml:space="preserve">0.020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Alanine/aspartate aminotrans-ferase increased  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3.600(0.545-23.779)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0.184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igh blood pressure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1.025(0.103-10.201)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0.983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Vomiting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0.000(0.000-)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0.999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Pruritus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0.000(0.000-)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0.999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Myalgia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1.571(0.153-16.182)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0.704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Weight loss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0.000(0.000-)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0.999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WBC count decrease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0.000(0.000-)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0.999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yperthyroidism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1.571(0.153-16.182)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0.704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Arthralgia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1.208(0.193-7.563)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0.840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and-foot syndrome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2.516(0.598-10.593)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0.208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emorrhage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2.300(0.213-24.795)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0.492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sz w:val="20"/>
          <w:szCs w:val="20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sz w:val="20"/>
          <w:szCs w:val="20"/>
          <w:lang w:val="en-US" w:eastAsia="zh-CN"/>
        </w:rPr>
        <w:t>Supplemental t</w:t>
      </w:r>
      <w:r>
        <w:rPr>
          <w:rFonts w:hint="default" w:ascii="Arial" w:hAnsi="Arial" w:cs="Arial"/>
          <w:sz w:val="20"/>
          <w:szCs w:val="20"/>
        </w:rPr>
        <w:t>able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eastAsia" w:ascii="Arial" w:hAnsi="Arial" w:cs="Arial"/>
          <w:sz w:val="20"/>
          <w:szCs w:val="20"/>
          <w:lang w:val="en-US" w:eastAsia="zh-CN"/>
        </w:rPr>
        <w:t>4</w:t>
      </w:r>
      <w:r>
        <w:rPr>
          <w:rFonts w:hint="default" w:ascii="Arial" w:hAnsi="Arial" w:cs="Arial"/>
          <w:sz w:val="20"/>
          <w:szCs w:val="20"/>
        </w:rPr>
        <w:t>.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default" w:ascii="Arial" w:hAnsi="Arial" w:cs="Arial"/>
          <w:sz w:val="20"/>
          <w:szCs w:val="20"/>
        </w:rPr>
        <w:t>Univariable and multivariable Cox regression of irAE for PFS</w:t>
      </w:r>
    </w:p>
    <w:tbl>
      <w:tblPr>
        <w:tblStyle w:val="4"/>
        <w:tblW w:w="12360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0"/>
        <w:gridCol w:w="2410"/>
        <w:gridCol w:w="960"/>
        <w:gridCol w:w="1918"/>
        <w:gridCol w:w="960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657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Univariable</w:t>
            </w:r>
          </w:p>
        </w:tc>
        <w:tc>
          <w:tcPr>
            <w:tcW w:w="9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Multivariable</w:t>
            </w:r>
          </w:p>
        </w:tc>
        <w:tc>
          <w:tcPr>
            <w:tcW w:w="9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HR(95%CI)</w:t>
            </w:r>
          </w:p>
        </w:tc>
        <w:tc>
          <w:tcPr>
            <w:tcW w:w="9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4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HR(95%CI)</w:t>
            </w:r>
          </w:p>
        </w:tc>
        <w:tc>
          <w:tcPr>
            <w:tcW w:w="9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Fatigue</w:t>
            </w:r>
          </w:p>
        </w:tc>
        <w:tc>
          <w:tcPr>
            <w:tcW w:w="241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1.023(0.545-1.920)</w:t>
            </w:r>
          </w:p>
        </w:tc>
        <w:tc>
          <w:tcPr>
            <w:tcW w:w="9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0.943 </w:t>
            </w:r>
          </w:p>
        </w:tc>
        <w:tc>
          <w:tcPr>
            <w:tcW w:w="14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Fever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1.113(0.571-2.171)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0.753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Rash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2.130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1.051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4.316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 xml:space="preserve">0.036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2.130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1.051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4.316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 xml:space="preserve">0.036 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Vitiligo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1.880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(0.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920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3.840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83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1.625(0.776-3.402)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0.198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Decreased appetite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1.161(0.607-2.223)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0.651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Hypothyroidism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0.786(0.387-1.595)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0.505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Oral ulcer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0.729(0.328-1.622)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0.439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Alanine/aspartate aminotrans-ferase increased  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0.713(0.350-1.451)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0.350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high blood pressure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0.470(0.197-1.122)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0.089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Vomiting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0.713(0.341-1.490)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0.368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Pruritus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0.711(0.309-1.636)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0.423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Myalgia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0.505(0.150-1.699)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0.270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Weight loss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0.758(0.265-2.168)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0.606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WBC count decrease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0.642(0.265-1.552)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0.325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yperthyroidism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1.004(0.411-2.452)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0.993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Arthralgia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0.823(0.396-1.713)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0.603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and-foot syndrome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0.841(0.339-2.086)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0.709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emorrhage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0.998(0.350-2.848)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0.997 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sz w:val="20"/>
          <w:szCs w:val="20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sz w:val="20"/>
          <w:szCs w:val="20"/>
          <w:lang w:val="en-US" w:eastAsia="zh-CN"/>
        </w:rPr>
        <w:t>Supplemental t</w:t>
      </w:r>
      <w:r>
        <w:rPr>
          <w:rFonts w:hint="default" w:ascii="Arial" w:hAnsi="Arial" w:cs="Arial"/>
          <w:sz w:val="20"/>
          <w:szCs w:val="20"/>
        </w:rPr>
        <w:t>able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eastAsia" w:ascii="Arial" w:hAnsi="Arial" w:cs="Arial"/>
          <w:sz w:val="20"/>
          <w:szCs w:val="20"/>
          <w:lang w:val="en-US" w:eastAsia="zh-CN"/>
        </w:rPr>
        <w:t>5</w:t>
      </w:r>
      <w:bookmarkStart w:id="0" w:name="_GoBack"/>
      <w:bookmarkEnd w:id="0"/>
      <w:r>
        <w:rPr>
          <w:rFonts w:hint="default" w:ascii="Arial" w:hAnsi="Arial" w:cs="Arial"/>
          <w:sz w:val="20"/>
          <w:szCs w:val="20"/>
        </w:rPr>
        <w:t>.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default" w:ascii="Arial" w:hAnsi="Arial" w:cs="Arial"/>
          <w:sz w:val="20"/>
          <w:szCs w:val="20"/>
        </w:rPr>
        <w:t>Univariable and multivariable Cox regression of irAE for OS</w:t>
      </w:r>
    </w:p>
    <w:tbl>
      <w:tblPr>
        <w:tblStyle w:val="4"/>
        <w:tblW w:w="13180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0"/>
        <w:gridCol w:w="2410"/>
        <w:gridCol w:w="960"/>
        <w:gridCol w:w="2290"/>
        <w:gridCol w:w="960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Univariable</w:t>
            </w:r>
          </w:p>
        </w:tc>
        <w:tc>
          <w:tcPr>
            <w:tcW w:w="9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9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Multivariable</w:t>
            </w:r>
          </w:p>
        </w:tc>
        <w:tc>
          <w:tcPr>
            <w:tcW w:w="960" w:type="dxa"/>
            <w:tcBorders>
              <w:top w:val="single" w:color="auto" w:sz="6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HR(95%CI)</w:t>
            </w:r>
          </w:p>
        </w:tc>
        <w:tc>
          <w:tcPr>
            <w:tcW w:w="9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229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HR(95%CI)</w:t>
            </w:r>
          </w:p>
        </w:tc>
        <w:tc>
          <w:tcPr>
            <w:tcW w:w="960" w:type="dxa"/>
            <w:tcBorders>
              <w:top w:val="nil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Fatigue</w:t>
            </w:r>
          </w:p>
        </w:tc>
        <w:tc>
          <w:tcPr>
            <w:tcW w:w="241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1.063(0.497-2.274)</w:t>
            </w:r>
          </w:p>
        </w:tc>
        <w:tc>
          <w:tcPr>
            <w:tcW w:w="9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0.875 </w:t>
            </w:r>
          </w:p>
        </w:tc>
        <w:tc>
          <w:tcPr>
            <w:tcW w:w="229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Fever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2.467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1.030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5.910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 xml:space="preserve">0.043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2.342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(0.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973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5.635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0.058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Rash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2.689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1.081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6.686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 xml:space="preserve">0.033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2.562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1.024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6.406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0.044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Vitiligo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2.526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1.016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6.282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0.04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1.421(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478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4.223)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0.5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Decreased appetite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0.890(0.436-1.818)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0.749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Hypothyroidism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0.687(0.277-1.692)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0.412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Oral ulcer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2.037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(0.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593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7.004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0.2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59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Alanine/aspartate aminotrans-ferase increased 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0.616(0.227-1.675)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0.342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high blood pressure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0.504(0.149-1.704)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0.270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Vomiting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1.220(0.622-2.391)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0.563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Pruritus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0.040(0.000-14.671)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0.285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Myalgia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2.096(0.694-6.334)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0.190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Weight loss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0.760(0.223-2.587)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0.661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WBC count decrease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1.0904(0.698-5.197)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0.209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yperthyroidism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0.564(0.164-1.937)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0.363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Arthralgia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2.012(0.979-4.132)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0.057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and-foot syndrome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1.091(0.474-2.511)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0.838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emorrhage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0.584(0.131-2.600)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0.480 </w:t>
            </w:r>
          </w:p>
        </w:tc>
        <w:tc>
          <w:tcPr>
            <w:tcW w:w="22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</w:rPr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jNGRlZDExMWE3YzQ1NDdmMjM0NmE1YWU3MWIyMTgifQ=="/>
  </w:docVars>
  <w:rsids>
    <w:rsidRoot w:val="4DAE685F"/>
    <w:rsid w:val="003B0B64"/>
    <w:rsid w:val="005D3689"/>
    <w:rsid w:val="00600C4D"/>
    <w:rsid w:val="00601A40"/>
    <w:rsid w:val="006A760C"/>
    <w:rsid w:val="00805CA6"/>
    <w:rsid w:val="00970719"/>
    <w:rsid w:val="00DB434F"/>
    <w:rsid w:val="00E21FAF"/>
    <w:rsid w:val="00E45A01"/>
    <w:rsid w:val="00F22F49"/>
    <w:rsid w:val="03D44B1F"/>
    <w:rsid w:val="0B972A2F"/>
    <w:rsid w:val="0BFE26AE"/>
    <w:rsid w:val="106926D6"/>
    <w:rsid w:val="13FA5B78"/>
    <w:rsid w:val="1E14735C"/>
    <w:rsid w:val="45435A00"/>
    <w:rsid w:val="4CF503F6"/>
    <w:rsid w:val="4DAE685F"/>
    <w:rsid w:val="53FB6E13"/>
    <w:rsid w:val="543D27D3"/>
    <w:rsid w:val="5B580960"/>
    <w:rsid w:val="69741D3D"/>
    <w:rsid w:val="7EDC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/>
      <w:color w:val="000000"/>
      <w:sz w:val="22"/>
      <w:szCs w:val="22"/>
      <w:u w:val="none"/>
      <w:vertAlign w:val="superscript"/>
    </w:rPr>
  </w:style>
  <w:style w:type="character" w:customStyle="1" w:styleId="8">
    <w:name w:val="页眉 字符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2110</Words>
  <Characters>11629</Characters>
  <Lines>2325</Lines>
  <Paragraphs>1526</Paragraphs>
  <TotalTime>1</TotalTime>
  <ScaleCrop>false</ScaleCrop>
  <LinksUpToDate>false</LinksUpToDate>
  <CharactersWithSpaces>12213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2023-11-09T07:45:00Z</dcterms:created>
  <dc:creator>赵博伦</dc:creator>
  <cp:lastModifiedBy>rye</cp:lastModifiedBy>
  <dcterms:modified xsi:type="dcterms:W3CDTF">2024-01-01T13:00:44Z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F76C5A9D233044549482E12E303D6AF8_13</vt:lpwstr>
  </property>
  <property fmtid="{D5CDD505-2E9C-101B-9397-08002B2CF9AE}" pid="4" name="GrammarlyDocumentId">
    <vt:lpwstr>4d9f35687542dfc6e876417a7728591b363ad8f0840acf3a0aee5996a2bb9463</vt:lpwstr>
  </property>
</Properties>
</file>