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6BA0D7" w14:textId="161C9862" w:rsidR="00804F16" w:rsidRDefault="00804F16" w:rsidP="007F47AB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eastAsia="宋体" w:hAnsi="Times New Roman" w:cs="Times New Roman"/>
          <w:b/>
          <w:sz w:val="24"/>
          <w:szCs w:val="24"/>
          <w:lang w:val="en-US" w:eastAsia="zh-CN"/>
        </w:rPr>
      </w:pPr>
      <w:bookmarkStart w:id="0" w:name="_GoBack"/>
      <w:r>
        <w:rPr>
          <w:rFonts w:ascii="Times New Roman" w:eastAsia="宋体" w:hAnsi="Times New Roman" w:cs="Times New Roman" w:hint="eastAsia"/>
          <w:b/>
          <w:sz w:val="24"/>
          <w:szCs w:val="24"/>
          <w:lang w:val="en-US" w:eastAsia="zh-CN"/>
        </w:rPr>
        <w:t>A</w:t>
      </w:r>
      <w:r>
        <w:rPr>
          <w:rFonts w:ascii="Times New Roman" w:eastAsia="宋体" w:hAnsi="Times New Roman" w:cs="Times New Roman"/>
          <w:b/>
          <w:sz w:val="24"/>
          <w:szCs w:val="24"/>
          <w:lang w:val="en-US" w:eastAsia="zh-CN"/>
        </w:rPr>
        <w:t>dditional file 2</w:t>
      </w:r>
    </w:p>
    <w:p w14:paraId="2E714887" w14:textId="349EB3CB" w:rsidR="00D47570" w:rsidRPr="007F47AB" w:rsidRDefault="007F47AB" w:rsidP="007F47AB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eastAsia="宋体" w:hAnsi="Times New Roman" w:cs="Times New Roman" w:hint="eastAsia"/>
          <w:b/>
          <w:sz w:val="24"/>
          <w:szCs w:val="24"/>
          <w:lang w:val="en-US" w:eastAsia="zh-CN"/>
        </w:rPr>
      </w:pPr>
      <w:r w:rsidRPr="007F47AB">
        <w:rPr>
          <w:rFonts w:ascii="Times New Roman" w:eastAsia="宋体" w:hAnsi="Times New Roman" w:cs="Times New Roman"/>
          <w:b/>
          <w:sz w:val="24"/>
          <w:szCs w:val="24"/>
          <w:lang w:val="en-US" w:eastAsia="zh-CN"/>
        </w:rPr>
        <w:t>Adverse events of medications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68"/>
        <w:gridCol w:w="6594"/>
      </w:tblGrid>
      <w:tr w:rsidR="007F47AB" w14:paraId="751A1104" w14:textId="77777777" w:rsidTr="004A16C5"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14:paraId="1961105E" w14:textId="77777777" w:rsidR="007F47AB" w:rsidRDefault="007F47AB" w:rsidP="004A16C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bCs/>
                <w:sz w:val="24"/>
                <w:szCs w:val="24"/>
                <w:lang w:val="en-US" w:eastAsia="zh-CN"/>
              </w:rPr>
              <w:t>Medications</w:t>
            </w:r>
          </w:p>
        </w:tc>
        <w:tc>
          <w:tcPr>
            <w:tcW w:w="6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DA2C4" w14:textId="77777777" w:rsidR="007F47AB" w:rsidRDefault="007F47AB" w:rsidP="004A16C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bCs/>
                <w:sz w:val="24"/>
                <w:szCs w:val="24"/>
                <w:lang w:val="en-US" w:eastAsia="zh-CN"/>
              </w:rPr>
              <w:t>Adverse effects</w:t>
            </w:r>
          </w:p>
        </w:tc>
      </w:tr>
      <w:tr w:rsidR="007F47AB" w14:paraId="7EFF6784" w14:textId="77777777" w:rsidTr="004A16C5"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BC22A" w14:textId="77777777" w:rsidR="007F47AB" w:rsidRDefault="007F47AB" w:rsidP="004A16C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bCs/>
                <w:sz w:val="24"/>
                <w:szCs w:val="24"/>
                <w:lang w:val="en-US" w:eastAsia="zh-CN"/>
              </w:rPr>
              <w:t xml:space="preserve">Prednisone </w:t>
            </w:r>
          </w:p>
        </w:tc>
        <w:tc>
          <w:tcPr>
            <w:tcW w:w="6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47489" w14:textId="77777777" w:rsidR="007F47AB" w:rsidRDefault="007F47AB" w:rsidP="004A16C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bCs/>
                <w:sz w:val="24"/>
                <w:szCs w:val="24"/>
                <w:lang w:val="en-US" w:eastAsia="zh-CN"/>
              </w:rPr>
              <w:t>Teratogenicity with slight increased risk of cleft lip</w:t>
            </w:r>
          </w:p>
          <w:p w14:paraId="5B979D36" w14:textId="77777777" w:rsidR="007F47AB" w:rsidRDefault="007F47AB" w:rsidP="004A16C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bCs/>
                <w:sz w:val="24"/>
                <w:szCs w:val="24"/>
                <w:lang w:val="en-US" w:eastAsia="zh-CN"/>
              </w:rPr>
              <w:t>Reduced placental and birth weight</w:t>
            </w:r>
          </w:p>
          <w:p w14:paraId="6276FA9B" w14:textId="77777777" w:rsidR="007F47AB" w:rsidRDefault="007F47AB" w:rsidP="004A16C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bCs/>
                <w:sz w:val="24"/>
                <w:szCs w:val="24"/>
                <w:lang w:val="en-US" w:eastAsia="zh-CN"/>
              </w:rPr>
              <w:t>Adrenal cortex suppression</w:t>
            </w:r>
          </w:p>
          <w:p w14:paraId="0978EBEC" w14:textId="77777777" w:rsidR="007F47AB" w:rsidRDefault="007F47AB" w:rsidP="004A16C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bCs/>
                <w:sz w:val="24"/>
                <w:szCs w:val="24"/>
                <w:lang w:val="en-US" w:eastAsia="zh-CN"/>
              </w:rPr>
              <w:t>US FDA pregnancy category C</w:t>
            </w:r>
          </w:p>
        </w:tc>
      </w:tr>
      <w:tr w:rsidR="007F47AB" w14:paraId="226FE1EA" w14:textId="77777777" w:rsidTr="004A16C5"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3284B" w14:textId="77777777" w:rsidR="007F47AB" w:rsidRDefault="007F47AB" w:rsidP="004A16C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bCs/>
                <w:sz w:val="24"/>
                <w:szCs w:val="24"/>
                <w:lang w:val="en-US" w:eastAsia="zh-CN"/>
              </w:rPr>
              <w:t xml:space="preserve">Hydroxychloroquine </w:t>
            </w:r>
          </w:p>
        </w:tc>
        <w:tc>
          <w:tcPr>
            <w:tcW w:w="6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D8A1A" w14:textId="77777777" w:rsidR="007F47AB" w:rsidRDefault="007F47AB" w:rsidP="004A16C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bCs/>
                <w:sz w:val="24"/>
                <w:szCs w:val="24"/>
                <w:lang w:val="en-US" w:eastAsia="zh-CN"/>
              </w:rPr>
              <w:t xml:space="preserve">High doses and prolonged durations associated with central nervous system damage and </w:t>
            </w:r>
            <w:proofErr w:type="spellStart"/>
            <w:r>
              <w:rPr>
                <w:rFonts w:eastAsia="宋体"/>
                <w:bCs/>
                <w:sz w:val="24"/>
                <w:szCs w:val="24"/>
                <w:lang w:val="en-US" w:eastAsia="zh-CN"/>
              </w:rPr>
              <w:t>otoxicity</w:t>
            </w:r>
            <w:proofErr w:type="spellEnd"/>
            <w:r>
              <w:rPr>
                <w:rFonts w:eastAsia="宋体"/>
                <w:bCs/>
                <w:sz w:val="24"/>
                <w:szCs w:val="24"/>
                <w:lang w:val="en-US" w:eastAsia="zh-CN"/>
              </w:rPr>
              <w:t>, retinal hemorrhages and abnormal retinal pigmentation</w:t>
            </w:r>
          </w:p>
          <w:p w14:paraId="66C804E0" w14:textId="1E00456D" w:rsidR="007F47AB" w:rsidRDefault="007F47AB" w:rsidP="004A16C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bCs/>
                <w:sz w:val="24"/>
                <w:szCs w:val="24"/>
                <w:lang w:val="en-US" w:eastAsia="zh-CN"/>
              </w:rPr>
              <w:t>US FDA pregnancy category C</w:t>
            </w:r>
          </w:p>
        </w:tc>
      </w:tr>
      <w:tr w:rsidR="007F47AB" w14:paraId="439D67A1" w14:textId="77777777" w:rsidTr="004A16C5"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A8DFF" w14:textId="77777777" w:rsidR="007F47AB" w:rsidRDefault="007F47AB" w:rsidP="004A16C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bCs/>
                <w:sz w:val="24"/>
                <w:szCs w:val="24"/>
                <w:lang w:val="en-US" w:eastAsia="zh-CN"/>
              </w:rPr>
              <w:t>Aspirin</w:t>
            </w:r>
          </w:p>
        </w:tc>
        <w:tc>
          <w:tcPr>
            <w:tcW w:w="6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64E20" w14:textId="77777777" w:rsidR="007F47AB" w:rsidRDefault="007F47AB" w:rsidP="004A16C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bCs/>
                <w:sz w:val="24"/>
                <w:szCs w:val="24"/>
                <w:lang w:val="en-US" w:eastAsia="zh-CN"/>
              </w:rPr>
              <w:t>First trimester: increased risk of miscarriage, cardiac malformation, and gastroschisis</w:t>
            </w:r>
          </w:p>
          <w:p w14:paraId="6DCFD6F9" w14:textId="77777777" w:rsidR="007F47AB" w:rsidRDefault="007F47AB" w:rsidP="004A16C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bCs/>
                <w:sz w:val="24"/>
                <w:szCs w:val="24"/>
                <w:lang w:val="en-US" w:eastAsia="zh-CN"/>
              </w:rPr>
              <w:t xml:space="preserve">Third trimester: premature closure of fetal ductus </w:t>
            </w:r>
            <w:proofErr w:type="spellStart"/>
            <w:r>
              <w:rPr>
                <w:rFonts w:eastAsia="宋体"/>
                <w:bCs/>
                <w:sz w:val="24"/>
                <w:szCs w:val="24"/>
                <w:lang w:val="en-US" w:eastAsia="zh-CN"/>
              </w:rPr>
              <w:t>arterious</w:t>
            </w:r>
            <w:proofErr w:type="spellEnd"/>
            <w:r>
              <w:rPr>
                <w:rFonts w:eastAsia="宋体"/>
                <w:bCs/>
                <w:sz w:val="24"/>
                <w:szCs w:val="24"/>
                <w:lang w:val="en-US" w:eastAsia="zh-CN"/>
              </w:rPr>
              <w:t>, oligohydramnios, fetal renal impairment, pulmonary hypertension, and prolongation of bleeding time, while no control data in human pregnancy</w:t>
            </w:r>
          </w:p>
          <w:p w14:paraId="5976F4E2" w14:textId="1EBD43CE" w:rsidR="007F47AB" w:rsidRDefault="00EF530E" w:rsidP="004A16C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bCs/>
                <w:sz w:val="24"/>
                <w:szCs w:val="24"/>
                <w:lang w:val="en-US" w:eastAsia="zh-CN"/>
              </w:rPr>
              <w:t xml:space="preserve">US FDA pregnancy category C </w:t>
            </w:r>
            <w:r>
              <w:rPr>
                <w:rFonts w:eastAsia="宋体" w:hint="eastAsia"/>
                <w:bCs/>
                <w:sz w:val="24"/>
                <w:szCs w:val="24"/>
                <w:lang w:val="en-US" w:eastAsia="zh-CN"/>
              </w:rPr>
              <w:t>or</w:t>
            </w:r>
            <w:r>
              <w:rPr>
                <w:rFonts w:eastAsia="宋体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eastAsia="宋体" w:hint="eastAsia"/>
                <w:bCs/>
                <w:sz w:val="24"/>
                <w:szCs w:val="24"/>
                <w:lang w:val="en-US" w:eastAsia="zh-CN"/>
              </w:rPr>
              <w:t>D</w:t>
            </w:r>
            <w:r w:rsidR="00833BE7">
              <w:rPr>
                <w:rFonts w:eastAsia="宋体"/>
                <w:bCs/>
                <w:sz w:val="24"/>
                <w:szCs w:val="24"/>
                <w:lang w:val="en-US" w:eastAsia="zh-CN"/>
              </w:rPr>
              <w:t xml:space="preserve"> </w:t>
            </w:r>
            <w:r w:rsidR="00833BE7">
              <w:rPr>
                <w:rFonts w:eastAsia="宋体" w:hint="eastAsia"/>
                <w:bCs/>
                <w:sz w:val="24"/>
                <w:szCs w:val="24"/>
                <w:lang w:val="en-US" w:eastAsia="zh-CN"/>
              </w:rPr>
              <w:t>(</w:t>
            </w:r>
            <w:r w:rsidR="00833BE7" w:rsidRPr="00833BE7">
              <w:rPr>
                <w:rFonts w:eastAsia="宋体"/>
                <w:bCs/>
                <w:sz w:val="24"/>
                <w:szCs w:val="24"/>
                <w:lang w:val="en-US" w:eastAsia="zh-CN"/>
              </w:rPr>
              <w:t>large doses</w:t>
            </w:r>
            <w:r w:rsidR="00833BE7">
              <w:rPr>
                <w:rFonts w:eastAsia="宋体"/>
                <w:bCs/>
                <w:sz w:val="24"/>
                <w:szCs w:val="24"/>
                <w:lang w:val="en-US" w:eastAsia="zh-CN"/>
              </w:rPr>
              <w:t>)</w:t>
            </w:r>
          </w:p>
        </w:tc>
      </w:tr>
      <w:tr w:rsidR="007F47AB" w14:paraId="3C6D9304" w14:textId="77777777" w:rsidTr="004A16C5"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D6A0D" w14:textId="77777777" w:rsidR="007F47AB" w:rsidRDefault="007F47AB" w:rsidP="004A16C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bCs/>
                <w:sz w:val="24"/>
                <w:szCs w:val="24"/>
                <w:lang w:val="en-US" w:eastAsia="zh-CN"/>
              </w:rPr>
              <w:t>Low-molecular-weight-heparin</w:t>
            </w:r>
          </w:p>
        </w:tc>
        <w:tc>
          <w:tcPr>
            <w:tcW w:w="6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A310B" w14:textId="77777777" w:rsidR="007F47AB" w:rsidRDefault="007F47AB" w:rsidP="004A16C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bCs/>
                <w:sz w:val="24"/>
                <w:szCs w:val="24"/>
                <w:lang w:val="en-US" w:eastAsia="zh-CN"/>
              </w:rPr>
              <w:t>Hemorrhagic events and neonatal hemorrhage</w:t>
            </w:r>
          </w:p>
          <w:p w14:paraId="2E382EF1" w14:textId="5E03FC19" w:rsidR="007F47AB" w:rsidRDefault="00EF530E" w:rsidP="004A16C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bCs/>
                <w:sz w:val="24"/>
                <w:szCs w:val="24"/>
                <w:lang w:val="en-US" w:eastAsia="zh-CN"/>
              </w:rPr>
              <w:t>US FDA pregnancy category C</w:t>
            </w:r>
          </w:p>
        </w:tc>
      </w:tr>
    </w:tbl>
    <w:p w14:paraId="0D093A36" w14:textId="77777777" w:rsidR="000A5B28" w:rsidRDefault="000A5B28">
      <w:pPr>
        <w:rPr>
          <w:lang w:eastAsia="zh-CN"/>
        </w:rPr>
      </w:pPr>
    </w:p>
    <w:sectPr w:rsidR="000A5B28" w:rsidSect="00FF2379">
      <w:footerReference w:type="default" r:id="rId7"/>
      <w:pgSz w:w="11906" w:h="16838"/>
      <w:pgMar w:top="1417" w:right="1417" w:bottom="1417" w:left="1417" w:header="0" w:footer="0" w:gutter="0"/>
      <w:lnNumType w:countBy="1" w:restart="continuous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DF13B0" w14:textId="77777777" w:rsidR="00CA0D32" w:rsidRDefault="00CA0D32">
      <w:pPr>
        <w:spacing w:after="0" w:line="240" w:lineRule="auto"/>
      </w:pPr>
      <w:r>
        <w:separator/>
      </w:r>
    </w:p>
  </w:endnote>
  <w:endnote w:type="continuationSeparator" w:id="0">
    <w:p w14:paraId="403BC46D" w14:textId="77777777" w:rsidR="00CA0D32" w:rsidRDefault="00CA0D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24362667"/>
      <w:docPartObj>
        <w:docPartGallery w:val="Page Numbers (Bottom of Page)"/>
        <w:docPartUnique/>
      </w:docPartObj>
    </w:sdtPr>
    <w:sdtEndPr/>
    <w:sdtContent>
      <w:p w14:paraId="71BEEAE0" w14:textId="77777777" w:rsidR="00CA28EE" w:rsidRDefault="0074759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4445772E" w14:textId="77777777" w:rsidR="00CA28EE" w:rsidRDefault="00CA0D3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B953F5" w14:textId="77777777" w:rsidR="00CA0D32" w:rsidRDefault="00CA0D32">
      <w:pPr>
        <w:spacing w:after="0" w:line="240" w:lineRule="auto"/>
      </w:pPr>
      <w:r>
        <w:separator/>
      </w:r>
    </w:p>
  </w:footnote>
  <w:footnote w:type="continuationSeparator" w:id="0">
    <w:p w14:paraId="430C6BF9" w14:textId="77777777" w:rsidR="00CA0D32" w:rsidRDefault="00CA0D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C823F8"/>
    <w:multiLevelType w:val="multilevel"/>
    <w:tmpl w:val="79B6BAB8"/>
    <w:lvl w:ilvl="0">
      <w:start w:val="1"/>
      <w:numFmt w:val="decimal"/>
      <w:pStyle w:val="1"/>
      <w:lvlText w:val="%1."/>
      <w:lvlJc w:val="left"/>
      <w:pPr>
        <w:tabs>
          <w:tab w:val="num" w:pos="567"/>
        </w:tabs>
        <w:ind w:left="0" w:firstLine="0"/>
      </w:pPr>
    </w:lvl>
    <w:lvl w:ilvl="1">
      <w:start w:val="1"/>
      <w:numFmt w:val="decimal"/>
      <w:pStyle w:val="2"/>
      <w:lvlText w:val="%1.%2."/>
      <w:lvlJc w:val="left"/>
      <w:pPr>
        <w:tabs>
          <w:tab w:val="num" w:pos="970"/>
        </w:tabs>
        <w:ind w:left="0" w:firstLine="0"/>
      </w:pPr>
    </w:lvl>
    <w:lvl w:ilvl="2">
      <w:start w:val="1"/>
      <w:numFmt w:val="decimal"/>
      <w:pStyle w:val="3"/>
      <w:lvlText w:val="%1.%2.%3."/>
      <w:lvlJc w:val="left"/>
      <w:pPr>
        <w:tabs>
          <w:tab w:val="num" w:pos="3261"/>
        </w:tabs>
        <w:ind w:left="3544" w:hanging="283"/>
      </w:pPr>
    </w:lvl>
    <w:lvl w:ilvl="3">
      <w:start w:val="1"/>
      <w:numFmt w:val="decimal"/>
      <w:lvlText w:val="%1.%2.%3.%4."/>
      <w:lvlJc w:val="left"/>
      <w:pPr>
        <w:tabs>
          <w:tab w:val="num" w:pos="2469"/>
        </w:tabs>
        <w:ind w:left="1317" w:hanging="648"/>
      </w:pPr>
    </w:lvl>
    <w:lvl w:ilvl="4">
      <w:start w:val="1"/>
      <w:numFmt w:val="decimal"/>
      <w:lvlText w:val="%1.%2.%3.%4.%5."/>
      <w:lvlJc w:val="left"/>
      <w:pPr>
        <w:tabs>
          <w:tab w:val="num" w:pos="3189"/>
        </w:tabs>
        <w:ind w:left="1821" w:hanging="792"/>
      </w:pPr>
    </w:lvl>
    <w:lvl w:ilvl="5">
      <w:start w:val="1"/>
      <w:numFmt w:val="decimal"/>
      <w:lvlText w:val="%1.%2.%3.%4.%5.%6."/>
      <w:lvlJc w:val="left"/>
      <w:pPr>
        <w:tabs>
          <w:tab w:val="num" w:pos="3909"/>
        </w:tabs>
        <w:ind w:left="2325" w:hanging="936"/>
      </w:pPr>
    </w:lvl>
    <w:lvl w:ilvl="6">
      <w:start w:val="1"/>
      <w:numFmt w:val="decimal"/>
      <w:lvlText w:val="%1.%2.%3.%4.%5.%6.%7."/>
      <w:lvlJc w:val="left"/>
      <w:pPr>
        <w:tabs>
          <w:tab w:val="num" w:pos="4989"/>
        </w:tabs>
        <w:ind w:left="2829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709"/>
        </w:tabs>
        <w:ind w:left="3333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429"/>
        </w:tabs>
        <w:ind w:left="3909" w:hanging="144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B28"/>
    <w:rsid w:val="000A5B28"/>
    <w:rsid w:val="00747595"/>
    <w:rsid w:val="007F47AB"/>
    <w:rsid w:val="00804F16"/>
    <w:rsid w:val="00810DA9"/>
    <w:rsid w:val="00833BE7"/>
    <w:rsid w:val="00CA0D32"/>
    <w:rsid w:val="00D47570"/>
    <w:rsid w:val="00EF530E"/>
    <w:rsid w:val="00F82DB6"/>
    <w:rsid w:val="00F91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0A893"/>
  <w15:chartTrackingRefBased/>
  <w15:docId w15:val="{FBB85C3A-B265-4BFB-8DCE-AFB64828C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47AB"/>
    <w:pPr>
      <w:spacing w:after="200" w:line="276" w:lineRule="auto"/>
    </w:pPr>
    <w:rPr>
      <w:rFonts w:eastAsiaTheme="minorHAnsi"/>
      <w:kern w:val="0"/>
      <w:sz w:val="22"/>
      <w:lang w:val="en-CA" w:eastAsia="en-US"/>
    </w:rPr>
  </w:style>
  <w:style w:type="paragraph" w:styleId="1">
    <w:name w:val="heading 1"/>
    <w:basedOn w:val="a"/>
    <w:next w:val="a"/>
    <w:link w:val="10"/>
    <w:qFormat/>
    <w:rsid w:val="00804F16"/>
    <w:pPr>
      <w:keepNext/>
      <w:numPr>
        <w:numId w:val="1"/>
      </w:numPr>
      <w:tabs>
        <w:tab w:val="clear" w:pos="567"/>
        <w:tab w:val="num" w:pos="568"/>
      </w:tabs>
      <w:autoSpaceDE w:val="0"/>
      <w:autoSpaceDN w:val="0"/>
      <w:adjustRightInd w:val="0"/>
      <w:spacing w:before="120" w:after="120" w:line="240" w:lineRule="auto"/>
      <w:ind w:left="1"/>
      <w:outlineLvl w:val="0"/>
    </w:pPr>
    <w:rPr>
      <w:rFonts w:ascii="Times New Roman" w:eastAsia="Times New Roman" w:hAnsi="Times New Roman" w:cs="Times New Roman"/>
      <w:b/>
      <w:bCs/>
      <w:caps/>
      <w:sz w:val="24"/>
      <w:lang w:val="en-GB"/>
    </w:rPr>
  </w:style>
  <w:style w:type="paragraph" w:styleId="2">
    <w:name w:val="heading 2"/>
    <w:basedOn w:val="a"/>
    <w:next w:val="a"/>
    <w:link w:val="20"/>
    <w:semiHidden/>
    <w:unhideWhenUsed/>
    <w:qFormat/>
    <w:rsid w:val="00804F16"/>
    <w:pPr>
      <w:keepNext/>
      <w:numPr>
        <w:ilvl w:val="1"/>
        <w:numId w:val="1"/>
      </w:numPr>
      <w:autoSpaceDE w:val="0"/>
      <w:autoSpaceDN w:val="0"/>
      <w:adjustRightInd w:val="0"/>
      <w:spacing w:after="120" w:line="240" w:lineRule="auto"/>
      <w:outlineLvl w:val="1"/>
    </w:pPr>
    <w:rPr>
      <w:rFonts w:ascii="Times New Roman" w:eastAsia="Times New Roman" w:hAnsi="Times New Roman" w:cs="Times New Roman"/>
      <w:b/>
      <w:bCs/>
      <w:i/>
      <w:iCs/>
      <w:lang w:val="en-GB"/>
    </w:rPr>
  </w:style>
  <w:style w:type="paragraph" w:styleId="3">
    <w:name w:val="heading 3"/>
    <w:basedOn w:val="a"/>
    <w:next w:val="a"/>
    <w:link w:val="30"/>
    <w:semiHidden/>
    <w:unhideWhenUsed/>
    <w:qFormat/>
    <w:rsid w:val="00804F16"/>
    <w:pPr>
      <w:keepNext/>
      <w:numPr>
        <w:ilvl w:val="2"/>
        <w:numId w:val="1"/>
      </w:numPr>
      <w:autoSpaceDE w:val="0"/>
      <w:autoSpaceDN w:val="0"/>
      <w:adjustRightInd w:val="0"/>
      <w:spacing w:before="60" w:after="120" w:line="240" w:lineRule="auto"/>
      <w:outlineLvl w:val="2"/>
    </w:pPr>
    <w:rPr>
      <w:rFonts w:ascii="Times New Roman" w:eastAsia="Times New Roman" w:hAnsi="Times New Roman" w:cs="Times New Roman"/>
      <w:i/>
      <w:iCs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7F47AB"/>
    <w:pPr>
      <w:spacing w:after="200" w:line="276" w:lineRule="auto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7F47A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7F47AB"/>
    <w:rPr>
      <w:rFonts w:eastAsiaTheme="minorHAnsi"/>
      <w:kern w:val="0"/>
      <w:sz w:val="18"/>
      <w:szCs w:val="18"/>
      <w:lang w:val="en-CA" w:eastAsia="en-US"/>
    </w:rPr>
  </w:style>
  <w:style w:type="character" w:styleId="a6">
    <w:name w:val="line number"/>
    <w:basedOn w:val="a0"/>
    <w:uiPriority w:val="99"/>
    <w:semiHidden/>
    <w:unhideWhenUsed/>
    <w:rsid w:val="007F47AB"/>
  </w:style>
  <w:style w:type="character" w:customStyle="1" w:styleId="10">
    <w:name w:val="标题 1 字符"/>
    <w:basedOn w:val="a0"/>
    <w:link w:val="1"/>
    <w:rsid w:val="00804F16"/>
    <w:rPr>
      <w:rFonts w:ascii="Times New Roman" w:eastAsia="Times New Roman" w:hAnsi="Times New Roman" w:cs="Times New Roman"/>
      <w:b/>
      <w:bCs/>
      <w:caps/>
      <w:kern w:val="0"/>
      <w:sz w:val="24"/>
      <w:lang w:val="en-GB" w:eastAsia="en-US"/>
    </w:rPr>
  </w:style>
  <w:style w:type="character" w:customStyle="1" w:styleId="20">
    <w:name w:val="标题 2 字符"/>
    <w:basedOn w:val="a0"/>
    <w:link w:val="2"/>
    <w:semiHidden/>
    <w:rsid w:val="00804F16"/>
    <w:rPr>
      <w:rFonts w:ascii="Times New Roman" w:eastAsia="Times New Roman" w:hAnsi="Times New Roman" w:cs="Times New Roman"/>
      <w:b/>
      <w:bCs/>
      <w:i/>
      <w:iCs/>
      <w:kern w:val="0"/>
      <w:sz w:val="22"/>
      <w:lang w:val="en-GB" w:eastAsia="en-US"/>
    </w:rPr>
  </w:style>
  <w:style w:type="character" w:customStyle="1" w:styleId="30">
    <w:name w:val="标题 3 字符"/>
    <w:basedOn w:val="a0"/>
    <w:link w:val="3"/>
    <w:semiHidden/>
    <w:rsid w:val="00804F16"/>
    <w:rPr>
      <w:rFonts w:ascii="Times New Roman" w:eastAsia="Times New Roman" w:hAnsi="Times New Roman" w:cs="Times New Roman"/>
      <w:i/>
      <w:iCs/>
      <w:kern w:val="0"/>
      <w:sz w:val="22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1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sy</dc:creator>
  <cp:keywords/>
  <dc:description/>
  <cp:lastModifiedBy>yang sy</cp:lastModifiedBy>
  <cp:revision>8</cp:revision>
  <dcterms:created xsi:type="dcterms:W3CDTF">2020-03-01T15:31:00Z</dcterms:created>
  <dcterms:modified xsi:type="dcterms:W3CDTF">2020-03-04T18:18:00Z</dcterms:modified>
</cp:coreProperties>
</file>