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845D01" w14:textId="77777777" w:rsidR="00705731" w:rsidRPr="00A10DD7" w:rsidRDefault="00705731" w:rsidP="00705731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Hlk26736390"/>
      <w:r w:rsidRPr="00A10DD7">
        <w:rPr>
          <w:rFonts w:ascii="Times New Roman" w:hAnsi="Times New Roman" w:cs="Times New Roman"/>
          <w:b/>
          <w:sz w:val="28"/>
        </w:rPr>
        <w:t>Supporting Information</w:t>
      </w:r>
    </w:p>
    <w:bookmarkEnd w:id="0"/>
    <w:p w14:paraId="42F0E274" w14:textId="77777777" w:rsidR="00C00545" w:rsidRPr="008C38E4" w:rsidRDefault="00705731" w:rsidP="00705731">
      <w:pPr>
        <w:jc w:val="center"/>
        <w:rPr>
          <w:rFonts w:ascii="Times New Roman" w:hAnsi="Times New Roman" w:cs="Times New Roman"/>
          <w:b/>
          <w:sz w:val="24"/>
        </w:rPr>
      </w:pPr>
      <w:r w:rsidRPr="008C38E4">
        <w:rPr>
          <w:rFonts w:ascii="Times New Roman" w:hAnsi="Times New Roman" w:cs="Times New Roman"/>
          <w:b/>
          <w:sz w:val="24"/>
        </w:rPr>
        <w:t>Multispectral camouflage for infrared, visible, laser and microwave with radiative cooling</w:t>
      </w:r>
    </w:p>
    <w:p w14:paraId="65A12963" w14:textId="5A7DBA4B" w:rsidR="00605631" w:rsidRDefault="00605631" w:rsidP="00A10DD7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  <w:vertAlign w:val="superscript"/>
          <w:lang w:val="en-GB"/>
        </w:rPr>
      </w:pPr>
      <w:r w:rsidRPr="007D6EB8">
        <w:rPr>
          <w:rFonts w:ascii="Times New Roman" w:hAnsi="Times New Roman" w:cs="Times New Roman"/>
          <w:sz w:val="24"/>
          <w:szCs w:val="28"/>
          <w:lang w:val="en-GB"/>
        </w:rPr>
        <w:t>Huanzheng Zhu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Qiang Li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1, a)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  <w:lang w:val="en-GB"/>
        </w:rPr>
        <w:t>Chenning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 Tao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Yu Hong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Ziquan Xu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Weidong Shen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Sandeep Kaur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>, Pintu Ghosh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1</w:t>
      </w:r>
      <w:r w:rsidRPr="007D6EB8">
        <w:rPr>
          <w:rFonts w:ascii="Times New Roman" w:hAnsi="Times New Roman" w:cs="Times New Roman"/>
          <w:sz w:val="24"/>
          <w:szCs w:val="28"/>
          <w:lang w:val="en-GB"/>
        </w:rPr>
        <w:t xml:space="preserve"> and Min Qiu</w:t>
      </w:r>
      <w:r w:rsidRPr="007D6EB8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2, 3</w:t>
      </w:r>
      <w:r w:rsidR="00156E32">
        <w:rPr>
          <w:rFonts w:ascii="Times New Roman" w:hAnsi="Times New Roman" w:cs="Times New Roman"/>
          <w:sz w:val="24"/>
          <w:szCs w:val="28"/>
          <w:vertAlign w:val="superscript"/>
          <w:lang w:val="en-GB"/>
        </w:rPr>
        <w:t>, b)</w:t>
      </w:r>
    </w:p>
    <w:p w14:paraId="72BD99E5" w14:textId="77777777" w:rsidR="00605631" w:rsidRPr="00257EEC" w:rsidRDefault="00605631" w:rsidP="00A10DD7">
      <w:pPr>
        <w:pStyle w:val="Addresses"/>
        <w:spacing w:line="360" w:lineRule="auto"/>
        <w:jc w:val="center"/>
        <w:rPr>
          <w:i/>
          <w:iCs/>
          <w:lang w:val="en-GB"/>
        </w:rPr>
      </w:pPr>
      <w:r w:rsidRPr="00257EEC">
        <w:rPr>
          <w:rFonts w:eastAsiaTheme="minorEastAsia"/>
          <w:i/>
          <w:iCs/>
          <w:vertAlign w:val="superscript"/>
          <w:lang w:val="en-GB" w:eastAsia="zh-CN"/>
        </w:rPr>
        <w:t>1</w:t>
      </w:r>
      <w:r w:rsidRPr="00257EEC">
        <w:rPr>
          <w:i/>
          <w:iCs/>
          <w:lang w:val="en-GB"/>
        </w:rPr>
        <w:t>State Key Laboratory of Modern Optical Instrumentation, College of Optical Science and Engineering, Zhejiang University, Hangzhou 310027, China.</w:t>
      </w:r>
    </w:p>
    <w:p w14:paraId="6EC5EBB6" w14:textId="77777777" w:rsidR="00605631" w:rsidRPr="00257EEC" w:rsidRDefault="00605631" w:rsidP="00A10DD7">
      <w:pPr>
        <w:pStyle w:val="Addresses"/>
        <w:spacing w:line="360" w:lineRule="auto"/>
        <w:jc w:val="center"/>
        <w:rPr>
          <w:i/>
          <w:iCs/>
          <w:lang w:val="en-GB"/>
        </w:rPr>
      </w:pPr>
      <w:r w:rsidRPr="00257EEC">
        <w:rPr>
          <w:i/>
          <w:iCs/>
          <w:vertAlign w:val="superscript"/>
          <w:lang w:val="en-GB"/>
        </w:rPr>
        <w:t>2</w:t>
      </w:r>
      <w:r w:rsidRPr="00257EEC">
        <w:rPr>
          <w:i/>
          <w:iCs/>
          <w:lang w:val="en-GB"/>
        </w:rPr>
        <w:t>Key Laboratory of 3D Micro/Nano Fabrication and Characterization of Zhejiang Province, School of Engineering, Westlake University, 18 Shilongshan Road, Hangzhou 310024, China</w:t>
      </w:r>
      <w:r w:rsidRPr="00257EEC">
        <w:rPr>
          <w:rFonts w:eastAsiaTheme="minorEastAsia"/>
          <w:i/>
          <w:iCs/>
          <w:lang w:val="en-GB" w:eastAsia="zh-CN"/>
        </w:rPr>
        <w:t>.</w:t>
      </w:r>
    </w:p>
    <w:p w14:paraId="39F09955" w14:textId="77777777" w:rsidR="00605631" w:rsidRPr="00257EEC" w:rsidRDefault="00605631" w:rsidP="00A10DD7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257EEC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3</w:t>
      </w:r>
      <w:r w:rsidRPr="00257EEC">
        <w:rPr>
          <w:rFonts w:ascii="Times New Roman" w:hAnsi="Times New Roman" w:cs="Times New Roman"/>
          <w:i/>
          <w:iCs/>
          <w:sz w:val="24"/>
          <w:szCs w:val="24"/>
          <w:lang w:val="en-GB"/>
        </w:rPr>
        <w:t>Institute of Advanced Technology, Westlake Institute for Advanced Study, 18 Shilongshan Road, Hangzhou 310024, China.</w:t>
      </w:r>
    </w:p>
    <w:p w14:paraId="5E37213A" w14:textId="77777777" w:rsidR="00605631" w:rsidRDefault="00605631" w:rsidP="00A10DD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862A0E">
        <w:rPr>
          <w:rFonts w:ascii="Times New Roman" w:hAnsi="Times New Roman" w:cs="Times New Roman"/>
          <w:sz w:val="24"/>
          <w:szCs w:val="24"/>
          <w:lang w:val="en-GB"/>
        </w:rPr>
        <w:t>a) E-mail: qiangli@zju.edu.cn</w:t>
      </w:r>
    </w:p>
    <w:p w14:paraId="2460BFA4" w14:textId="1D89DD90" w:rsidR="00156E32" w:rsidRPr="00156E32" w:rsidRDefault="001A5406" w:rsidP="00A10DD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b)</w:t>
      </w:r>
      <w:bookmarkStart w:id="1" w:name="_GoBack"/>
      <w:bookmarkEnd w:id="1"/>
      <w:r w:rsidR="00156E32" w:rsidRPr="00DD07DE">
        <w:rPr>
          <w:rFonts w:ascii="Times New Roman" w:hAnsi="Times New Roman" w:cs="Times New Roman"/>
          <w:sz w:val="24"/>
          <w:szCs w:val="24"/>
          <w:lang w:val="en-GB"/>
        </w:rPr>
        <w:t xml:space="preserve"> E-mail: </w:t>
      </w:r>
      <w:r w:rsidR="00156E32" w:rsidRPr="00982109">
        <w:rPr>
          <w:rFonts w:ascii="Times New Roman" w:hAnsi="Times New Roman" w:cs="Times New Roman"/>
          <w:sz w:val="24"/>
          <w:szCs w:val="24"/>
          <w:lang w:val="en-GB"/>
        </w:rPr>
        <w:t>qiumin@westlake.edu.cn</w:t>
      </w:r>
    </w:p>
    <w:p w14:paraId="75EB4FDA" w14:textId="60234E11" w:rsidR="00EE0397" w:rsidRPr="002042E7" w:rsidRDefault="003F1465" w:rsidP="002042E7">
      <w:pPr>
        <w:widowControl/>
        <w:jc w:val="left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  <w:r w:rsidR="00EE0397" w:rsidRPr="008C38E4">
        <w:rPr>
          <w:rFonts w:ascii="Times New Roman" w:hAnsi="Times New Roman" w:cs="Times New Roman"/>
          <w:b/>
        </w:rPr>
        <w:lastRenderedPageBreak/>
        <w:t>Section S1. Band emittance</w:t>
      </w:r>
    </w:p>
    <w:p w14:paraId="5F635DF2" w14:textId="4B72ABCA" w:rsidR="00EE0397" w:rsidRPr="008C38E4" w:rsidRDefault="00EE0397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 xml:space="preserve">The band emittance of </w:t>
      </w:r>
      <w:r w:rsidR="00F17336">
        <w:rPr>
          <w:rFonts w:ascii="Times New Roman" w:hAnsi="Times New Roman" w:cs="Times New Roman"/>
        </w:rPr>
        <w:t xml:space="preserve">the </w:t>
      </w:r>
      <w:r w:rsidRPr="008C38E4">
        <w:rPr>
          <w:rFonts w:ascii="Times New Roman" w:hAnsi="Times New Roman" w:cs="Times New Roman"/>
        </w:rPr>
        <w:t>selective emitter is calculated with</w:t>
      </w:r>
      <w:r w:rsidR="005D507C">
        <w:rPr>
          <w:rFonts w:ascii="Times New Roman" w:hAnsi="Times New Roman" w:cs="Times New Roman"/>
        </w:rPr>
        <w:t xml:space="preserve"> the following formula</w:t>
      </w:r>
      <w:r w:rsidRPr="008C38E4">
        <w:rPr>
          <w:rFonts w:ascii="Times New Roman" w:hAnsi="Times New Roman" w:cs="Times New Roman"/>
        </w:rPr>
        <w:t>:</w:t>
      </w:r>
    </w:p>
    <w:p w14:paraId="02180195" w14:textId="77777777" w:rsidR="00705731" w:rsidRPr="008C38E4" w:rsidRDefault="0048064C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noProof/>
          <w:position w:val="-48"/>
        </w:rPr>
        <w:object w:dxaOrig="2840" w:dyaOrig="1080" w14:anchorId="1C3ED0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41.7pt;height:54pt;mso-width-percent:0;mso-height-percent:0;mso-width-percent:0;mso-height-percent:0" o:ole="">
            <v:imagedata r:id="rId6" o:title=""/>
          </v:shape>
          <o:OLEObject Type="Embed" ProgID="Equation.DSMT4" ShapeID="_x0000_i1025" DrawAspect="Content" ObjectID="_1655712742" r:id="rId7"/>
        </w:object>
      </w:r>
    </w:p>
    <w:p w14:paraId="6E015D7C" w14:textId="77777777" w:rsidR="00D82843" w:rsidRPr="008C38E4" w:rsidRDefault="00D82843" w:rsidP="00D82843">
      <w:pPr>
        <w:rPr>
          <w:rFonts w:ascii="Times New Roman" w:hAnsi="Times New Roman" w:cs="Times New Roman"/>
          <w:b/>
        </w:rPr>
      </w:pPr>
    </w:p>
    <w:p w14:paraId="456C4C45" w14:textId="3C1D94D7" w:rsidR="00D82843" w:rsidRPr="008C38E4" w:rsidRDefault="00D82843" w:rsidP="00D82843">
      <w:pPr>
        <w:rPr>
          <w:rFonts w:ascii="Times New Roman" w:hAnsi="Times New Roman" w:cs="Times New Roman"/>
          <w:b/>
        </w:rPr>
      </w:pPr>
      <w:r w:rsidRPr="008C38E4">
        <w:rPr>
          <w:rFonts w:ascii="Times New Roman" w:hAnsi="Times New Roman" w:cs="Times New Roman"/>
          <w:b/>
        </w:rPr>
        <w:t xml:space="preserve">Section S2. Design of </w:t>
      </w:r>
      <w:r w:rsidR="003433A5" w:rsidRPr="008C38E4">
        <w:rPr>
          <w:rFonts w:ascii="Times New Roman" w:hAnsi="Times New Roman" w:cs="Times New Roman"/>
          <w:b/>
        </w:rPr>
        <w:t>ZnS/Ge</w:t>
      </w:r>
      <w:r w:rsidRPr="008C38E4">
        <w:rPr>
          <w:rFonts w:ascii="Times New Roman" w:hAnsi="Times New Roman" w:cs="Times New Roman"/>
          <w:b/>
        </w:rPr>
        <w:t xml:space="preserve"> multilayer film</w:t>
      </w:r>
      <w:r w:rsidR="003433A5" w:rsidRPr="008C38E4">
        <w:rPr>
          <w:rFonts w:ascii="Times New Roman" w:hAnsi="Times New Roman" w:cs="Times New Roman"/>
          <w:b/>
        </w:rPr>
        <w:t xml:space="preserve"> selective</w:t>
      </w:r>
      <w:r w:rsidR="005C37C1">
        <w:rPr>
          <w:rFonts w:ascii="Times New Roman" w:hAnsi="Times New Roman" w:cs="Times New Roman"/>
          <w:b/>
        </w:rPr>
        <w:t xml:space="preserve"> emitter</w:t>
      </w:r>
      <w:r w:rsidR="00A53297">
        <w:rPr>
          <w:rFonts w:ascii="Times New Roman" w:hAnsi="Times New Roman" w:cs="Times New Roman"/>
          <w:b/>
        </w:rPr>
        <w:t xml:space="preserve"> (SE)</w:t>
      </w:r>
    </w:p>
    <w:p w14:paraId="66B6C4F6" w14:textId="090BB747" w:rsidR="008C2CEB" w:rsidRPr="008C38E4" w:rsidRDefault="003433A5" w:rsidP="003433A5">
      <w:pPr>
        <w:ind w:firstLineChars="100" w:firstLine="210"/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 xml:space="preserve">The thickness of ZnS/Ge multilayer </w:t>
      </w:r>
      <w:r w:rsidR="00A53297">
        <w:rPr>
          <w:rFonts w:ascii="Times New Roman" w:hAnsi="Times New Roman" w:cs="Times New Roman"/>
        </w:rPr>
        <w:t>SE</w:t>
      </w:r>
      <w:r w:rsidRPr="008C38E4">
        <w:rPr>
          <w:rFonts w:ascii="Times New Roman" w:hAnsi="Times New Roman" w:cs="Times New Roman"/>
        </w:rPr>
        <w:t xml:space="preserve"> is determined by </w:t>
      </w:r>
      <w:r w:rsidR="00FC47B1">
        <w:rPr>
          <w:rFonts w:ascii="Times New Roman" w:hAnsi="Times New Roman" w:cs="Times New Roman"/>
        </w:rPr>
        <w:t xml:space="preserve">a </w:t>
      </w:r>
      <w:r w:rsidRPr="008C38E4">
        <w:rPr>
          <w:rFonts w:ascii="Times New Roman" w:hAnsi="Times New Roman" w:cs="Times New Roman"/>
        </w:rPr>
        <w:t xml:space="preserve">genetic algorithm, with the </w:t>
      </w:r>
      <w:r w:rsidR="00FC47B1">
        <w:rPr>
          <w:rFonts w:ascii="Times New Roman" w:hAnsi="Times New Roman" w:cs="Times New Roman"/>
        </w:rPr>
        <w:t>following optimization targets -</w:t>
      </w:r>
      <w:r w:rsidRPr="008C38E4">
        <w:rPr>
          <w:rFonts w:ascii="Times New Roman" w:hAnsi="Times New Roman" w:cs="Times New Roman"/>
        </w:rPr>
        <w:t xml:space="preserve"> maximum </w:t>
      </w:r>
      <w:r w:rsidR="001964D6">
        <w:rPr>
          <w:rFonts w:ascii="Times New Roman" w:hAnsi="Times New Roman" w:cs="Times New Roman"/>
        </w:rPr>
        <w:t>absorbance</w:t>
      </w:r>
      <w:r w:rsidRPr="008C38E4">
        <w:rPr>
          <w:rFonts w:ascii="Times New Roman" w:hAnsi="Times New Roman" w:cs="Times New Roman"/>
        </w:rPr>
        <w:t xml:space="preserve"> in </w:t>
      </w:r>
      <w:r w:rsidR="00F17336">
        <w:rPr>
          <w:rFonts w:ascii="Times New Roman" w:hAnsi="Times New Roman" w:cs="Times New Roman"/>
        </w:rPr>
        <w:t xml:space="preserve">the </w:t>
      </w:r>
      <w:r w:rsidRPr="008C38E4">
        <w:rPr>
          <w:rFonts w:ascii="Times New Roman" w:hAnsi="Times New Roman" w:cs="Times New Roman"/>
        </w:rPr>
        <w:t xml:space="preserve">non-atmospheric window, maximum </w:t>
      </w:r>
      <w:r w:rsidR="001964D6">
        <w:rPr>
          <w:rFonts w:ascii="Times New Roman" w:hAnsi="Times New Roman" w:cs="Times New Roman"/>
        </w:rPr>
        <w:t>absorbance</w:t>
      </w:r>
      <w:r w:rsidRPr="008C38E4">
        <w:rPr>
          <w:rFonts w:ascii="Times New Roman" w:hAnsi="Times New Roman" w:cs="Times New Roman"/>
        </w:rPr>
        <w:t xml:space="preserve"> at 10.6 μm and 1.55 μm, </w:t>
      </w:r>
      <w:r w:rsidR="00A53297">
        <w:rPr>
          <w:rFonts w:ascii="Times New Roman" w:hAnsi="Times New Roman" w:cs="Times New Roman"/>
        </w:rPr>
        <w:t xml:space="preserve">and </w:t>
      </w:r>
      <w:r w:rsidRPr="008C38E4">
        <w:rPr>
          <w:rFonts w:ascii="Times New Roman" w:hAnsi="Times New Roman" w:cs="Times New Roman"/>
        </w:rPr>
        <w:t xml:space="preserve">minimum </w:t>
      </w:r>
      <w:r w:rsidR="001964D6">
        <w:rPr>
          <w:rFonts w:ascii="Times New Roman" w:hAnsi="Times New Roman" w:cs="Times New Roman"/>
        </w:rPr>
        <w:t>absorbance</w:t>
      </w:r>
      <w:r w:rsidRPr="008C38E4">
        <w:rPr>
          <w:rFonts w:ascii="Times New Roman" w:hAnsi="Times New Roman" w:cs="Times New Roman"/>
        </w:rPr>
        <w:t xml:space="preserve"> in both atmospheric window</w:t>
      </w:r>
      <w:r w:rsidR="00FC47B1">
        <w:rPr>
          <w:rFonts w:ascii="Times New Roman" w:hAnsi="Times New Roman" w:cs="Times New Roman"/>
        </w:rPr>
        <w:t>s</w:t>
      </w:r>
      <w:r w:rsidRPr="008C38E4">
        <w:rPr>
          <w:rFonts w:ascii="Times New Roman" w:hAnsi="Times New Roman" w:cs="Times New Roman"/>
        </w:rPr>
        <w:t xml:space="preserve">. </w:t>
      </w:r>
    </w:p>
    <w:p w14:paraId="0CAEFFAA" w14:textId="77777777" w:rsidR="002E3363" w:rsidRPr="008C38E4" w:rsidRDefault="002E3363" w:rsidP="002E3363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noProof/>
        </w:rPr>
        <w:drawing>
          <wp:inline distT="0" distB="0" distL="0" distR="0" wp14:anchorId="61FB7784" wp14:editId="0724E629">
            <wp:extent cx="5256000" cy="4063521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4063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92DE9F" w14:textId="77777777" w:rsidR="002E3363" w:rsidRPr="008C38E4" w:rsidRDefault="002E3363" w:rsidP="002E3363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>Fig. S1. (a)</w:t>
      </w:r>
      <w:r w:rsidR="00895A72" w:rsidRPr="008C38E4">
        <w:rPr>
          <w:rFonts w:ascii="Times New Roman" w:hAnsi="Times New Roman" w:cs="Times New Roman"/>
        </w:rPr>
        <w:t xml:space="preserve"> and (b)</w:t>
      </w:r>
      <w:r w:rsidRPr="008C38E4">
        <w:rPr>
          <w:rFonts w:ascii="Times New Roman" w:hAnsi="Times New Roman" w:cs="Times New Roman"/>
        </w:rPr>
        <w:t xml:space="preserve"> Refractive index </w:t>
      </w:r>
      <w:r w:rsidR="00D00314" w:rsidRPr="008C38E4">
        <w:rPr>
          <w:rFonts w:ascii="Times New Roman" w:hAnsi="Times New Roman" w:cs="Times New Roman"/>
          <w:i/>
        </w:rPr>
        <w:t>n</w:t>
      </w:r>
      <w:r w:rsidR="00D00314" w:rsidRPr="008C38E4">
        <w:rPr>
          <w:rFonts w:ascii="Times New Roman" w:hAnsi="Times New Roman" w:cs="Times New Roman"/>
        </w:rPr>
        <w:t xml:space="preserve"> </w:t>
      </w:r>
      <w:r w:rsidRPr="008C38E4">
        <w:rPr>
          <w:rFonts w:ascii="Times New Roman" w:hAnsi="Times New Roman" w:cs="Times New Roman"/>
        </w:rPr>
        <w:t>and extinction coefficient</w:t>
      </w:r>
      <w:r w:rsidR="00D00314" w:rsidRPr="008C38E4">
        <w:rPr>
          <w:rFonts w:ascii="Times New Roman" w:hAnsi="Times New Roman" w:cs="Times New Roman"/>
        </w:rPr>
        <w:t xml:space="preserve"> </w:t>
      </w:r>
      <w:r w:rsidR="00D00314" w:rsidRPr="008C38E4">
        <w:rPr>
          <w:rFonts w:ascii="Times New Roman" w:hAnsi="Times New Roman" w:cs="Times New Roman"/>
          <w:i/>
        </w:rPr>
        <w:t>k</w:t>
      </w:r>
      <w:r w:rsidR="00D00314" w:rsidRPr="008C38E4">
        <w:rPr>
          <w:rFonts w:ascii="Times New Roman" w:hAnsi="Times New Roman" w:cs="Times New Roman"/>
        </w:rPr>
        <w:t xml:space="preserve"> for ZnS and Ge. (</w:t>
      </w:r>
      <w:r w:rsidR="00895A72" w:rsidRPr="008C38E4">
        <w:rPr>
          <w:rFonts w:ascii="Times New Roman" w:hAnsi="Times New Roman" w:cs="Times New Roman"/>
        </w:rPr>
        <w:t>c</w:t>
      </w:r>
      <w:r w:rsidR="00D00314" w:rsidRPr="008C38E4">
        <w:rPr>
          <w:rFonts w:ascii="Times New Roman" w:hAnsi="Times New Roman" w:cs="Times New Roman"/>
        </w:rPr>
        <w:t>)</w:t>
      </w:r>
      <w:r w:rsidR="00895A72" w:rsidRPr="008C38E4">
        <w:rPr>
          <w:rFonts w:ascii="Times New Roman" w:hAnsi="Times New Roman" w:cs="Times New Roman"/>
        </w:rPr>
        <w:t xml:space="preserve"> and (d) Simulated angle</w:t>
      </w:r>
      <w:r w:rsidR="00F17336">
        <w:rPr>
          <w:rFonts w:ascii="Times New Roman" w:hAnsi="Times New Roman" w:cs="Times New Roman"/>
        </w:rPr>
        <w:t>-</w:t>
      </w:r>
      <w:r w:rsidR="00895A72" w:rsidRPr="008C38E4">
        <w:rPr>
          <w:rFonts w:ascii="Times New Roman" w:hAnsi="Times New Roman" w:cs="Times New Roman"/>
        </w:rPr>
        <w:t xml:space="preserve">dependent reflectance of the SE for both </w:t>
      </w:r>
      <w:r w:rsidR="002C6666" w:rsidRPr="008C38E4">
        <w:rPr>
          <w:rFonts w:ascii="Times New Roman" w:hAnsi="Times New Roman" w:cs="Times New Roman"/>
        </w:rPr>
        <w:t>polarizations</w:t>
      </w:r>
      <w:r w:rsidR="00895A72" w:rsidRPr="008C38E4">
        <w:rPr>
          <w:rFonts w:ascii="Times New Roman" w:hAnsi="Times New Roman" w:cs="Times New Roman"/>
        </w:rPr>
        <w:t>.</w:t>
      </w:r>
    </w:p>
    <w:p w14:paraId="0D7346A4" w14:textId="4263A5DF" w:rsidR="002042E7" w:rsidRDefault="002042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69C2FE" w14:textId="77777777" w:rsidR="008C2CEB" w:rsidRPr="008C38E4" w:rsidRDefault="008C2CEB" w:rsidP="008C2CEB">
      <w:pPr>
        <w:rPr>
          <w:rFonts w:ascii="Times New Roman" w:hAnsi="Times New Roman" w:cs="Times New Roman"/>
          <w:b/>
          <w:vertAlign w:val="subscript"/>
        </w:rPr>
      </w:pPr>
      <w:r w:rsidRPr="008C38E4">
        <w:rPr>
          <w:rFonts w:ascii="Times New Roman" w:hAnsi="Times New Roman" w:cs="Times New Roman"/>
          <w:b/>
        </w:rPr>
        <w:lastRenderedPageBreak/>
        <w:t>Section S</w:t>
      </w:r>
      <w:r w:rsidR="00D82843" w:rsidRPr="008C38E4">
        <w:rPr>
          <w:rFonts w:ascii="Times New Roman" w:hAnsi="Times New Roman" w:cs="Times New Roman"/>
          <w:b/>
        </w:rPr>
        <w:t>3</w:t>
      </w:r>
      <w:r w:rsidRPr="008C38E4">
        <w:rPr>
          <w:rFonts w:ascii="Times New Roman" w:hAnsi="Times New Roman" w:cs="Times New Roman"/>
          <w:b/>
        </w:rPr>
        <w:t xml:space="preserve">. </w:t>
      </w:r>
      <w:r w:rsidR="004E4A3D" w:rsidRPr="008C38E4">
        <w:rPr>
          <w:rFonts w:ascii="Times New Roman" w:hAnsi="Times New Roman" w:cs="Times New Roman"/>
          <w:b/>
        </w:rPr>
        <w:t xml:space="preserve">Reflectance spectrum variation with different </w:t>
      </w:r>
      <w:r w:rsidR="004E4A3D" w:rsidRPr="008C38E4">
        <w:rPr>
          <w:rFonts w:ascii="Times New Roman" w:hAnsi="Times New Roman" w:cs="Times New Roman"/>
          <w:b/>
          <w:i/>
        </w:rPr>
        <w:t>t</w:t>
      </w:r>
      <w:r w:rsidR="004E4A3D" w:rsidRPr="008C38E4">
        <w:rPr>
          <w:rFonts w:ascii="Times New Roman" w:hAnsi="Times New Roman" w:cs="Times New Roman"/>
          <w:b/>
          <w:vertAlign w:val="subscript"/>
        </w:rPr>
        <w:t>ZnS</w:t>
      </w:r>
    </w:p>
    <w:p w14:paraId="666A53B3" w14:textId="77777777" w:rsidR="008C2CEB" w:rsidRPr="008C38E4" w:rsidRDefault="00050240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noProof/>
        </w:rPr>
        <w:drawing>
          <wp:inline distT="0" distB="0" distL="0" distR="0" wp14:anchorId="2D9E7941" wp14:editId="339E7B98">
            <wp:extent cx="5256000" cy="402825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51"/>
                    <a:stretch/>
                  </pic:blipFill>
                  <pic:spPr bwMode="auto">
                    <a:xfrm>
                      <a:off x="0" y="0"/>
                      <a:ext cx="5256000" cy="402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9FA88" w14:textId="2C090F01" w:rsidR="003C707F" w:rsidRPr="008C38E4" w:rsidRDefault="003C707F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>Fig. S</w:t>
      </w:r>
      <w:r w:rsidR="002E3363" w:rsidRPr="008C38E4">
        <w:rPr>
          <w:rFonts w:ascii="Times New Roman" w:hAnsi="Times New Roman" w:cs="Times New Roman"/>
        </w:rPr>
        <w:t>2</w:t>
      </w:r>
      <w:r w:rsidRPr="008C38E4">
        <w:rPr>
          <w:rFonts w:ascii="Times New Roman" w:hAnsi="Times New Roman" w:cs="Times New Roman"/>
        </w:rPr>
        <w:t xml:space="preserve">. </w:t>
      </w:r>
      <w:r w:rsidR="004C65FA" w:rsidRPr="008C38E4">
        <w:rPr>
          <w:rFonts w:ascii="Times New Roman" w:hAnsi="Times New Roman" w:cs="Times New Roman"/>
        </w:rPr>
        <w:t xml:space="preserve">(a) MIR </w:t>
      </w:r>
      <w:r w:rsidR="005B29E5" w:rsidRPr="008C38E4">
        <w:rPr>
          <w:rFonts w:ascii="Times New Roman" w:hAnsi="Times New Roman" w:cs="Times New Roman"/>
        </w:rPr>
        <w:t>r</w:t>
      </w:r>
      <w:r w:rsidR="004C65FA" w:rsidRPr="008C38E4">
        <w:rPr>
          <w:rFonts w:ascii="Times New Roman" w:hAnsi="Times New Roman" w:cs="Times New Roman"/>
        </w:rPr>
        <w:t xml:space="preserve">eflectance spectra </w:t>
      </w:r>
      <w:r w:rsidR="00FC47B1">
        <w:rPr>
          <w:rFonts w:ascii="Times New Roman" w:hAnsi="Times New Roman" w:cs="Times New Roman"/>
        </w:rPr>
        <w:t>for</w:t>
      </w:r>
      <w:r w:rsidR="004C65FA" w:rsidRPr="008C38E4">
        <w:rPr>
          <w:rFonts w:ascii="Times New Roman" w:hAnsi="Times New Roman" w:cs="Times New Roman"/>
        </w:rPr>
        <w:t xml:space="preserve"> different </w:t>
      </w:r>
      <w:r w:rsidR="004C65FA" w:rsidRPr="008C38E4">
        <w:rPr>
          <w:rFonts w:ascii="Times New Roman" w:hAnsi="Times New Roman" w:cs="Times New Roman"/>
          <w:i/>
        </w:rPr>
        <w:t>t</w:t>
      </w:r>
      <w:r w:rsidR="004C65FA" w:rsidRPr="008C38E4">
        <w:rPr>
          <w:rFonts w:ascii="Times New Roman" w:hAnsi="Times New Roman" w:cs="Times New Roman"/>
          <w:vertAlign w:val="subscript"/>
        </w:rPr>
        <w:t>ZnS</w:t>
      </w:r>
      <w:r w:rsidR="005B29E5" w:rsidRPr="008C38E4">
        <w:rPr>
          <w:rFonts w:ascii="Times New Roman" w:hAnsi="Times New Roman" w:cs="Times New Roman"/>
        </w:rPr>
        <w:t xml:space="preserve"> </w:t>
      </w:r>
      <w:r w:rsidR="00FC47B1">
        <w:rPr>
          <w:rFonts w:ascii="Times New Roman" w:hAnsi="Times New Roman" w:cs="Times New Roman"/>
        </w:rPr>
        <w:t xml:space="preserve">varying </w:t>
      </w:r>
      <w:r w:rsidR="005B29E5" w:rsidRPr="008C38E4">
        <w:rPr>
          <w:rFonts w:ascii="Times New Roman" w:hAnsi="Times New Roman" w:cs="Times New Roman"/>
        </w:rPr>
        <w:t>from 10 nm to 300 nm</w:t>
      </w:r>
      <w:r w:rsidR="004C65FA" w:rsidRPr="008C38E4">
        <w:rPr>
          <w:rFonts w:ascii="Times New Roman" w:hAnsi="Times New Roman" w:cs="Times New Roman"/>
        </w:rPr>
        <w:t>. (b) The</w:t>
      </w:r>
      <w:r w:rsidR="00B30DE1" w:rsidRPr="00B30DE1">
        <w:rPr>
          <w:rFonts w:ascii="Times New Roman" w:hAnsi="Times New Roman" w:cs="Times New Roman"/>
        </w:rPr>
        <w:t xml:space="preserve"> </w:t>
      </w:r>
      <w:r w:rsidR="00B30DE1" w:rsidRPr="00FC5D92">
        <w:rPr>
          <w:rFonts w:ascii="Times New Roman" w:hAnsi="Times New Roman" w:cs="Times New Roman"/>
        </w:rPr>
        <w:t>figure of merit</w:t>
      </w:r>
      <w:r w:rsidR="00FC47B1">
        <w:rPr>
          <w:rFonts w:ascii="Times New Roman" w:hAnsi="Times New Roman" w:cs="Times New Roman"/>
        </w:rPr>
        <w:t xml:space="preserve"> plots,</w:t>
      </w:r>
      <w:r w:rsidR="00B30DE1">
        <w:rPr>
          <w:rFonts w:ascii="Times New Roman" w:hAnsi="Times New Roman" w:cs="Times New Roman"/>
        </w:rPr>
        <w:t xml:space="preserve"> which are </w:t>
      </w:r>
      <w:r w:rsidR="004C65FA" w:rsidRPr="008C38E4">
        <w:rPr>
          <w:rFonts w:ascii="Times New Roman" w:hAnsi="Times New Roman" w:cs="Times New Roman"/>
        </w:rPr>
        <w:t xml:space="preserve">band average reflectance </w:t>
      </w:r>
      <w:r w:rsidR="00351B53">
        <w:rPr>
          <w:rFonts w:ascii="Times New Roman" w:hAnsi="Times New Roman" w:cs="Times New Roman"/>
        </w:rPr>
        <w:t xml:space="preserve">for </w:t>
      </w:r>
      <w:r w:rsidR="00351B53" w:rsidRPr="008C38E4">
        <w:rPr>
          <w:rFonts w:ascii="Times New Roman" w:hAnsi="Times New Roman" w:cs="Times New Roman"/>
        </w:rPr>
        <w:t>3-5</w:t>
      </w:r>
      <w:r w:rsidR="00A53297">
        <w:rPr>
          <w:rFonts w:ascii="Times New Roman" w:hAnsi="Times New Roman" w:cs="Times New Roman"/>
        </w:rPr>
        <w:t xml:space="preserve"> </w:t>
      </w:r>
      <w:r w:rsidR="00351B53" w:rsidRPr="008C38E4">
        <w:rPr>
          <w:rFonts w:ascii="Times New Roman" w:hAnsi="Times New Roman" w:cs="Times New Roman"/>
        </w:rPr>
        <w:t xml:space="preserve">and 8-14 μm </w:t>
      </w:r>
      <w:r w:rsidR="004C65FA" w:rsidRPr="008C38E4">
        <w:rPr>
          <w:rFonts w:ascii="Times New Roman" w:hAnsi="Times New Roman" w:cs="Times New Roman"/>
        </w:rPr>
        <w:t xml:space="preserve">or </w:t>
      </w:r>
      <w:r w:rsidR="00351B53" w:rsidRPr="008C38E4">
        <w:rPr>
          <w:rFonts w:ascii="Times New Roman" w:hAnsi="Times New Roman" w:cs="Times New Roman"/>
        </w:rPr>
        <w:t>band average</w:t>
      </w:r>
      <w:r w:rsidR="00351B53">
        <w:rPr>
          <w:rFonts w:ascii="Times New Roman" w:hAnsi="Times New Roman" w:cs="Times New Roman"/>
        </w:rPr>
        <w:t xml:space="preserve"> </w:t>
      </w:r>
      <w:r w:rsidR="005C37C1">
        <w:rPr>
          <w:rFonts w:ascii="Times New Roman" w:hAnsi="Times New Roman" w:cs="Times New Roman"/>
        </w:rPr>
        <w:t>absorbance</w:t>
      </w:r>
      <w:r w:rsidR="00FC5D92">
        <w:rPr>
          <w:rFonts w:ascii="Times New Roman" w:hAnsi="Times New Roman" w:cs="Times New Roman"/>
        </w:rPr>
        <w:t xml:space="preserve"> </w:t>
      </w:r>
      <w:r w:rsidR="004C65FA" w:rsidRPr="008C38E4">
        <w:rPr>
          <w:rFonts w:ascii="Times New Roman" w:hAnsi="Times New Roman" w:cs="Times New Roman"/>
        </w:rPr>
        <w:t>for 5-8</w:t>
      </w:r>
      <w:r w:rsidR="00351B53">
        <w:rPr>
          <w:rFonts w:ascii="Times New Roman" w:hAnsi="Times New Roman" w:cs="Times New Roman"/>
        </w:rPr>
        <w:t xml:space="preserve"> </w:t>
      </w:r>
      <w:r w:rsidR="004C65FA" w:rsidRPr="008C38E4">
        <w:rPr>
          <w:rFonts w:ascii="Times New Roman" w:hAnsi="Times New Roman" w:cs="Times New Roman"/>
        </w:rPr>
        <w:t xml:space="preserve">μm </w:t>
      </w:r>
      <w:r w:rsidR="005D507C">
        <w:rPr>
          <w:rFonts w:ascii="Times New Roman" w:hAnsi="Times New Roman" w:cs="Times New Roman"/>
        </w:rPr>
        <w:t>(H</w:t>
      </w:r>
      <w:r w:rsidR="004C65FA" w:rsidRPr="008C38E4">
        <w:rPr>
          <w:rFonts w:ascii="Times New Roman" w:hAnsi="Times New Roman" w:cs="Times New Roman"/>
        </w:rPr>
        <w:t xml:space="preserve">igher </w:t>
      </w:r>
      <w:r w:rsidR="00AE2798">
        <w:rPr>
          <w:rFonts w:ascii="Times New Roman" w:hAnsi="Times New Roman" w:cs="Times New Roman"/>
        </w:rPr>
        <w:t xml:space="preserve">the </w:t>
      </w:r>
      <w:r w:rsidR="004C65FA" w:rsidRPr="008C38E4">
        <w:rPr>
          <w:rFonts w:ascii="Times New Roman" w:hAnsi="Times New Roman" w:cs="Times New Roman"/>
        </w:rPr>
        <w:t>value</w:t>
      </w:r>
      <w:r w:rsidR="00AE2798">
        <w:rPr>
          <w:rFonts w:ascii="Times New Roman" w:hAnsi="Times New Roman" w:cs="Times New Roman"/>
        </w:rPr>
        <w:t>,</w:t>
      </w:r>
      <w:r w:rsidR="004C65FA" w:rsidRPr="008C38E4">
        <w:rPr>
          <w:rFonts w:ascii="Times New Roman" w:hAnsi="Times New Roman" w:cs="Times New Roman"/>
        </w:rPr>
        <w:t xml:space="preserve"> better</w:t>
      </w:r>
      <w:r w:rsidR="00A53297">
        <w:rPr>
          <w:rFonts w:ascii="Times New Roman" w:hAnsi="Times New Roman" w:cs="Times New Roman"/>
        </w:rPr>
        <w:t xml:space="preserve"> it is</w:t>
      </w:r>
      <w:r w:rsidR="004C65FA" w:rsidRPr="008C38E4">
        <w:rPr>
          <w:rFonts w:ascii="Times New Roman" w:hAnsi="Times New Roman" w:cs="Times New Roman"/>
        </w:rPr>
        <w:t xml:space="preserve">). </w:t>
      </w:r>
      <w:r w:rsidR="005B29E5" w:rsidRPr="008C38E4">
        <w:rPr>
          <w:rFonts w:ascii="Times New Roman" w:hAnsi="Times New Roman" w:cs="Times New Roman"/>
        </w:rPr>
        <w:t xml:space="preserve">(c) Visible reflectance spectrum for </w:t>
      </w:r>
      <w:r w:rsidR="00993C9B" w:rsidRPr="008C38E4">
        <w:rPr>
          <w:rFonts w:ascii="Times New Roman" w:hAnsi="Times New Roman" w:cs="Times New Roman"/>
        </w:rPr>
        <w:t xml:space="preserve">different </w:t>
      </w:r>
      <w:r w:rsidR="00993C9B" w:rsidRPr="008C38E4">
        <w:rPr>
          <w:rFonts w:ascii="Times New Roman" w:hAnsi="Times New Roman" w:cs="Times New Roman"/>
          <w:i/>
        </w:rPr>
        <w:t>t</w:t>
      </w:r>
      <w:r w:rsidR="00993C9B" w:rsidRPr="008C38E4">
        <w:rPr>
          <w:rFonts w:ascii="Times New Roman" w:hAnsi="Times New Roman" w:cs="Times New Roman"/>
          <w:vertAlign w:val="subscript"/>
        </w:rPr>
        <w:t>ZnS</w:t>
      </w:r>
      <w:r w:rsidR="00993C9B" w:rsidRPr="008C38E4">
        <w:rPr>
          <w:rFonts w:ascii="Times New Roman" w:hAnsi="Times New Roman" w:cs="Times New Roman"/>
        </w:rPr>
        <w:t xml:space="preserve"> </w:t>
      </w:r>
      <w:r w:rsidR="00AE2798">
        <w:rPr>
          <w:rFonts w:ascii="Times New Roman" w:hAnsi="Times New Roman" w:cs="Times New Roman"/>
        </w:rPr>
        <w:t xml:space="preserve">varying </w:t>
      </w:r>
      <w:r w:rsidR="00993C9B" w:rsidRPr="008C38E4">
        <w:rPr>
          <w:rFonts w:ascii="Times New Roman" w:hAnsi="Times New Roman" w:cs="Times New Roman"/>
        </w:rPr>
        <w:t xml:space="preserve">from 10 nm to 300 nm. (d) The corresponding visible colors of </w:t>
      </w:r>
      <w:r w:rsidR="00DD10B0" w:rsidRPr="008C38E4">
        <w:rPr>
          <w:rFonts w:ascii="Times New Roman" w:hAnsi="Times New Roman" w:cs="Times New Roman"/>
        </w:rPr>
        <w:t xml:space="preserve">spectra in </w:t>
      </w:r>
      <w:r w:rsidR="00993C9B" w:rsidRPr="008C38E4">
        <w:rPr>
          <w:rFonts w:ascii="Times New Roman" w:hAnsi="Times New Roman" w:cs="Times New Roman"/>
        </w:rPr>
        <w:t>(c) indicated in the CIE 1931 chromaticity diagram.</w:t>
      </w:r>
    </w:p>
    <w:p w14:paraId="37ACFA97" w14:textId="77777777" w:rsidR="00AC0FF1" w:rsidRPr="008C38E4" w:rsidRDefault="00AC0FF1" w:rsidP="00EE0397">
      <w:pPr>
        <w:rPr>
          <w:rFonts w:ascii="Times New Roman" w:hAnsi="Times New Roman" w:cs="Times New Roman"/>
        </w:rPr>
      </w:pPr>
    </w:p>
    <w:p w14:paraId="02163BC4" w14:textId="77777777" w:rsidR="00220DA3" w:rsidRPr="008C38E4" w:rsidRDefault="00220DA3" w:rsidP="00220DA3">
      <w:pPr>
        <w:rPr>
          <w:rFonts w:ascii="Times New Roman" w:hAnsi="Times New Roman" w:cs="Times New Roman"/>
          <w:b/>
        </w:rPr>
      </w:pPr>
      <w:r w:rsidRPr="008C38E4">
        <w:rPr>
          <w:rFonts w:ascii="Times New Roman" w:hAnsi="Times New Roman" w:cs="Times New Roman"/>
          <w:b/>
        </w:rPr>
        <w:t>Section S</w:t>
      </w:r>
      <w:r w:rsidR="00D82843" w:rsidRPr="008C38E4">
        <w:rPr>
          <w:rFonts w:ascii="Times New Roman" w:hAnsi="Times New Roman" w:cs="Times New Roman"/>
          <w:b/>
        </w:rPr>
        <w:t>4</w:t>
      </w:r>
      <w:r w:rsidRPr="008C38E4">
        <w:rPr>
          <w:rFonts w:ascii="Times New Roman" w:hAnsi="Times New Roman" w:cs="Times New Roman"/>
          <w:b/>
        </w:rPr>
        <w:t xml:space="preserve">. Measured </w:t>
      </w:r>
      <w:r w:rsidR="001964D6">
        <w:rPr>
          <w:rFonts w:ascii="Times New Roman" w:hAnsi="Times New Roman" w:cs="Times New Roman"/>
          <w:b/>
        </w:rPr>
        <w:t>absorbance</w:t>
      </w:r>
      <w:r w:rsidRPr="008C38E4">
        <w:rPr>
          <w:rFonts w:ascii="Times New Roman" w:hAnsi="Times New Roman" w:cs="Times New Roman"/>
          <w:b/>
        </w:rPr>
        <w:t xml:space="preserve"> for SE and Cr film</w:t>
      </w:r>
    </w:p>
    <w:p w14:paraId="29FF7791" w14:textId="77777777" w:rsidR="00AC0FF1" w:rsidRPr="008C38E4" w:rsidRDefault="00220DA3" w:rsidP="00220DA3">
      <w:pPr>
        <w:jc w:val="center"/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b/>
          <w:noProof/>
        </w:rPr>
        <w:drawing>
          <wp:inline distT="0" distB="0" distL="0" distR="0" wp14:anchorId="61F84CE9" wp14:editId="02E084CD">
            <wp:extent cx="3619500" cy="2707609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7612" cy="2713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AB358" w14:textId="77777777" w:rsidR="00220DA3" w:rsidRPr="008C38E4" w:rsidRDefault="00220DA3" w:rsidP="00220DA3">
      <w:pPr>
        <w:jc w:val="center"/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>Fig. S</w:t>
      </w:r>
      <w:r w:rsidR="002E3363" w:rsidRPr="008C38E4">
        <w:rPr>
          <w:rFonts w:ascii="Times New Roman" w:hAnsi="Times New Roman" w:cs="Times New Roman"/>
        </w:rPr>
        <w:t>3</w:t>
      </w:r>
      <w:r w:rsidRPr="008C38E4">
        <w:rPr>
          <w:rFonts w:ascii="Times New Roman" w:hAnsi="Times New Roman" w:cs="Times New Roman"/>
        </w:rPr>
        <w:t xml:space="preserve">. Measured </w:t>
      </w:r>
      <w:r w:rsidR="001964D6">
        <w:rPr>
          <w:rFonts w:ascii="Times New Roman" w:hAnsi="Times New Roman" w:cs="Times New Roman"/>
        </w:rPr>
        <w:t>absorbance</w:t>
      </w:r>
      <w:r w:rsidRPr="008C38E4">
        <w:rPr>
          <w:rFonts w:ascii="Times New Roman" w:hAnsi="Times New Roman" w:cs="Times New Roman"/>
        </w:rPr>
        <w:t xml:space="preserve"> spectra for SE and Cr.</w:t>
      </w:r>
    </w:p>
    <w:p w14:paraId="71DF1440" w14:textId="77777777" w:rsidR="00220DA3" w:rsidRPr="008C38E4" w:rsidRDefault="00220DA3" w:rsidP="00EE0397">
      <w:pPr>
        <w:rPr>
          <w:rFonts w:ascii="Times New Roman" w:hAnsi="Times New Roman" w:cs="Times New Roman"/>
        </w:rPr>
      </w:pPr>
    </w:p>
    <w:p w14:paraId="1618E0ED" w14:textId="77777777" w:rsidR="004E0CD2" w:rsidRPr="008C38E4" w:rsidRDefault="004E0CD2" w:rsidP="00EE0397">
      <w:pPr>
        <w:rPr>
          <w:rFonts w:ascii="Times New Roman" w:hAnsi="Times New Roman" w:cs="Times New Roman"/>
          <w:b/>
        </w:rPr>
      </w:pPr>
      <w:r w:rsidRPr="008C38E4">
        <w:rPr>
          <w:rFonts w:ascii="Times New Roman" w:hAnsi="Times New Roman" w:cs="Times New Roman"/>
          <w:b/>
        </w:rPr>
        <w:t>Section S5. Heat transfer modeling</w:t>
      </w:r>
    </w:p>
    <w:p w14:paraId="5379995F" w14:textId="66244450" w:rsidR="004E0CD2" w:rsidRPr="008C38E4" w:rsidRDefault="000025B5" w:rsidP="00555A95">
      <w:pPr>
        <w:ind w:firstLineChars="100" w:firstLine="210"/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 xml:space="preserve">For normal pressure case, the power input at thermal equilibrium state (stable state) for different temperature can be defined </w:t>
      </w:r>
      <w:r w:rsidR="00AE2798">
        <w:rPr>
          <w:rFonts w:ascii="Times New Roman" w:hAnsi="Times New Roman" w:cs="Times New Roman"/>
        </w:rPr>
        <w:t>as</w:t>
      </w:r>
    </w:p>
    <w:p w14:paraId="7AFDB0F8" w14:textId="77777777" w:rsidR="000025B5" w:rsidRPr="008C38E4" w:rsidRDefault="0048064C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noProof/>
          <w:position w:val="-78"/>
        </w:rPr>
        <w:object w:dxaOrig="7699" w:dyaOrig="1680" w14:anchorId="038A1C3F">
          <v:shape id="_x0000_i1026" type="#_x0000_t75" alt="" style="width:385.4pt;height:83.55pt;mso-width-percent:0;mso-height-percent:0;mso-width-percent:0;mso-height-percent:0" o:ole="">
            <v:imagedata r:id="rId11" o:title=""/>
          </v:shape>
          <o:OLEObject Type="Embed" ProgID="Equation.DSMT4" ShapeID="_x0000_i1026" DrawAspect="Content" ObjectID="_1655712743" r:id="rId12"/>
        </w:object>
      </w:r>
    </w:p>
    <w:p w14:paraId="717B03AA" w14:textId="5D3A0188" w:rsidR="004E0CD2" w:rsidRPr="008C38E4" w:rsidRDefault="00000DC1" w:rsidP="00EE0397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 xml:space="preserve">where </w:t>
      </w:r>
      <w:r w:rsidRPr="002028C1">
        <w:rPr>
          <w:rFonts w:ascii="Times New Roman" w:hAnsi="Times New Roman" w:cs="Times New Roman"/>
          <w:i/>
        </w:rPr>
        <w:t>h</w:t>
      </w:r>
      <w:r w:rsidRPr="002028C1">
        <w:rPr>
          <w:rFonts w:ascii="Times New Roman" w:hAnsi="Times New Roman" w:cs="Times New Roman"/>
          <w:i/>
          <w:vertAlign w:val="subscript"/>
        </w:rPr>
        <w:t>conv</w:t>
      </w:r>
      <w:r w:rsidRPr="008C38E4">
        <w:rPr>
          <w:rFonts w:ascii="Times New Roman" w:hAnsi="Times New Roman" w:cs="Times New Roman"/>
        </w:rPr>
        <w:t xml:space="preserve"> is the convective heat transfer coefficient, </w:t>
      </w:r>
      <w:r w:rsidRPr="002028C1">
        <w:rPr>
          <w:rFonts w:ascii="Times New Roman" w:hAnsi="Times New Roman" w:cs="Times New Roman"/>
          <w:i/>
        </w:rPr>
        <w:t>M</w:t>
      </w:r>
      <w:r w:rsidRPr="002028C1">
        <w:rPr>
          <w:rFonts w:ascii="Times New Roman" w:hAnsi="Times New Roman" w:cs="Times New Roman"/>
        </w:rPr>
        <w:t>(</w:t>
      </w:r>
      <w:r w:rsidRPr="002028C1">
        <w:rPr>
          <w:rFonts w:ascii="Times New Roman" w:hAnsi="Times New Roman" w:cs="Times New Roman"/>
          <w:i/>
        </w:rPr>
        <w:t>λ, T</w:t>
      </w:r>
      <w:r w:rsidRPr="002028C1">
        <w:rPr>
          <w:rFonts w:ascii="Times New Roman" w:hAnsi="Times New Roman" w:cs="Times New Roman"/>
        </w:rPr>
        <w:t>)</w:t>
      </w:r>
      <w:r w:rsidRPr="008C38E4">
        <w:rPr>
          <w:rFonts w:ascii="Times New Roman" w:hAnsi="Times New Roman" w:cs="Times New Roman"/>
        </w:rPr>
        <w:t xml:space="preserve"> is the spectral radiance of blackbody, </w:t>
      </w:r>
      <w:r w:rsidRPr="004F7889">
        <w:rPr>
          <w:rFonts w:ascii="Times New Roman" w:hAnsi="Times New Roman" w:cs="Times New Roman"/>
          <w:i/>
        </w:rPr>
        <w:t>ε</w:t>
      </w:r>
      <w:r w:rsidRPr="008C38E4">
        <w:rPr>
          <w:rFonts w:ascii="Times New Roman" w:hAnsi="Times New Roman" w:cs="Times New Roman"/>
        </w:rPr>
        <w:t>(</w:t>
      </w:r>
      <w:r w:rsidRPr="004F7889">
        <w:rPr>
          <w:rFonts w:ascii="Times New Roman" w:hAnsi="Times New Roman" w:cs="Times New Roman"/>
          <w:i/>
        </w:rPr>
        <w:t>λ</w:t>
      </w:r>
      <w:r w:rsidRPr="008C38E4">
        <w:rPr>
          <w:rFonts w:ascii="Times New Roman" w:hAnsi="Times New Roman" w:cs="Times New Roman"/>
        </w:rPr>
        <w:t xml:space="preserve">) is the spectral emittance, and </w:t>
      </w:r>
      <w:r w:rsidRPr="004F7889">
        <w:rPr>
          <w:rFonts w:ascii="Times New Roman" w:hAnsi="Times New Roman" w:cs="Times New Roman"/>
          <w:i/>
        </w:rPr>
        <w:t>h</w:t>
      </w:r>
      <w:r w:rsidRPr="004F7889">
        <w:rPr>
          <w:rFonts w:ascii="Times New Roman" w:hAnsi="Times New Roman" w:cs="Times New Roman"/>
          <w:i/>
          <w:vertAlign w:val="subscript"/>
        </w:rPr>
        <w:t>para</w:t>
      </w:r>
      <w:r w:rsidRPr="008C38E4">
        <w:rPr>
          <w:rFonts w:ascii="Times New Roman" w:hAnsi="Times New Roman" w:cs="Times New Roman"/>
        </w:rPr>
        <w:t xml:space="preserve"> denotes heat transfer coefficient </w:t>
      </w:r>
      <w:r w:rsidR="00AE2798">
        <w:rPr>
          <w:rFonts w:ascii="Times New Roman" w:hAnsi="Times New Roman" w:cs="Times New Roman"/>
        </w:rPr>
        <w:t>for</w:t>
      </w:r>
      <w:r w:rsidR="00FF411E">
        <w:rPr>
          <w:rFonts w:ascii="Times New Roman" w:hAnsi="Times New Roman" w:cs="Times New Roman"/>
        </w:rPr>
        <w:t xml:space="preserve"> </w:t>
      </w:r>
      <w:r w:rsidRPr="008C38E4">
        <w:rPr>
          <w:rFonts w:ascii="Times New Roman" w:hAnsi="Times New Roman" w:cs="Times New Roman"/>
        </w:rPr>
        <w:t xml:space="preserve">other </w:t>
      </w:r>
      <w:r w:rsidR="00FF411E">
        <w:rPr>
          <w:rFonts w:ascii="Times New Roman" w:hAnsi="Times New Roman" w:cs="Times New Roman"/>
        </w:rPr>
        <w:t xml:space="preserve">all </w:t>
      </w:r>
      <w:r w:rsidRPr="008C38E4">
        <w:rPr>
          <w:rFonts w:ascii="Times New Roman" w:hAnsi="Times New Roman" w:cs="Times New Roman"/>
        </w:rPr>
        <w:t xml:space="preserve">heat transfer channels. </w:t>
      </w:r>
    </w:p>
    <w:p w14:paraId="17488E6A" w14:textId="0840FB29" w:rsidR="00555A95" w:rsidRPr="008C38E4" w:rsidRDefault="00555A95" w:rsidP="00555A95">
      <w:pPr>
        <w:ind w:firstLineChars="100" w:firstLine="210"/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</w:rPr>
        <w:t xml:space="preserve">For vacuum case, the power input can be defined </w:t>
      </w:r>
      <w:r w:rsidR="00AE2798">
        <w:rPr>
          <w:rFonts w:ascii="Times New Roman" w:hAnsi="Times New Roman" w:cs="Times New Roman"/>
        </w:rPr>
        <w:t>as</w:t>
      </w:r>
    </w:p>
    <w:p w14:paraId="558C4383" w14:textId="77777777" w:rsidR="00555A95" w:rsidRPr="008C38E4" w:rsidRDefault="0048064C" w:rsidP="00555A95">
      <w:pPr>
        <w:rPr>
          <w:rFonts w:ascii="Times New Roman" w:hAnsi="Times New Roman" w:cs="Times New Roman"/>
        </w:rPr>
      </w:pPr>
      <w:r w:rsidRPr="008C38E4">
        <w:rPr>
          <w:rFonts w:ascii="Times New Roman" w:hAnsi="Times New Roman" w:cs="Times New Roman"/>
          <w:noProof/>
          <w:position w:val="-20"/>
        </w:rPr>
        <w:object w:dxaOrig="6080" w:dyaOrig="540" w14:anchorId="5F405E72">
          <v:shape id="_x0000_i1027" type="#_x0000_t75" alt="" style="width:304.15pt;height:27.25pt;mso-width-percent:0;mso-height-percent:0;mso-width-percent:0;mso-height-percent:0" o:ole="">
            <v:imagedata r:id="rId13" o:title=""/>
          </v:shape>
          <o:OLEObject Type="Embed" ProgID="Equation.DSMT4" ShapeID="_x0000_i1027" DrawAspect="Content" ObjectID="_1655712744" r:id="rId14"/>
        </w:object>
      </w:r>
    </w:p>
    <w:p w14:paraId="0106CB9D" w14:textId="15599B18" w:rsidR="008C38E4" w:rsidRDefault="008C38E4" w:rsidP="0055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s it is difficult to determine the value of temperature-related </w:t>
      </w:r>
      <w:r w:rsidRPr="004F7889">
        <w:rPr>
          <w:rFonts w:ascii="Times New Roman" w:hAnsi="Times New Roman" w:cs="Times New Roman"/>
          <w:i/>
        </w:rPr>
        <w:t>h</w:t>
      </w:r>
      <w:r w:rsidRPr="004F7889">
        <w:rPr>
          <w:rFonts w:ascii="Times New Roman" w:hAnsi="Times New Roman" w:cs="Times New Roman"/>
          <w:i/>
          <w:vertAlign w:val="subscript"/>
        </w:rPr>
        <w:t>para</w:t>
      </w:r>
      <w:r>
        <w:rPr>
          <w:rFonts w:ascii="Times New Roman" w:hAnsi="Times New Roman" w:cs="Times New Roman"/>
        </w:rPr>
        <w:t xml:space="preserve"> due to heat dissipation by conduction and radiation/convection on the side</w:t>
      </w:r>
      <w:r w:rsidR="00FF411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</w:t>
      </w:r>
      <w:r w:rsidR="00F17336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structure, the difference between power inputs for SE and Cr </w:t>
      </w:r>
      <w:r w:rsidR="00982CE9">
        <w:rPr>
          <w:rFonts w:ascii="Times New Roman" w:hAnsi="Times New Roman" w:cs="Times New Roman"/>
        </w:rPr>
        <w:t xml:space="preserve">under identical experiment configuration </w:t>
      </w:r>
      <w:r>
        <w:rPr>
          <w:rFonts w:ascii="Times New Roman" w:hAnsi="Times New Roman" w:cs="Times New Roman"/>
        </w:rPr>
        <w:t>eliminates the influence of parasitic</w:t>
      </w:r>
      <w:r w:rsidR="005840FF">
        <w:rPr>
          <w:rFonts w:ascii="Times New Roman" w:hAnsi="Times New Roman" w:cs="Times New Roman"/>
        </w:rPr>
        <w:t xml:space="preserve"> heat</w:t>
      </w:r>
      <w:r>
        <w:rPr>
          <w:rFonts w:ascii="Times New Roman" w:hAnsi="Times New Roman" w:cs="Times New Roman"/>
        </w:rPr>
        <w:t xml:space="preserve"> loss</w:t>
      </w:r>
      <w:r w:rsidR="00AE2798">
        <w:rPr>
          <w:rFonts w:ascii="Times New Roman" w:hAnsi="Times New Roman" w:cs="Times New Roman"/>
        </w:rPr>
        <w:t xml:space="preserve"> by</w:t>
      </w:r>
      <w:r w:rsidR="00D8309A">
        <w:rPr>
          <w:rFonts w:ascii="Times New Roman" w:hAnsi="Times New Roman" w:cs="Times New Roman"/>
        </w:rPr>
        <w:t xml:space="preserve"> considering the emittance of ambi</w:t>
      </w:r>
      <w:r w:rsidR="00F17336">
        <w:rPr>
          <w:rFonts w:ascii="Times New Roman" w:hAnsi="Times New Roman" w:cs="Times New Roman"/>
        </w:rPr>
        <w:t>a</w:t>
      </w:r>
      <w:r w:rsidR="00D8309A">
        <w:rPr>
          <w:rFonts w:ascii="Times New Roman" w:hAnsi="Times New Roman" w:cs="Times New Roman"/>
        </w:rPr>
        <w:t>nce</w:t>
      </w:r>
      <w:r w:rsidR="00AE2798">
        <w:rPr>
          <w:rFonts w:ascii="Times New Roman" w:hAnsi="Times New Roman" w:cs="Times New Roman"/>
        </w:rPr>
        <w:t xml:space="preserve"> to be 1</w:t>
      </w:r>
      <w:r w:rsidR="00D8309A">
        <w:rPr>
          <w:rFonts w:ascii="Times New Roman" w:hAnsi="Times New Roman" w:cs="Times New Roman"/>
        </w:rPr>
        <w:t xml:space="preserve"> </w:t>
      </w:r>
      <w:r w:rsidR="00AE2798">
        <w:rPr>
          <w:rFonts w:ascii="Times New Roman" w:hAnsi="Times New Roman" w:cs="Times New Roman"/>
        </w:rPr>
        <w:t>constantly</w:t>
      </w:r>
      <w:r>
        <w:rPr>
          <w:rFonts w:ascii="Times New Roman" w:hAnsi="Times New Roman" w:cs="Times New Roman"/>
        </w:rPr>
        <w:t>:</w:t>
      </w:r>
    </w:p>
    <w:p w14:paraId="7CBE0366" w14:textId="77777777" w:rsidR="00D8309A" w:rsidRDefault="0048064C" w:rsidP="00555A95">
      <w:pPr>
        <w:rPr>
          <w:rFonts w:ascii="Times New Roman" w:hAnsi="Times New Roman" w:cs="Times New Roman"/>
        </w:rPr>
      </w:pPr>
      <w:r w:rsidRPr="001A434E">
        <w:rPr>
          <w:noProof/>
          <w:position w:val="-50"/>
        </w:rPr>
        <w:object w:dxaOrig="8700" w:dyaOrig="1120" w14:anchorId="58828339">
          <v:shape id="_x0000_i1028" type="#_x0000_t75" alt="" style="width:414.45pt;height:53.55pt;mso-width-percent:0;mso-height-percent:0;mso-width-percent:0;mso-height-percent:0" o:ole="">
            <v:imagedata r:id="rId15" o:title=""/>
          </v:shape>
          <o:OLEObject Type="Embed" ProgID="Equation.DSMT4" ShapeID="_x0000_i1028" DrawAspect="Content" ObjectID="_1655712745" r:id="rId16"/>
        </w:object>
      </w:r>
    </w:p>
    <w:p w14:paraId="20955732" w14:textId="312F0A6E" w:rsidR="002028C1" w:rsidRDefault="002028C1" w:rsidP="0055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 the Δ</w:t>
      </w:r>
      <w:r w:rsidRPr="00FC0216">
        <w:rPr>
          <w:rFonts w:ascii="Times New Roman" w:hAnsi="Times New Roman" w:cs="Times New Roman"/>
          <w:i/>
        </w:rPr>
        <w:t>q</w:t>
      </w:r>
      <w:r w:rsidRPr="00FC0216">
        <w:rPr>
          <w:rFonts w:ascii="Times New Roman" w:hAnsi="Times New Roman" w:cs="Times New Roman"/>
          <w:i/>
          <w:vertAlign w:val="subscript"/>
        </w:rPr>
        <w:t>v</w:t>
      </w:r>
      <w:r>
        <w:rPr>
          <w:rFonts w:ascii="Times New Roman" w:hAnsi="Times New Roman" w:cs="Times New Roman"/>
        </w:rPr>
        <w:t>(</w:t>
      </w:r>
      <w:r w:rsidR="00D8309A" w:rsidRPr="00FC0216">
        <w:rPr>
          <w:rFonts w:ascii="Times New Roman" w:hAnsi="Times New Roman" w:cs="Times New Roman"/>
          <w:i/>
        </w:rPr>
        <w:t>T</w:t>
      </w:r>
      <w:r w:rsidR="00D8309A" w:rsidRPr="00FC0216">
        <w:rPr>
          <w:rFonts w:ascii="Times New Roman" w:hAnsi="Times New Roman" w:cs="Times New Roman"/>
          <w:i/>
          <w:vertAlign w:val="subscript"/>
        </w:rPr>
        <w:t>s</w:t>
      </w:r>
      <w:r>
        <w:rPr>
          <w:rFonts w:ascii="Times New Roman" w:hAnsi="Times New Roman" w:cs="Times New Roman"/>
        </w:rPr>
        <w:t>)</w:t>
      </w:r>
      <w:r w:rsidR="00D8309A">
        <w:rPr>
          <w:rFonts w:ascii="Times New Roman" w:hAnsi="Times New Roman" w:cs="Times New Roman"/>
        </w:rPr>
        <w:t xml:space="preserve"> can be determined by the surface temperature and emittance of samples</w:t>
      </w:r>
      <w:r w:rsidR="00E64AAD">
        <w:rPr>
          <w:rFonts w:ascii="Times New Roman" w:hAnsi="Times New Roman" w:cs="Times New Roman"/>
        </w:rPr>
        <w:t xml:space="preserve">, as shown </w:t>
      </w:r>
      <w:r w:rsidR="009C12DF">
        <w:rPr>
          <w:rFonts w:ascii="Times New Roman" w:hAnsi="Times New Roman" w:cs="Times New Roman"/>
        </w:rPr>
        <w:t xml:space="preserve">by the simulated power difference without convection </w:t>
      </w:r>
      <w:r w:rsidR="005A3B76">
        <w:rPr>
          <w:rFonts w:ascii="Times New Roman" w:hAnsi="Times New Roman" w:cs="Times New Roman"/>
        </w:rPr>
        <w:t>(</w:t>
      </w:r>
      <w:r w:rsidR="00210458">
        <w:rPr>
          <w:rFonts w:ascii="Times New Roman" w:hAnsi="Times New Roman" w:cs="Times New Roman"/>
        </w:rPr>
        <w:t>vacuum</w:t>
      </w:r>
      <w:r w:rsidR="000E3DBE">
        <w:rPr>
          <w:rFonts w:ascii="Times New Roman" w:hAnsi="Times New Roman" w:cs="Times New Roman"/>
        </w:rPr>
        <w:t xml:space="preserve"> condition</w:t>
      </w:r>
      <w:r w:rsidR="00210458">
        <w:rPr>
          <w:rFonts w:ascii="Times New Roman" w:hAnsi="Times New Roman" w:cs="Times New Roman"/>
        </w:rPr>
        <w:t xml:space="preserve">, </w:t>
      </w:r>
      <w:r w:rsidR="005A3B76">
        <w:rPr>
          <w:rFonts w:ascii="Times New Roman" w:hAnsi="Times New Roman" w:cs="Times New Roman"/>
          <w:i/>
        </w:rPr>
        <w:t>T</w:t>
      </w:r>
      <w:r w:rsidR="005A3B76">
        <w:rPr>
          <w:rFonts w:ascii="Times New Roman" w:hAnsi="Times New Roman" w:cs="Times New Roman"/>
          <w:i/>
          <w:vertAlign w:val="subscript"/>
        </w:rPr>
        <w:t>v</w:t>
      </w:r>
      <w:r w:rsidR="005A3B76">
        <w:rPr>
          <w:rFonts w:ascii="Times New Roman" w:hAnsi="Times New Roman" w:cs="Times New Roman"/>
          <w:vertAlign w:val="subscript"/>
        </w:rPr>
        <w:t>,SE</w:t>
      </w:r>
      <w:r w:rsidR="005A3B76">
        <w:rPr>
          <w:rFonts w:ascii="Times New Roman" w:hAnsi="Times New Roman" w:cs="Times New Roman"/>
        </w:rPr>
        <w:t>-</w:t>
      </w:r>
      <w:r w:rsidR="005A3B76">
        <w:rPr>
          <w:rFonts w:ascii="Times New Roman" w:hAnsi="Times New Roman" w:cs="Times New Roman"/>
          <w:i/>
        </w:rPr>
        <w:t>T</w:t>
      </w:r>
      <w:r w:rsidR="005A3B76">
        <w:rPr>
          <w:rFonts w:ascii="Times New Roman" w:hAnsi="Times New Roman" w:cs="Times New Roman"/>
          <w:i/>
          <w:vertAlign w:val="subscript"/>
        </w:rPr>
        <w:t>v</w:t>
      </w:r>
      <w:r w:rsidR="005A3B76">
        <w:rPr>
          <w:rFonts w:ascii="Times New Roman" w:hAnsi="Times New Roman" w:cs="Times New Roman"/>
          <w:vertAlign w:val="subscript"/>
        </w:rPr>
        <w:t>,Cr</w:t>
      </w:r>
      <w:r w:rsidR="005A3B76">
        <w:rPr>
          <w:rFonts w:ascii="Times New Roman" w:hAnsi="Times New Roman" w:cs="Times New Roman"/>
        </w:rPr>
        <w:t xml:space="preserve">) </w:t>
      </w:r>
      <w:r w:rsidR="00E64AAD">
        <w:rPr>
          <w:rFonts w:ascii="Times New Roman" w:hAnsi="Times New Roman" w:cs="Times New Roman"/>
        </w:rPr>
        <w:t>in Fig. 4(c)</w:t>
      </w:r>
      <w:r w:rsidR="00D8309A">
        <w:rPr>
          <w:rFonts w:ascii="Times New Roman" w:hAnsi="Times New Roman" w:cs="Times New Roman"/>
        </w:rPr>
        <w:t>.</w:t>
      </w:r>
    </w:p>
    <w:p w14:paraId="0D1E4220" w14:textId="0ADDB2C7" w:rsidR="00823BC7" w:rsidRDefault="00901D3C" w:rsidP="0055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9E263A" wp14:editId="4E874B33">
            <wp:extent cx="5256000" cy="208585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2085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F5F583" w14:textId="06BCB4A6" w:rsidR="00A36B39" w:rsidRDefault="00A36B39" w:rsidP="0055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S4. (a)</w:t>
      </w:r>
      <w:r w:rsidR="00825D31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="00825D31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onvective heat transfer coefficient</w:t>
      </w:r>
      <w:r w:rsidR="00825D3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2028C1">
        <w:rPr>
          <w:rFonts w:ascii="Times New Roman" w:hAnsi="Times New Roman" w:cs="Times New Roman"/>
          <w:i/>
        </w:rPr>
        <w:t>h</w:t>
      </w:r>
      <w:r w:rsidRPr="002028C1">
        <w:rPr>
          <w:rFonts w:ascii="Times New Roman" w:hAnsi="Times New Roman" w:cs="Times New Roman"/>
          <w:i/>
          <w:vertAlign w:val="subscript"/>
        </w:rPr>
        <w:t>conv</w:t>
      </w:r>
      <w:r>
        <w:rPr>
          <w:rFonts w:ascii="Times New Roman" w:hAnsi="Times New Roman" w:cs="Times New Roman"/>
        </w:rPr>
        <w:t xml:space="preserve"> on the samples’ surfaces versus input powers. (b) </w:t>
      </w:r>
      <w:r w:rsidR="00825D31">
        <w:rPr>
          <w:rFonts w:ascii="Times New Roman" w:hAnsi="Times New Roman" w:cs="Times New Roman"/>
        </w:rPr>
        <w:t>The convective heat flux and radiative heat flux in the surface normal directions.</w:t>
      </w:r>
    </w:p>
    <w:p w14:paraId="46998637" w14:textId="77777777" w:rsidR="00F6479F" w:rsidRDefault="00F6479F" w:rsidP="00555A95">
      <w:pPr>
        <w:rPr>
          <w:rFonts w:ascii="Times New Roman" w:hAnsi="Times New Roman" w:cs="Times New Roman"/>
        </w:rPr>
      </w:pPr>
    </w:p>
    <w:p w14:paraId="5663FC2E" w14:textId="77777777" w:rsidR="00F6479F" w:rsidRPr="00DB2240" w:rsidRDefault="00F6479F" w:rsidP="00F6479F">
      <w:pPr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the Δ</w:t>
      </w:r>
      <w:r w:rsidRPr="00FC0216">
        <w:rPr>
          <w:rFonts w:ascii="Times New Roman" w:hAnsi="Times New Roman" w:cs="Times New Roman"/>
          <w:i/>
        </w:rPr>
        <w:t>q</w:t>
      </w:r>
      <w:r>
        <w:rPr>
          <w:rFonts w:ascii="Times New Roman" w:hAnsi="Times New Roman" w:cs="Times New Roman"/>
          <w:i/>
          <w:vertAlign w:val="subscript"/>
        </w:rPr>
        <w:t>n</w:t>
      </w:r>
      <w:r>
        <w:rPr>
          <w:rFonts w:ascii="Times New Roman" w:hAnsi="Times New Roman" w:cs="Times New Roman"/>
        </w:rPr>
        <w:t>(</w:t>
      </w:r>
      <w:r w:rsidRPr="00FC0216">
        <w:rPr>
          <w:rFonts w:ascii="Times New Roman" w:hAnsi="Times New Roman" w:cs="Times New Roman"/>
          <w:i/>
        </w:rPr>
        <w:t>T</w:t>
      </w:r>
      <w:r w:rsidRPr="00FC0216">
        <w:rPr>
          <w:rFonts w:ascii="Times New Roman" w:hAnsi="Times New Roman" w:cs="Times New Roman"/>
          <w:i/>
          <w:vertAlign w:val="subscript"/>
        </w:rPr>
        <w:t>s</w:t>
      </w:r>
      <w:r>
        <w:rPr>
          <w:rFonts w:ascii="Times New Roman" w:hAnsi="Times New Roman" w:cs="Times New Roman"/>
        </w:rPr>
        <w:t xml:space="preserve">), the convective heat transfer coefficients are dependent on the surface temperature, therefore related to the input power. The </w:t>
      </w:r>
      <w:r w:rsidRPr="002028C1">
        <w:rPr>
          <w:rFonts w:ascii="Times New Roman" w:hAnsi="Times New Roman" w:cs="Times New Roman"/>
          <w:i/>
        </w:rPr>
        <w:t>h</w:t>
      </w:r>
      <w:r w:rsidRPr="002028C1">
        <w:rPr>
          <w:rFonts w:ascii="Times New Roman" w:hAnsi="Times New Roman" w:cs="Times New Roman"/>
          <w:i/>
          <w:vertAlign w:val="subscript"/>
        </w:rPr>
        <w:t>conv</w:t>
      </w:r>
      <w:r>
        <w:rPr>
          <w:rFonts w:ascii="Times New Roman" w:hAnsi="Times New Roman" w:cs="Times New Roman"/>
        </w:rPr>
        <w:t xml:space="preserve"> for both SE and Cr cases are obtained by </w:t>
      </w:r>
      <w:r w:rsidRPr="00C52EFC">
        <w:rPr>
          <w:rFonts w:ascii="Times New Roman" w:hAnsi="Times New Roman" w:cs="Times New Roman"/>
          <w:i/>
        </w:rPr>
        <w:t>conjugate heat transfer</w:t>
      </w:r>
      <w:r>
        <w:rPr>
          <w:rFonts w:ascii="Times New Roman" w:hAnsi="Times New Roman" w:cs="Times New Roman"/>
        </w:rPr>
        <w:t xml:space="preserve"> (coupling to </w:t>
      </w:r>
      <w:r w:rsidRPr="00C52EFC">
        <w:rPr>
          <w:rFonts w:ascii="Times New Roman" w:hAnsi="Times New Roman" w:cs="Times New Roman"/>
          <w:i/>
        </w:rPr>
        <w:t>laminar flow</w:t>
      </w:r>
      <w:r>
        <w:rPr>
          <w:rFonts w:ascii="Times New Roman" w:hAnsi="Times New Roman" w:cs="Times New Roman"/>
        </w:rPr>
        <w:t xml:space="preserve"> for natural convection) simulations in COMSOL </w:t>
      </w:r>
      <w:r>
        <w:rPr>
          <w:rFonts w:ascii="Times New Roman" w:hAnsi="Times New Roman" w:cs="Times New Roman"/>
        </w:rPr>
        <w:lastRenderedPageBreak/>
        <w:t xml:space="preserve">Multiphysics, as shown in Fig. S4(a). For the Cr case, as the surface emittance is reltively low in the MIR band, the radiative heat transfer is simplified as </w:t>
      </w:r>
      <w:r w:rsidRPr="00881031">
        <w:rPr>
          <w:rFonts w:ascii="Times New Roman" w:hAnsi="Times New Roman" w:cs="Times New Roman"/>
          <w:i/>
        </w:rPr>
        <w:t>surface-to-ambient radiation</w:t>
      </w:r>
      <w:r>
        <w:rPr>
          <w:rFonts w:ascii="Times New Roman" w:hAnsi="Times New Roman" w:cs="Times New Roman"/>
        </w:rPr>
        <w:t xml:space="preserve"> with a constant surface emittance 0.2. For the SE case, the wavelength-selective emittance is simulated with temperature-dependent surface emittance and the heat transfer is modelled with coupling among </w:t>
      </w:r>
      <w:r w:rsidRPr="009146C6">
        <w:rPr>
          <w:rFonts w:ascii="Times New Roman" w:hAnsi="Times New Roman" w:cs="Times New Roman"/>
          <w:i/>
        </w:rPr>
        <w:t>heat transfer in solids</w:t>
      </w:r>
      <w:r>
        <w:rPr>
          <w:rFonts w:ascii="Times New Roman" w:hAnsi="Times New Roman" w:cs="Times New Roman"/>
        </w:rPr>
        <w:t xml:space="preserve">, </w:t>
      </w:r>
      <w:r w:rsidRPr="00A12AAA">
        <w:rPr>
          <w:rFonts w:ascii="Times New Roman" w:hAnsi="Times New Roman" w:cs="Times New Roman"/>
          <w:i/>
        </w:rPr>
        <w:t>radiation in participating media</w:t>
      </w:r>
      <w:r>
        <w:rPr>
          <w:rFonts w:ascii="Times New Roman" w:hAnsi="Times New Roman" w:cs="Times New Roman"/>
        </w:rPr>
        <w:t xml:space="preserve">, and </w:t>
      </w:r>
      <w:r w:rsidRPr="00A12AAA">
        <w:rPr>
          <w:rFonts w:ascii="Times New Roman" w:hAnsi="Times New Roman" w:cs="Times New Roman"/>
          <w:i/>
        </w:rPr>
        <w:t>laminar flow</w:t>
      </w:r>
      <w:r>
        <w:rPr>
          <w:rFonts w:ascii="Times New Roman" w:hAnsi="Times New Roman" w:cs="Times New Roman"/>
        </w:rPr>
        <w:t xml:space="preserve">. The absorption coefficients of atmosphere is determined by band average of the extinction coefficients </w:t>
      </w:r>
      <w:r w:rsidRPr="00155611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of water vapor and relative humidity identical to experiments’ value (60 %). In the </w:t>
      </w:r>
      <w:r w:rsidRPr="00466BB6">
        <w:rPr>
          <w:rFonts w:ascii="Times New Roman" w:hAnsi="Times New Roman" w:cs="Times New Roman"/>
          <w:i/>
        </w:rPr>
        <w:t>radiation in participating media</w:t>
      </w:r>
      <w:r>
        <w:rPr>
          <w:rFonts w:ascii="Times New Roman" w:hAnsi="Times New Roman" w:cs="Times New Roman"/>
        </w:rPr>
        <w:t xml:space="preserve"> module, the P1 approximation is applied for radiation discretization. As shown in Fig. S4, by coupling to radiation, the convection of SE is enhanced indicated by both larger </w:t>
      </w:r>
      <w:r w:rsidRPr="002028C1">
        <w:rPr>
          <w:rFonts w:ascii="Times New Roman" w:hAnsi="Times New Roman" w:cs="Times New Roman"/>
          <w:i/>
        </w:rPr>
        <w:t>h</w:t>
      </w:r>
      <w:r w:rsidRPr="002028C1">
        <w:rPr>
          <w:rFonts w:ascii="Times New Roman" w:hAnsi="Times New Roman" w:cs="Times New Roman"/>
          <w:i/>
          <w:vertAlign w:val="subscript"/>
        </w:rPr>
        <w:t>conv</w:t>
      </w:r>
      <w:r>
        <w:rPr>
          <w:rFonts w:ascii="Times New Roman" w:hAnsi="Times New Roman" w:cs="Times New Roman"/>
        </w:rPr>
        <w:t xml:space="preserve"> and convective heat flux compared to the Cr. The difference in radiation heat flux between SE and Cr is mainly related to the surface emittance difference.</w:t>
      </w:r>
    </w:p>
    <w:p w14:paraId="0ABED7A8" w14:textId="77777777" w:rsidR="00F6479F" w:rsidRPr="00F6479F" w:rsidRDefault="00F6479F" w:rsidP="00555A95">
      <w:pPr>
        <w:rPr>
          <w:rFonts w:ascii="Times New Roman" w:hAnsi="Times New Roman" w:cs="Times New Roman"/>
        </w:rPr>
      </w:pPr>
    </w:p>
    <w:sectPr w:rsidR="00F6479F" w:rsidRPr="00F64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8B3DF7" w14:textId="77777777" w:rsidR="00D71F80" w:rsidRDefault="00D71F80" w:rsidP="00705731">
      <w:r>
        <w:separator/>
      </w:r>
    </w:p>
  </w:endnote>
  <w:endnote w:type="continuationSeparator" w:id="0">
    <w:p w14:paraId="3B55ED20" w14:textId="77777777" w:rsidR="00D71F80" w:rsidRDefault="00D71F80" w:rsidP="00705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4DD62B" w14:textId="77777777" w:rsidR="00D71F80" w:rsidRDefault="00D71F80" w:rsidP="00705731">
      <w:r>
        <w:separator/>
      </w:r>
    </w:p>
  </w:footnote>
  <w:footnote w:type="continuationSeparator" w:id="0">
    <w:p w14:paraId="24E2821F" w14:textId="77777777" w:rsidR="00D71F80" w:rsidRDefault="00D71F80" w:rsidP="00705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0NLQwtTA0MDEC0ko6SsGpxcWZ+XkgBea1AAegZpksAAAA"/>
  </w:docVars>
  <w:rsids>
    <w:rsidRoot w:val="003B56C5"/>
    <w:rsid w:val="00000DC1"/>
    <w:rsid w:val="000025B5"/>
    <w:rsid w:val="00050240"/>
    <w:rsid w:val="00074A6A"/>
    <w:rsid w:val="000E3DBE"/>
    <w:rsid w:val="0010149B"/>
    <w:rsid w:val="00134A5D"/>
    <w:rsid w:val="00155611"/>
    <w:rsid w:val="00156E32"/>
    <w:rsid w:val="001964D6"/>
    <w:rsid w:val="001A0A5D"/>
    <w:rsid w:val="001A5406"/>
    <w:rsid w:val="001F58E6"/>
    <w:rsid w:val="002028C1"/>
    <w:rsid w:val="002042E7"/>
    <w:rsid w:val="00210458"/>
    <w:rsid w:val="00217BA1"/>
    <w:rsid w:val="00220DA3"/>
    <w:rsid w:val="002C6666"/>
    <w:rsid w:val="002E3363"/>
    <w:rsid w:val="003433A5"/>
    <w:rsid w:val="00351B53"/>
    <w:rsid w:val="0035578C"/>
    <w:rsid w:val="003936C8"/>
    <w:rsid w:val="003B56C5"/>
    <w:rsid w:val="003C707F"/>
    <w:rsid w:val="003F1465"/>
    <w:rsid w:val="00406415"/>
    <w:rsid w:val="00407923"/>
    <w:rsid w:val="00466BB6"/>
    <w:rsid w:val="0047360C"/>
    <w:rsid w:val="0048064C"/>
    <w:rsid w:val="004C65FA"/>
    <w:rsid w:val="004E0CD2"/>
    <w:rsid w:val="004E4A3D"/>
    <w:rsid w:val="004F7889"/>
    <w:rsid w:val="00512B55"/>
    <w:rsid w:val="00553BC0"/>
    <w:rsid w:val="00555A95"/>
    <w:rsid w:val="00566305"/>
    <w:rsid w:val="005840FF"/>
    <w:rsid w:val="005A3B76"/>
    <w:rsid w:val="005B29E5"/>
    <w:rsid w:val="005C37C1"/>
    <w:rsid w:val="005D507C"/>
    <w:rsid w:val="00605631"/>
    <w:rsid w:val="0061466C"/>
    <w:rsid w:val="00660448"/>
    <w:rsid w:val="00705731"/>
    <w:rsid w:val="00772E1E"/>
    <w:rsid w:val="00783973"/>
    <w:rsid w:val="0082188A"/>
    <w:rsid w:val="00823BC7"/>
    <w:rsid w:val="00825D31"/>
    <w:rsid w:val="00832E50"/>
    <w:rsid w:val="00862A0E"/>
    <w:rsid w:val="00881031"/>
    <w:rsid w:val="00895A72"/>
    <w:rsid w:val="008C2CEB"/>
    <w:rsid w:val="008C38E4"/>
    <w:rsid w:val="00901D3C"/>
    <w:rsid w:val="009146C6"/>
    <w:rsid w:val="00936E34"/>
    <w:rsid w:val="00982CE9"/>
    <w:rsid w:val="00993C9B"/>
    <w:rsid w:val="009A4FB2"/>
    <w:rsid w:val="009C12DF"/>
    <w:rsid w:val="00A10DD7"/>
    <w:rsid w:val="00A12AAA"/>
    <w:rsid w:val="00A36B39"/>
    <w:rsid w:val="00A37857"/>
    <w:rsid w:val="00A53297"/>
    <w:rsid w:val="00AC0FF1"/>
    <w:rsid w:val="00AE2798"/>
    <w:rsid w:val="00B30DE1"/>
    <w:rsid w:val="00B40B47"/>
    <w:rsid w:val="00B43029"/>
    <w:rsid w:val="00C00545"/>
    <w:rsid w:val="00C52EFC"/>
    <w:rsid w:val="00CC4474"/>
    <w:rsid w:val="00CC61AE"/>
    <w:rsid w:val="00D00314"/>
    <w:rsid w:val="00D42960"/>
    <w:rsid w:val="00D71F80"/>
    <w:rsid w:val="00D77789"/>
    <w:rsid w:val="00D82843"/>
    <w:rsid w:val="00D8309A"/>
    <w:rsid w:val="00DB2240"/>
    <w:rsid w:val="00DD10B0"/>
    <w:rsid w:val="00E23EFE"/>
    <w:rsid w:val="00E64AAD"/>
    <w:rsid w:val="00EB4B4D"/>
    <w:rsid w:val="00EE0397"/>
    <w:rsid w:val="00F17336"/>
    <w:rsid w:val="00F6479F"/>
    <w:rsid w:val="00F806A8"/>
    <w:rsid w:val="00FC0216"/>
    <w:rsid w:val="00FC2573"/>
    <w:rsid w:val="00FC47B1"/>
    <w:rsid w:val="00FC5D92"/>
    <w:rsid w:val="00FF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36317"/>
  <w15:chartTrackingRefBased/>
  <w15:docId w15:val="{E7E6DA4D-296D-4EA9-B663-7537E5C12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7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731"/>
    <w:rPr>
      <w:sz w:val="18"/>
      <w:szCs w:val="18"/>
    </w:rPr>
  </w:style>
  <w:style w:type="paragraph" w:styleId="a5">
    <w:name w:val="List Paragraph"/>
    <w:basedOn w:val="a"/>
    <w:uiPriority w:val="34"/>
    <w:qFormat/>
    <w:rsid w:val="004E4A3D"/>
    <w:pPr>
      <w:ind w:firstLineChars="200" w:firstLine="420"/>
    </w:pPr>
  </w:style>
  <w:style w:type="paragraph" w:customStyle="1" w:styleId="Addresses">
    <w:name w:val="Addresses"/>
    <w:basedOn w:val="a"/>
    <w:rsid w:val="00605631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6">
    <w:name w:val="Hyperlink"/>
    <w:basedOn w:val="a0"/>
    <w:uiPriority w:val="99"/>
    <w:unhideWhenUsed/>
    <w:rsid w:val="00156E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2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5" Type="http://schemas.openxmlformats.org/officeDocument/2006/relationships/endnotes" Target="endnotes.xml"/><Relationship Id="rId15" Type="http://schemas.openxmlformats.org/officeDocument/2006/relationships/image" Target="media/image7.w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1982</TotalTime>
  <Pages>5</Pages>
  <Words>685</Words>
  <Characters>3907</Characters>
  <Application>Microsoft Office Word</Application>
  <DocSecurity>0</DocSecurity>
  <Lines>32</Lines>
  <Paragraphs>9</Paragraphs>
  <ScaleCrop>false</ScaleCrop>
  <Company/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79</cp:revision>
  <dcterms:created xsi:type="dcterms:W3CDTF">2020-06-16T03:09:00Z</dcterms:created>
  <dcterms:modified xsi:type="dcterms:W3CDTF">2020-07-08T03:26:00Z</dcterms:modified>
</cp:coreProperties>
</file>