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F24139E" w14:textId="77777777" w:rsidR="00374752" w:rsidRDefault="00374752" w:rsidP="00374752">
      <w:pPr>
        <w:jc w:val="both"/>
        <w:rPr>
          <w:lang w:val="en-US"/>
        </w:rPr>
      </w:pPr>
      <w:r>
        <w:rPr>
          <w:lang w:val="en-US"/>
        </w:rPr>
        <w:t xml:space="preserve">Table 6: Probable major compounds in the </w:t>
      </w:r>
      <w:r>
        <w:rPr>
          <w:i/>
          <w:iCs/>
          <w:lang w:val="en-US"/>
        </w:rPr>
        <w:t xml:space="preserve">P. </w:t>
      </w:r>
      <w:proofErr w:type="spellStart"/>
      <w:r>
        <w:rPr>
          <w:i/>
          <w:iCs/>
          <w:lang w:val="en-US"/>
        </w:rPr>
        <w:t>citrinum</w:t>
      </w:r>
      <w:proofErr w:type="spellEnd"/>
      <w:r>
        <w:rPr>
          <w:lang w:val="en-US"/>
        </w:rPr>
        <w:t xml:space="preserve"> crude metabolite extracted with ethyl acetate.</w:t>
      </w:r>
    </w:p>
    <w:p w14:paraId="76115296" w14:textId="77777777" w:rsidR="00374752" w:rsidRDefault="00374752" w:rsidP="00374752">
      <w:pPr>
        <w:jc w:val="both"/>
        <w:rPr>
          <w:b/>
          <w:bCs/>
        </w:rPr>
      </w:pPr>
    </w:p>
    <w:tbl>
      <w:tblPr>
        <w:tblStyle w:val="TableGrid"/>
        <w:tblW w:w="14310" w:type="dxa"/>
        <w:tblInd w:w="-119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006"/>
        <w:gridCol w:w="1248"/>
        <w:gridCol w:w="1413"/>
        <w:gridCol w:w="1909"/>
        <w:gridCol w:w="1055"/>
        <w:gridCol w:w="1230"/>
        <w:gridCol w:w="1230"/>
        <w:gridCol w:w="1583"/>
        <w:gridCol w:w="1583"/>
        <w:gridCol w:w="1053"/>
      </w:tblGrid>
      <w:tr w:rsidR="00374752" w14:paraId="01378F51" w14:textId="77777777" w:rsidTr="00374752">
        <w:trPr>
          <w:trHeight w:val="245"/>
        </w:trPr>
        <w:tc>
          <w:tcPr>
            <w:tcW w:w="200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119A3B8E" w14:textId="77777777" w:rsidR="00374752" w:rsidRDefault="00374752">
            <w:pPr>
              <w:spacing w:line="240" w:lineRule="auto"/>
            </w:pPr>
            <w:r>
              <w:rPr>
                <w:sz w:val="18"/>
                <w:szCs w:val="18"/>
              </w:rPr>
              <w:t>Compounds</w:t>
            </w:r>
          </w:p>
        </w:tc>
        <w:tc>
          <w:tcPr>
            <w:tcW w:w="124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64EB8230" w14:textId="77777777" w:rsidR="00374752" w:rsidRDefault="00374752">
            <w:pPr>
              <w:spacing w:line="240" w:lineRule="auto"/>
            </w:pPr>
            <w:r>
              <w:rPr>
                <w:sz w:val="18"/>
                <w:szCs w:val="18"/>
              </w:rPr>
              <w:t>MW (</w:t>
            </w:r>
            <w:r>
              <w:rPr>
                <w:color w:val="000000"/>
                <w:sz w:val="18"/>
                <w:szCs w:val="18"/>
                <w:shd w:val="clear" w:color="auto" w:fill="FFFFFF"/>
              </w:rPr>
              <w:t>gmol</w:t>
            </w:r>
            <w:r>
              <w:rPr>
                <w:color w:val="000000"/>
                <w:sz w:val="18"/>
                <w:szCs w:val="18"/>
                <w:shd w:val="clear" w:color="auto" w:fill="FFFFFF"/>
                <w:vertAlign w:val="superscript"/>
              </w:rPr>
              <w:t>-1</w:t>
            </w:r>
            <w:r>
              <w:rPr>
                <w:color w:val="000000"/>
                <w:sz w:val="18"/>
                <w:szCs w:val="18"/>
                <w:shd w:val="clear" w:color="auto" w:fill="FFFFFF"/>
              </w:rPr>
              <w:t>)</w:t>
            </w:r>
          </w:p>
        </w:tc>
        <w:tc>
          <w:tcPr>
            <w:tcW w:w="141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39EE4FD8" w14:textId="77777777" w:rsidR="00374752" w:rsidRDefault="00374752">
            <w:pPr>
              <w:spacing w:line="240" w:lineRule="auto"/>
            </w:pPr>
            <w:r>
              <w:rPr>
                <w:sz w:val="18"/>
                <w:szCs w:val="18"/>
              </w:rPr>
              <w:t>MF</w:t>
            </w:r>
          </w:p>
        </w:tc>
        <w:tc>
          <w:tcPr>
            <w:tcW w:w="190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0679D43C" w14:textId="77777777" w:rsidR="00374752" w:rsidRDefault="00374752">
            <w:pPr>
              <w:spacing w:line="240" w:lineRule="auto"/>
            </w:pPr>
            <w:r>
              <w:rPr>
                <w:sz w:val="18"/>
                <w:szCs w:val="18"/>
              </w:rPr>
              <w:t>IUPAC name</w:t>
            </w:r>
          </w:p>
        </w:tc>
        <w:tc>
          <w:tcPr>
            <w:tcW w:w="105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0ACFAF35" w14:textId="77777777" w:rsidR="00374752" w:rsidRDefault="00374752">
            <w:pPr>
              <w:spacing w:line="240" w:lineRule="auto"/>
            </w:pPr>
            <w:proofErr w:type="gramStart"/>
            <w:r>
              <w:rPr>
                <w:sz w:val="18"/>
                <w:szCs w:val="18"/>
              </w:rPr>
              <w:t>RT(</w:t>
            </w:r>
            <w:proofErr w:type="gramEnd"/>
            <w:r>
              <w:rPr>
                <w:sz w:val="18"/>
                <w:szCs w:val="18"/>
              </w:rPr>
              <w:t>min)</w:t>
            </w:r>
          </w:p>
        </w:tc>
        <w:tc>
          <w:tcPr>
            <w:tcW w:w="123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5C813A93" w14:textId="77777777" w:rsidR="00374752" w:rsidRDefault="00374752">
            <w:pPr>
              <w:spacing w:line="240" w:lineRule="auto"/>
            </w:pPr>
            <w:r>
              <w:rPr>
                <w:sz w:val="18"/>
                <w:szCs w:val="18"/>
              </w:rPr>
              <w:t>Peak Area %</w:t>
            </w:r>
          </w:p>
        </w:tc>
        <w:tc>
          <w:tcPr>
            <w:tcW w:w="123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64B10DB0" w14:textId="77777777" w:rsidR="00374752" w:rsidRDefault="00374752">
            <w:pPr>
              <w:spacing w:line="240" w:lineRule="auto"/>
            </w:pPr>
            <w:r>
              <w:rPr>
                <w:sz w:val="18"/>
                <w:szCs w:val="18"/>
              </w:rPr>
              <w:t>Library Search hit</w:t>
            </w:r>
          </w:p>
        </w:tc>
        <w:tc>
          <w:tcPr>
            <w:tcW w:w="158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7767158A" w14:textId="77777777" w:rsidR="00374752" w:rsidRDefault="00374752">
            <w:pPr>
              <w:spacing w:line="240" w:lineRule="auto"/>
            </w:pPr>
            <w:r>
              <w:rPr>
                <w:sz w:val="18"/>
                <w:szCs w:val="18"/>
              </w:rPr>
              <w:t>Structure</w:t>
            </w:r>
          </w:p>
        </w:tc>
        <w:tc>
          <w:tcPr>
            <w:tcW w:w="158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48B251F5" w14:textId="77777777" w:rsidR="00374752" w:rsidRDefault="00374752">
            <w:pPr>
              <w:spacing w:line="240" w:lineRule="auto"/>
            </w:pPr>
            <w:r>
              <w:rPr>
                <w:sz w:val="18"/>
                <w:szCs w:val="18"/>
              </w:rPr>
              <w:t>Bioactivities</w:t>
            </w:r>
          </w:p>
        </w:tc>
        <w:tc>
          <w:tcPr>
            <w:tcW w:w="105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7BFF0389" w14:textId="77777777" w:rsidR="00374752" w:rsidRDefault="00374752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References</w:t>
            </w:r>
          </w:p>
        </w:tc>
      </w:tr>
      <w:tr w:rsidR="00374752" w14:paraId="55063978" w14:textId="77777777" w:rsidTr="00374752">
        <w:trPr>
          <w:trHeight w:val="1051"/>
        </w:trPr>
        <w:tc>
          <w:tcPr>
            <w:tcW w:w="200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B81C34F" w14:textId="77777777" w:rsidR="00374752" w:rsidRDefault="00374752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Succinic acid, 2,4,6-trichlorophenyl 3-methylbut-3-en-1-yl ester</w:t>
            </w:r>
          </w:p>
          <w:p w14:paraId="4C2E7FF9" w14:textId="77777777" w:rsidR="00374752" w:rsidRDefault="00374752">
            <w:pPr>
              <w:spacing w:line="240" w:lineRule="auto"/>
            </w:pPr>
          </w:p>
        </w:tc>
        <w:tc>
          <w:tcPr>
            <w:tcW w:w="1248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2EF04355" w14:textId="77777777" w:rsidR="00374752" w:rsidRDefault="00374752">
            <w:pPr>
              <w:spacing w:line="240" w:lineRule="auto"/>
            </w:pPr>
            <w:r>
              <w:rPr>
                <w:color w:val="000000"/>
                <w:sz w:val="18"/>
                <w:szCs w:val="18"/>
                <w:shd w:val="clear" w:color="auto" w:fill="FFFFFF"/>
              </w:rPr>
              <w:t xml:space="preserve">365.6 </w:t>
            </w:r>
          </w:p>
        </w:tc>
        <w:tc>
          <w:tcPr>
            <w:tcW w:w="1413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5253DF7B" w14:textId="77777777" w:rsidR="00374752" w:rsidRDefault="00374752">
            <w:pPr>
              <w:spacing w:line="240" w:lineRule="auto"/>
            </w:pPr>
            <w:r>
              <w:rPr>
                <w:color w:val="000000"/>
                <w:sz w:val="18"/>
                <w:szCs w:val="18"/>
                <w:shd w:val="clear" w:color="auto" w:fill="FFFFFF"/>
              </w:rPr>
              <w:t>C</w:t>
            </w:r>
            <w:r>
              <w:rPr>
                <w:color w:val="000000"/>
                <w:sz w:val="18"/>
                <w:szCs w:val="18"/>
                <w:shd w:val="clear" w:color="auto" w:fill="FFFFFF"/>
                <w:vertAlign w:val="subscript"/>
              </w:rPr>
              <w:t>15</w:t>
            </w:r>
            <w:r>
              <w:rPr>
                <w:color w:val="000000"/>
                <w:sz w:val="18"/>
                <w:szCs w:val="18"/>
                <w:shd w:val="clear" w:color="auto" w:fill="FFFFFF"/>
              </w:rPr>
              <w:t>H</w:t>
            </w:r>
            <w:r>
              <w:rPr>
                <w:color w:val="000000"/>
                <w:sz w:val="18"/>
                <w:szCs w:val="18"/>
                <w:shd w:val="clear" w:color="auto" w:fill="FFFFFF"/>
                <w:vertAlign w:val="subscript"/>
              </w:rPr>
              <w:t>15</w:t>
            </w:r>
            <w:r>
              <w:rPr>
                <w:color w:val="000000"/>
                <w:sz w:val="18"/>
                <w:szCs w:val="18"/>
                <w:shd w:val="clear" w:color="auto" w:fill="FFFFFF"/>
              </w:rPr>
              <w:t>Cl</w:t>
            </w:r>
            <w:r>
              <w:rPr>
                <w:color w:val="000000"/>
                <w:sz w:val="18"/>
                <w:szCs w:val="18"/>
                <w:shd w:val="clear" w:color="auto" w:fill="FFFFFF"/>
                <w:vertAlign w:val="subscript"/>
              </w:rPr>
              <w:t>3</w:t>
            </w:r>
            <w:r>
              <w:rPr>
                <w:color w:val="000000"/>
                <w:sz w:val="18"/>
                <w:szCs w:val="18"/>
                <w:shd w:val="clear" w:color="auto" w:fill="FFFFFF"/>
              </w:rPr>
              <w:t>O</w:t>
            </w:r>
            <w:r>
              <w:rPr>
                <w:color w:val="000000"/>
                <w:sz w:val="18"/>
                <w:szCs w:val="18"/>
                <w:shd w:val="clear" w:color="auto" w:fill="FFFFFF"/>
                <w:vertAlign w:val="subscript"/>
              </w:rPr>
              <w:t>4</w:t>
            </w:r>
          </w:p>
        </w:tc>
        <w:tc>
          <w:tcPr>
            <w:tcW w:w="1909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76B15616" w14:textId="0E7D4A68" w:rsidR="00374752" w:rsidRDefault="00374752">
            <w:pPr>
              <w:spacing w:line="240" w:lineRule="auto"/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8240" behindDoc="0" locked="0" layoutInCell="1" allowOverlap="1" wp14:anchorId="4A2D0FFA" wp14:editId="3BED0248">
                      <wp:simplePos x="0" y="0"/>
                      <wp:positionH relativeFrom="column">
                        <wp:posOffset>1014095</wp:posOffset>
                      </wp:positionH>
                      <wp:positionV relativeFrom="paragraph">
                        <wp:posOffset>66675</wp:posOffset>
                      </wp:positionV>
                      <wp:extent cx="85725" cy="1085850"/>
                      <wp:effectExtent l="0" t="0" r="28575" b="19050"/>
                      <wp:wrapNone/>
                      <wp:docPr id="2143503409" name="Right Bracket 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5725" cy="1085850"/>
                              </a:xfrm>
                              <a:prstGeom prst="rightBracket">
                                <a:avLst/>
                              </a:prstGeom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 rot="0" spcFirstLastPara="0" vertOverflow="clip" horzOverflow="clip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71AA128C" id="_x0000_t86" coordsize="21600,21600" o:spt="86" adj="1800" path="m,qx21600@0l21600@1qy,21600e" filled="f">
                      <v:formulas>
                        <v:f eqn="val #0"/>
                        <v:f eqn="sum 21600 0 #0"/>
                        <v:f eqn="prod #0 9598 32768"/>
                        <v:f eqn="sum 21600 0 @2"/>
                      </v:formulas>
                      <v:path arrowok="t" gradientshapeok="t" o:connecttype="custom" o:connectlocs="0,0;0,21600;21600,10800" textboxrect="0,@2,15274,@3"/>
                      <v:handles>
                        <v:h position="bottomRight,#0" yrange="0,10800"/>
                      </v:handles>
                    </v:shapetype>
                    <v:shape id="Right Bracket 7" o:spid="_x0000_s1026" type="#_x0000_t86" style="position:absolute;margin-left:79.85pt;margin-top:5.25pt;width:6.75pt;height:85.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" adj="142" strokecolor="#4472c4 [3204]" strokeweight=".5pt">
                      <v:stroke joinstyle="miter"/>
                    </v:shape>
                  </w:pict>
                </mc:Fallback>
              </mc:AlternateContent>
            </w:r>
            <w:r>
              <w:rPr>
                <w:color w:val="212121"/>
                <w:sz w:val="18"/>
                <w:szCs w:val="18"/>
                <w:shd w:val="clear" w:color="auto" w:fill="FFFFFF"/>
              </w:rPr>
              <w:t>1-O-(3-methylbut-3-enyl) 4-O-(</w:t>
            </w:r>
            <w:r>
              <w:rPr>
                <w:rStyle w:val="highlight"/>
                <w:color w:val="212121"/>
                <w:sz w:val="18"/>
                <w:szCs w:val="18"/>
              </w:rPr>
              <w:t>2,4,6-trichlorophenyl</w:t>
            </w:r>
            <w:r>
              <w:rPr>
                <w:color w:val="212121"/>
                <w:sz w:val="18"/>
                <w:szCs w:val="18"/>
                <w:shd w:val="clear" w:color="auto" w:fill="FFFFFF"/>
              </w:rPr>
              <w:t xml:space="preserve">) </w:t>
            </w:r>
            <w:proofErr w:type="spellStart"/>
            <w:r>
              <w:rPr>
                <w:color w:val="212121"/>
                <w:sz w:val="18"/>
                <w:szCs w:val="18"/>
                <w:shd w:val="clear" w:color="auto" w:fill="FFFFFF"/>
              </w:rPr>
              <w:t>butanedioate</w:t>
            </w:r>
            <w:proofErr w:type="spellEnd"/>
          </w:p>
        </w:tc>
        <w:tc>
          <w:tcPr>
            <w:tcW w:w="1055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C40731F" w14:textId="77777777" w:rsidR="00374752" w:rsidRDefault="00374752">
            <w:pPr>
              <w:spacing w:line="240" w:lineRule="auto"/>
              <w:rPr>
                <w:sz w:val="18"/>
                <w:szCs w:val="18"/>
              </w:rPr>
            </w:pPr>
          </w:p>
          <w:p w14:paraId="1F8D19BF" w14:textId="77777777" w:rsidR="00374752" w:rsidRDefault="00374752">
            <w:pPr>
              <w:spacing w:line="240" w:lineRule="auto"/>
              <w:rPr>
                <w:sz w:val="18"/>
                <w:szCs w:val="18"/>
              </w:rPr>
            </w:pPr>
          </w:p>
          <w:p w14:paraId="032171AF" w14:textId="77777777" w:rsidR="00374752" w:rsidRDefault="00374752">
            <w:pPr>
              <w:spacing w:line="240" w:lineRule="auto"/>
              <w:rPr>
                <w:sz w:val="18"/>
                <w:szCs w:val="18"/>
              </w:rPr>
            </w:pPr>
          </w:p>
          <w:p w14:paraId="3512EA04" w14:textId="77777777" w:rsidR="00374752" w:rsidRDefault="00374752">
            <w:pPr>
              <w:spacing w:line="240" w:lineRule="auto"/>
              <w:rPr>
                <w:sz w:val="18"/>
                <w:szCs w:val="18"/>
              </w:rPr>
            </w:pPr>
          </w:p>
          <w:p w14:paraId="31A87213" w14:textId="77777777" w:rsidR="00374752" w:rsidRDefault="00374752">
            <w:pPr>
              <w:spacing w:line="240" w:lineRule="auto"/>
              <w:rPr>
                <w:sz w:val="18"/>
                <w:szCs w:val="18"/>
              </w:rPr>
            </w:pPr>
          </w:p>
          <w:p w14:paraId="262D0C7C" w14:textId="77777777" w:rsidR="00374752" w:rsidRDefault="00374752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35.560</w:t>
            </w:r>
          </w:p>
          <w:p w14:paraId="2944B2C3" w14:textId="77777777" w:rsidR="00374752" w:rsidRDefault="00374752">
            <w:pPr>
              <w:spacing w:line="240" w:lineRule="auto"/>
            </w:pPr>
          </w:p>
        </w:tc>
        <w:tc>
          <w:tcPr>
            <w:tcW w:w="1230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B8AA1C7" w14:textId="77777777" w:rsidR="00374752" w:rsidRDefault="00374752">
            <w:pPr>
              <w:spacing w:line="240" w:lineRule="auto"/>
              <w:rPr>
                <w:rFonts w:ascii="Arial" w:hAnsi="Arial" w:cs="Arial"/>
                <w:color w:val="000000"/>
                <w:kern w:val="0"/>
                <w:sz w:val="16"/>
                <w:szCs w:val="16"/>
              </w:rPr>
            </w:pPr>
          </w:p>
          <w:p w14:paraId="206D3F50" w14:textId="77777777" w:rsidR="00374752" w:rsidRDefault="00374752">
            <w:pPr>
              <w:spacing w:line="240" w:lineRule="auto"/>
              <w:rPr>
                <w:rFonts w:ascii="Arial" w:hAnsi="Arial" w:cs="Arial"/>
                <w:color w:val="000000"/>
                <w:kern w:val="0"/>
                <w:sz w:val="16"/>
                <w:szCs w:val="16"/>
              </w:rPr>
            </w:pPr>
          </w:p>
          <w:p w14:paraId="1A22A8BF" w14:textId="77777777" w:rsidR="00374752" w:rsidRDefault="00374752">
            <w:pPr>
              <w:spacing w:line="240" w:lineRule="auto"/>
              <w:rPr>
                <w:rFonts w:ascii="Arial" w:hAnsi="Arial" w:cs="Arial"/>
                <w:color w:val="000000"/>
                <w:kern w:val="0"/>
                <w:sz w:val="16"/>
                <w:szCs w:val="16"/>
              </w:rPr>
            </w:pPr>
          </w:p>
          <w:p w14:paraId="3EB06235" w14:textId="77777777" w:rsidR="00374752" w:rsidRDefault="00374752">
            <w:pPr>
              <w:spacing w:line="240" w:lineRule="auto"/>
              <w:rPr>
                <w:rFonts w:ascii="Arial" w:hAnsi="Arial" w:cs="Arial"/>
                <w:color w:val="000000"/>
                <w:kern w:val="0"/>
                <w:sz w:val="16"/>
                <w:szCs w:val="16"/>
              </w:rPr>
            </w:pPr>
          </w:p>
          <w:p w14:paraId="0FB45549" w14:textId="77777777" w:rsidR="00374752" w:rsidRDefault="00374752">
            <w:pPr>
              <w:spacing w:line="240" w:lineRule="auto"/>
              <w:rPr>
                <w:rFonts w:ascii="Arial" w:hAnsi="Arial" w:cs="Arial"/>
                <w:color w:val="000000"/>
                <w:kern w:val="0"/>
                <w:sz w:val="16"/>
                <w:szCs w:val="16"/>
              </w:rPr>
            </w:pPr>
          </w:p>
          <w:p w14:paraId="143896AE" w14:textId="77777777" w:rsidR="00374752" w:rsidRDefault="00374752">
            <w:pPr>
              <w:spacing w:line="240" w:lineRule="auto"/>
              <w:rPr>
                <w:color w:val="000000"/>
                <w:kern w:val="0"/>
                <w:sz w:val="18"/>
                <w:szCs w:val="18"/>
              </w:rPr>
            </w:pPr>
          </w:p>
          <w:p w14:paraId="59F95DC9" w14:textId="77777777" w:rsidR="00374752" w:rsidRDefault="00374752">
            <w:pPr>
              <w:spacing w:line="240" w:lineRule="auto"/>
            </w:pPr>
            <w:r>
              <w:rPr>
                <w:color w:val="000000"/>
                <w:kern w:val="0"/>
                <w:sz w:val="18"/>
                <w:szCs w:val="18"/>
              </w:rPr>
              <w:t>13.012</w:t>
            </w:r>
          </w:p>
        </w:tc>
        <w:tc>
          <w:tcPr>
            <w:tcW w:w="1230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4E8FDA49" w14:textId="77777777" w:rsidR="00374752" w:rsidRDefault="00374752">
            <w:pPr>
              <w:spacing w:line="240" w:lineRule="auto"/>
            </w:pPr>
            <w:r>
              <w:rPr>
                <w:sz w:val="18"/>
                <w:szCs w:val="18"/>
              </w:rPr>
              <w:t xml:space="preserve">     1</w:t>
            </w:r>
          </w:p>
        </w:tc>
        <w:tc>
          <w:tcPr>
            <w:tcW w:w="1583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7FB5FC6E" w14:textId="5A1C0DE2" w:rsidR="00374752" w:rsidRDefault="00374752">
            <w:pPr>
              <w:spacing w:line="240" w:lineRule="auto"/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8240" behindDoc="0" locked="0" layoutInCell="1" allowOverlap="1" wp14:anchorId="3DCAD4BE" wp14:editId="69681C8C">
                      <wp:simplePos x="0" y="0"/>
                      <wp:positionH relativeFrom="column">
                        <wp:posOffset>-19685</wp:posOffset>
                      </wp:positionH>
                      <wp:positionV relativeFrom="paragraph">
                        <wp:posOffset>24765</wp:posOffset>
                      </wp:positionV>
                      <wp:extent cx="695325" cy="633095"/>
                      <wp:effectExtent l="0" t="0" r="0" b="0"/>
                      <wp:wrapNone/>
                      <wp:docPr id="1744868600" name="Text Box 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694690" cy="63246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64E196F7" w14:textId="2047FC7C" w:rsidR="00374752" w:rsidRDefault="00374752" w:rsidP="00374752">
                                  <w:r>
                                    <w:rPr>
                                      <w:noProof/>
                                      <w:kern w:val="0"/>
                                      <w:sz w:val="20"/>
                                      <w:szCs w:val="20"/>
                                      <w:lang w:val="en-US"/>
                                      <w14:ligatures w14:val="none"/>
                                    </w:rPr>
                                    <w:drawing>
                                      <wp:inline distT="0" distB="0" distL="0" distR="0" wp14:anchorId="5AB4CB21" wp14:editId="33535DF3">
                                        <wp:extent cx="790575" cy="790575"/>
                                        <wp:effectExtent l="0" t="0" r="0" b="9525"/>
                                        <wp:docPr id="1343927533" name="Picture 5"/>
                                        <wp:cNvGraphicFramePr>
                                          <a:graphicFrameLocks xmlns:a="http://schemas.openxmlformats.org/drawingml/2006/main" noChangeAspect="1"/>
                                        </wp:cNvGraphicFramePr>
                                        <a:graphic xmlns:a="http://schemas.openxmlformats.org/drawingml/2006/main">
                                          <a:graphicData uri="http://schemas.openxmlformats.org/drawingml/2006/picture">
                                            <pic:pic xmlns:pic="http://schemas.openxmlformats.org/drawingml/2006/picture">
                                              <pic:nvPicPr>
                                                <pic:cNvPr id="0" name="Picture 7"/>
                                                <pic:cNvPicPr>
                                                  <a:picLocks noChangeAspect="1" noChangeArrowheads="1"/>
                                                </pic:cNvPicPr>
                                              </pic:nvPicPr>
                                              <pic:blipFill>
                                                <a:blip r:embed="rId4">
                                                  <a:extLst>
                                                    <a:ext uri="{28A0092B-C50C-407E-A947-70E740481C1C}">
                                                      <a14:useLocalDpi xmlns:a14="http://schemas.microsoft.com/office/drawing/2010/main" val="0"/>
                                                    </a:ext>
                                                  </a:extLst>
                                                </a:blip>
                                                <a:srcRect/>
                                                <a:stretch>
                                                  <a:fillRect/>
                                                </a:stretch>
                                              </pic:blipFill>
                                              <pic:spPr bwMode="auto">
                                                <a:xfrm>
                                                  <a:off x="0" y="0"/>
                                                  <a:ext cx="790575" cy="790575"/>
                                                </a:xfrm>
                                                <a:prstGeom prst="rect">
                                                  <a:avLst/>
                                                </a:prstGeom>
                                                <a:noFill/>
                                                <a:ln>
                                                  <a:noFill/>
                                                </a:ln>
                                              </pic:spPr>
                                            </pic:pic>
                                          </a:graphicData>
                                        </a:graphic>
                                      </wp:inline>
                                    </w:drawing>
                                  </w:r>
                                </w:p>
                              </w:txbxContent>
                            </wps:txbx>
                            <wps:bodyPr rot="0" spcFirstLastPara="0" vertOverflow="clip" horzOverflow="clip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3DCAD4BE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6" o:spid="_x0000_s1026" type="#_x0000_t202" style="position:absolute;margin-left:-1.55pt;margin-top:1.95pt;width:54.75pt;height:49.8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" filled="f" stroked="f" strokeweight=".5pt">
                      <v:textbox>
                        <w:txbxContent>
                          <w:p w14:paraId="64E196F7" w14:textId="2047FC7C" w:rsidR="00374752" w:rsidRDefault="00374752" w:rsidP="00374752">
                            <w:r>
                              <w:rPr>
                                <w:noProof/>
                                <w:kern w:val="0"/>
                                <w:sz w:val="20"/>
                                <w:szCs w:val="20"/>
                                <w:lang w:val="en-US"/>
                                <w14:ligatures w14:val="none"/>
                              </w:rPr>
                              <w:drawing>
                                <wp:inline distT="0" distB="0" distL="0" distR="0" wp14:anchorId="5AB4CB21" wp14:editId="33535DF3">
                                  <wp:extent cx="790575" cy="790575"/>
                                  <wp:effectExtent l="0" t="0" r="0" b="9525"/>
                                  <wp:docPr id="1343927533" name="Picture 5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7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4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790575" cy="79057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noProof/>
              </w:rPr>
              <w:t xml:space="preserve">     </w:t>
            </w:r>
          </w:p>
        </w:tc>
        <w:tc>
          <w:tcPr>
            <w:tcW w:w="1583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03A206F8" w14:textId="77777777" w:rsidR="00374752" w:rsidRDefault="00374752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Antimicrobial</w:t>
            </w:r>
          </w:p>
        </w:tc>
        <w:tc>
          <w:tcPr>
            <w:tcW w:w="1053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79F20712" w14:textId="77777777" w:rsidR="00374752" w:rsidRDefault="00374752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fldChar w:fldCharType="begin" w:fldLock="1"/>
            </w:r>
            <w:r>
              <w:rPr>
                <w:sz w:val="18"/>
                <w:szCs w:val="18"/>
              </w:rPr>
              <w:instrText>ADDIN CSL_CITATION {"citationItems":[{"id":"ITEM-1","itemData":{"ISSN":"1420-3049","author":[{"dropping-particle":"","family":"Huang","given":"Shirong","non-dropping-particle":"","parse-names":false,"suffix":""},{"dropping-particle":"","family":"Chen","given":"Xiaojie","non-dropping-particle":"","parse-names":false,"suffix":""},{"dropping-particle":"","family":"Yan","given":"Rui","non-dropping-particle":"","parse-names":false,"suffix":""},{"dropping-particle":"","family":"Huang","given":"Meng","non-dropping-particle":"","parse-names":false,"suffix":""},{"dropping-particle":"","family":"Chen","given":"Dongfang","non-dropping-particle":"","parse-names":false,"suffix":""}],"container-title":"Molecules","id":"ITEM-1","issue":"8","issued":{"date-parts":[["2022"]]},"page":"2418","publisher":"MDPI","title":"Isolation, identification and antibacterial mechanism of the main antibacterial component from pickled and dried mustard (Brassica juncea Coss. Var. foliosa Bailey)","type":"article-journal","volume":"27"},"uris":["http://www.mendeley.com/documents/?uuid=bf8891ae-b11b-41ed-a7de-6ab69e17a043"]}],"mendeley":{"formattedCitation":"(Huang et al., 2022)","plainTextFormattedCitation":"(Huang et al., 2022)","previouslyFormattedCitation":"(Huang et al., 2022)"},"properties":{"noteIndex":0},"schema":"https://github.com/citation-style-language/schema/raw/master/csl-citation.json"}</w:instrText>
            </w:r>
            <w:r>
              <w:rPr>
                <w:sz w:val="18"/>
                <w:szCs w:val="18"/>
              </w:rPr>
              <w:fldChar w:fldCharType="separate"/>
            </w:r>
            <w:r>
              <w:rPr>
                <w:noProof/>
                <w:sz w:val="18"/>
                <w:szCs w:val="18"/>
              </w:rPr>
              <w:t>(Huang et al., 2022)</w:t>
            </w:r>
            <w:r>
              <w:rPr>
                <w:sz w:val="18"/>
                <w:szCs w:val="18"/>
              </w:rPr>
              <w:fldChar w:fldCharType="end"/>
            </w:r>
          </w:p>
        </w:tc>
      </w:tr>
      <w:tr w:rsidR="00374752" w14:paraId="7CEEF76B" w14:textId="77777777" w:rsidTr="00374752">
        <w:trPr>
          <w:trHeight w:val="923"/>
        </w:trPr>
        <w:tc>
          <w:tcPr>
            <w:tcW w:w="2005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6AD79B37" w14:textId="77777777" w:rsidR="00374752" w:rsidRDefault="00374752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1,5-bis(3-Cyclopentylpropoy)-1,1,3,3,5,</w:t>
            </w:r>
            <w:proofErr w:type="gramStart"/>
            <w:r>
              <w:rPr>
                <w:sz w:val="18"/>
                <w:szCs w:val="18"/>
              </w:rPr>
              <w:t>5,-</w:t>
            </w:r>
            <w:proofErr w:type="gramEnd"/>
            <w:r>
              <w:rPr>
                <w:sz w:val="18"/>
                <w:szCs w:val="18"/>
              </w:rPr>
              <w:t>hexamethyltrisiloxane</w:t>
            </w:r>
          </w:p>
        </w:tc>
        <w:tc>
          <w:tcPr>
            <w:tcW w:w="1248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6C6A7906" w14:textId="77777777" w:rsidR="00374752" w:rsidRDefault="00374752">
            <w:pPr>
              <w:spacing w:line="240" w:lineRule="auto"/>
            </w:pPr>
            <w:r>
              <w:rPr>
                <w:color w:val="111827"/>
                <w:sz w:val="18"/>
                <w:szCs w:val="18"/>
                <w:shd w:val="clear" w:color="auto" w:fill="FFFFFF"/>
              </w:rPr>
              <w:t xml:space="preserve">460.9 </w:t>
            </w:r>
          </w:p>
        </w:tc>
        <w:tc>
          <w:tcPr>
            <w:tcW w:w="1413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4BB1D8AF" w14:textId="77777777" w:rsidR="00374752" w:rsidRDefault="00374752">
            <w:pPr>
              <w:spacing w:line="240" w:lineRule="auto"/>
            </w:pPr>
            <w:r>
              <w:rPr>
                <w:sz w:val="18"/>
                <w:szCs w:val="18"/>
              </w:rPr>
              <w:t>C</w:t>
            </w:r>
            <w:r>
              <w:rPr>
                <w:sz w:val="18"/>
                <w:szCs w:val="18"/>
                <w:vertAlign w:val="subscript"/>
              </w:rPr>
              <w:t>22</w:t>
            </w:r>
            <w:r>
              <w:rPr>
                <w:sz w:val="18"/>
                <w:szCs w:val="18"/>
              </w:rPr>
              <w:t>H</w:t>
            </w:r>
            <w:r>
              <w:rPr>
                <w:sz w:val="18"/>
                <w:szCs w:val="18"/>
                <w:vertAlign w:val="subscript"/>
              </w:rPr>
              <w:t>45</w:t>
            </w:r>
            <w:r>
              <w:rPr>
                <w:sz w:val="18"/>
                <w:szCs w:val="18"/>
              </w:rPr>
              <w:t>O</w:t>
            </w:r>
            <w:r>
              <w:rPr>
                <w:sz w:val="18"/>
                <w:szCs w:val="18"/>
                <w:vertAlign w:val="subscript"/>
              </w:rPr>
              <w:t>4</w:t>
            </w:r>
            <w:r>
              <w:rPr>
                <w:sz w:val="18"/>
                <w:szCs w:val="18"/>
              </w:rPr>
              <w:t>Si</w:t>
            </w:r>
            <w:r>
              <w:rPr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1909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00D29502" w14:textId="77777777" w:rsidR="00374752" w:rsidRDefault="00374752">
            <w:pPr>
              <w:spacing w:line="240" w:lineRule="auto"/>
            </w:pPr>
            <w:r>
              <w:rPr>
                <w:color w:val="111827"/>
                <w:sz w:val="18"/>
                <w:szCs w:val="18"/>
                <w:shd w:val="clear" w:color="auto" w:fill="FFFFFF"/>
              </w:rPr>
              <w:t>bis[[3-cyclopentylpropoxy(dimethyl)</w:t>
            </w:r>
            <w:proofErr w:type="gramStart"/>
            <w:r>
              <w:rPr>
                <w:color w:val="111827"/>
                <w:sz w:val="18"/>
                <w:szCs w:val="18"/>
                <w:shd w:val="clear" w:color="auto" w:fill="FFFFFF"/>
              </w:rPr>
              <w:t>silyl]oxy</w:t>
            </w:r>
            <w:proofErr w:type="gramEnd"/>
            <w:r>
              <w:rPr>
                <w:color w:val="111827"/>
                <w:sz w:val="18"/>
                <w:szCs w:val="18"/>
                <w:shd w:val="clear" w:color="auto" w:fill="FFFFFF"/>
              </w:rPr>
              <w:t>]-</w:t>
            </w:r>
            <w:proofErr w:type="spellStart"/>
            <w:r>
              <w:rPr>
                <w:color w:val="111827"/>
                <w:sz w:val="18"/>
                <w:szCs w:val="18"/>
                <w:shd w:val="clear" w:color="auto" w:fill="FFFFFF"/>
              </w:rPr>
              <w:t>dimethylsilane</w:t>
            </w:r>
            <w:proofErr w:type="spellEnd"/>
          </w:p>
        </w:tc>
        <w:tc>
          <w:tcPr>
            <w:tcW w:w="1055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9AB22A1" w14:textId="77777777" w:rsidR="00374752" w:rsidRDefault="00374752">
            <w:pPr>
              <w:spacing w:line="240" w:lineRule="auto"/>
            </w:pPr>
          </w:p>
        </w:tc>
        <w:tc>
          <w:tcPr>
            <w:tcW w:w="1230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55C371C" w14:textId="77777777" w:rsidR="00374752" w:rsidRDefault="00374752">
            <w:pPr>
              <w:spacing w:line="240" w:lineRule="auto"/>
            </w:pPr>
          </w:p>
        </w:tc>
        <w:tc>
          <w:tcPr>
            <w:tcW w:w="1230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5DBAEA20" w14:textId="77777777" w:rsidR="00374752" w:rsidRDefault="00374752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   2</w:t>
            </w:r>
          </w:p>
          <w:p w14:paraId="66B4B19D" w14:textId="77777777" w:rsidR="00374752" w:rsidRDefault="00374752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  <w:p w14:paraId="3D0ED06B" w14:textId="77777777" w:rsidR="00374752" w:rsidRDefault="00374752">
            <w:pPr>
              <w:spacing w:line="240" w:lineRule="auto"/>
            </w:pPr>
            <w:r>
              <w:rPr>
                <w:sz w:val="18"/>
                <w:szCs w:val="18"/>
              </w:rPr>
              <w:t xml:space="preserve"> </w:t>
            </w:r>
          </w:p>
        </w:tc>
        <w:tc>
          <w:tcPr>
            <w:tcW w:w="1583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7C5E606D" w14:textId="3FC9F0E1" w:rsidR="00374752" w:rsidRDefault="00374752">
            <w:pPr>
              <w:spacing w:line="240" w:lineRule="auto"/>
            </w:pPr>
            <w:r>
              <w:rPr>
                <w:noProof/>
              </w:rPr>
              <w:drawing>
                <wp:inline distT="0" distB="0" distL="0" distR="0" wp14:anchorId="0B4940A4" wp14:editId="33EA54F4">
                  <wp:extent cx="676275" cy="676275"/>
                  <wp:effectExtent l="0" t="0" r="0" b="9525"/>
                  <wp:docPr id="350156907" name="Picture 3" descr="A black background with red dots and a black background&#10;&#10;Description automatically generated with medium confidenc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50156907" name="Picture 3" descr="A black background with red dots and a black background&#10;&#10;Description automatically generated with medium confidenc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76275" cy="6762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83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4BA62158" w14:textId="77777777" w:rsidR="00374752" w:rsidRDefault="00374752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Antibacterial 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3F5A0E9A" w14:textId="77777777" w:rsidR="00374752" w:rsidRDefault="00374752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fldChar w:fldCharType="begin" w:fldLock="1"/>
            </w:r>
            <w:r>
              <w:rPr>
                <w:sz w:val="18"/>
                <w:szCs w:val="18"/>
              </w:rPr>
              <w:instrText>ADDIN CSL_CITATION {"citationItems":[{"id":"ITEM-1","itemData":{"ISSN":"2079-6382","author":[{"dropping-particle":"","family":"Muthukrishnan","given":"Sundaram","non-dropping-particle":"","parse-names":false,"suffix":""},{"dropping-particle":"","family":"Prakathi","given":"Paranivasakam","non-dropping-particle":"","parse-names":false,"suffix":""},{"dropping-particle":"","family":"Sivakumar","given":"Thangavel","non-dropping-particle":"","parse-names":false,"suffix":""},{"dropping-particle":"","family":"Thiruvengadam","given":"Muthu","non-dropping-particle":"","parse-names":false,"suffix":""},{"dropping-particle":"","family":"Jayaprakash","given":"Bindhu","non-dropping-particle":"","parse-names":false,"suffix":""},{"dropping-particle":"","family":"Baskar","given":"Venkidasamy","non-dropping-particle":"","parse-names":false,"suffix":""},{"dropping-particle":"","family":"Rebezov","given":"Maksim","non-dropping-particle":"","parse-names":false,"suffix":""},{"dropping-particle":"","family":"Derkho","given":"Marina","non-dropping-particle":"","parse-names":false,"suffix":""},{"dropping-particle":"","family":"Zengin","given":"Gokhan","non-dropping-particle":"","parse-names":false,"suffix":""},{"dropping-particle":"","family":"Shariati","given":"Mohammad Ali","non-dropping-particle":"","parse-names":false,"suffix":""}],"container-title":"Antibiotics","id":"ITEM-1","issue":"11","issued":{"date-parts":[["2022"]]},"page":"1533","publisher":"MDPI","title":"Bioactive components and health potential of endophytic micro-fungal diversity in medicinal plants","type":"article-journal","volume":"11"},"uris":["http://www.mendeley.com/documents/?uuid=eb7d0113-bec8-46e9-9bc9-948e811cd9b9"]}],"mendeley":{"formattedCitation":"(Muthukrishnan et al., 2022)","plainTextFormattedCitation":"(Muthukrishnan et al., 2022)","previouslyFormattedCitation":"(Muthukrishnan et al., 2022)"},"properties":{"noteIndex":0},"schema":"https://github.com/citation-style-language/schema/raw/master/csl-citation.json"}</w:instrText>
            </w:r>
            <w:r>
              <w:rPr>
                <w:sz w:val="18"/>
                <w:szCs w:val="18"/>
              </w:rPr>
              <w:fldChar w:fldCharType="separate"/>
            </w:r>
            <w:r>
              <w:rPr>
                <w:noProof/>
                <w:sz w:val="18"/>
                <w:szCs w:val="18"/>
              </w:rPr>
              <w:t>(Muthukrishnan et al., 2022)</w:t>
            </w:r>
            <w:r>
              <w:rPr>
                <w:sz w:val="18"/>
                <w:szCs w:val="18"/>
              </w:rPr>
              <w:fldChar w:fldCharType="end"/>
            </w:r>
          </w:p>
        </w:tc>
      </w:tr>
      <w:tr w:rsidR="00374752" w14:paraId="35D85417" w14:textId="77777777" w:rsidTr="00374752">
        <w:trPr>
          <w:trHeight w:val="998"/>
        </w:trPr>
        <w:tc>
          <w:tcPr>
            <w:tcW w:w="2005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7696BD07" w14:textId="77777777" w:rsidR="00374752" w:rsidRDefault="00374752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Tris(tert-</w:t>
            </w:r>
            <w:proofErr w:type="spellStart"/>
            <w:proofErr w:type="gramStart"/>
            <w:r>
              <w:rPr>
                <w:sz w:val="18"/>
                <w:szCs w:val="18"/>
              </w:rPr>
              <w:t>butyldimethylsilyloy</w:t>
            </w:r>
            <w:proofErr w:type="spellEnd"/>
            <w:r>
              <w:rPr>
                <w:sz w:val="18"/>
                <w:szCs w:val="18"/>
              </w:rPr>
              <w:t>)</w:t>
            </w:r>
            <w:proofErr w:type="spellStart"/>
            <w:r>
              <w:rPr>
                <w:sz w:val="18"/>
                <w:szCs w:val="18"/>
              </w:rPr>
              <w:t>arsane</w:t>
            </w:r>
            <w:proofErr w:type="spellEnd"/>
            <w:proofErr w:type="gramEnd"/>
          </w:p>
        </w:tc>
        <w:tc>
          <w:tcPr>
            <w:tcW w:w="1248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0FDEAACF" w14:textId="77777777" w:rsidR="00374752" w:rsidRDefault="00374752">
            <w:pPr>
              <w:spacing w:line="240" w:lineRule="auto"/>
            </w:pPr>
            <w:r>
              <w:rPr>
                <w:color w:val="111827"/>
                <w:sz w:val="18"/>
                <w:szCs w:val="18"/>
                <w:shd w:val="clear" w:color="auto" w:fill="FFFFFF"/>
              </w:rPr>
              <w:t xml:space="preserve">468.7 </w:t>
            </w:r>
          </w:p>
        </w:tc>
        <w:tc>
          <w:tcPr>
            <w:tcW w:w="1413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C4B8503" w14:textId="77777777" w:rsidR="00374752" w:rsidRDefault="00374752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C</w:t>
            </w:r>
            <w:r>
              <w:rPr>
                <w:sz w:val="18"/>
                <w:szCs w:val="18"/>
                <w:vertAlign w:val="subscript"/>
              </w:rPr>
              <w:t>18</w:t>
            </w:r>
            <w:r>
              <w:rPr>
                <w:sz w:val="18"/>
                <w:szCs w:val="18"/>
              </w:rPr>
              <w:t>H</w:t>
            </w:r>
            <w:r>
              <w:rPr>
                <w:sz w:val="18"/>
                <w:szCs w:val="18"/>
                <w:vertAlign w:val="subscript"/>
              </w:rPr>
              <w:t>45</w:t>
            </w:r>
            <w:r>
              <w:rPr>
                <w:sz w:val="18"/>
                <w:szCs w:val="18"/>
              </w:rPr>
              <w:t>AsO</w:t>
            </w:r>
            <w:r>
              <w:rPr>
                <w:sz w:val="18"/>
                <w:szCs w:val="18"/>
                <w:vertAlign w:val="subscript"/>
              </w:rPr>
              <w:t>3</w:t>
            </w:r>
            <w:r>
              <w:rPr>
                <w:sz w:val="18"/>
                <w:szCs w:val="18"/>
              </w:rPr>
              <w:t>Si</w:t>
            </w:r>
            <w:r>
              <w:rPr>
                <w:sz w:val="18"/>
                <w:szCs w:val="18"/>
                <w:vertAlign w:val="subscript"/>
              </w:rPr>
              <w:t>3</w:t>
            </w:r>
          </w:p>
          <w:p w14:paraId="283ABEAD" w14:textId="77777777" w:rsidR="00374752" w:rsidRDefault="00374752">
            <w:pPr>
              <w:spacing w:line="240" w:lineRule="auto"/>
            </w:pPr>
          </w:p>
        </w:tc>
        <w:tc>
          <w:tcPr>
            <w:tcW w:w="1909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70B1AC9D" w14:textId="15D26DE2" w:rsidR="00374752" w:rsidRDefault="00374752">
            <w:pPr>
              <w:spacing w:line="240" w:lineRule="auto"/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8240" behindDoc="0" locked="0" layoutInCell="1" allowOverlap="1" wp14:anchorId="29505E95" wp14:editId="5C1E69EC">
                      <wp:simplePos x="0" y="0"/>
                      <wp:positionH relativeFrom="column">
                        <wp:posOffset>996950</wp:posOffset>
                      </wp:positionH>
                      <wp:positionV relativeFrom="paragraph">
                        <wp:posOffset>92710</wp:posOffset>
                      </wp:positionV>
                      <wp:extent cx="45720" cy="1000125"/>
                      <wp:effectExtent l="0" t="0" r="11430" b="28575"/>
                      <wp:wrapNone/>
                      <wp:docPr id="1350488512" name="Right Bracket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5085" cy="1000125"/>
                              </a:xfrm>
                              <a:prstGeom prst="rightBracket">
                                <a:avLst/>
                              </a:prstGeom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 rot="0" spcFirstLastPara="0" vertOverflow="clip" horzOverflow="clip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0302F75" id="Right Bracket 4" o:spid="_x0000_s1026" type="#_x0000_t86" style="position:absolute;margin-left:78.5pt;margin-top:7.3pt;width:3.6pt;height:78.7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" adj="81" strokecolor="#4472c4 [3204]" strokeweight=".5pt">
                      <v:stroke joinstyle="miter"/>
                    </v:shape>
                  </w:pict>
                </mc:Fallback>
              </mc:AlternateContent>
            </w:r>
            <w:r>
              <w:rPr>
                <w:color w:val="111827"/>
                <w:sz w:val="18"/>
                <w:szCs w:val="18"/>
                <w:shd w:val="clear" w:color="auto" w:fill="FFFFFF"/>
              </w:rPr>
              <w:t>tris[</w:t>
            </w:r>
            <w:r>
              <w:rPr>
                <w:i/>
                <w:iCs/>
                <w:color w:val="111827"/>
                <w:sz w:val="18"/>
                <w:szCs w:val="18"/>
                <w:bdr w:val="single" w:sz="2" w:space="0" w:color="E5E7EB" w:frame="1"/>
                <w:shd w:val="clear" w:color="auto" w:fill="FFFFFF"/>
              </w:rPr>
              <w:t>tert</w:t>
            </w:r>
            <w:r>
              <w:rPr>
                <w:color w:val="111827"/>
                <w:sz w:val="18"/>
                <w:szCs w:val="18"/>
                <w:shd w:val="clear" w:color="auto" w:fill="FFFFFF"/>
              </w:rPr>
              <w:t xml:space="preserve">-butyl(dimethyl)silyl] </w:t>
            </w:r>
            <w:proofErr w:type="spellStart"/>
            <w:r>
              <w:rPr>
                <w:color w:val="111827"/>
                <w:sz w:val="18"/>
                <w:szCs w:val="18"/>
                <w:shd w:val="clear" w:color="auto" w:fill="FFFFFF"/>
              </w:rPr>
              <w:t>arsorite</w:t>
            </w:r>
            <w:proofErr w:type="spellEnd"/>
          </w:p>
        </w:tc>
        <w:tc>
          <w:tcPr>
            <w:tcW w:w="1055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B3804F5" w14:textId="77777777" w:rsidR="00374752" w:rsidRDefault="00374752">
            <w:pPr>
              <w:spacing w:line="240" w:lineRule="auto"/>
              <w:rPr>
                <w:sz w:val="18"/>
                <w:szCs w:val="18"/>
              </w:rPr>
            </w:pPr>
          </w:p>
          <w:p w14:paraId="5F232A01" w14:textId="77777777" w:rsidR="00374752" w:rsidRDefault="00374752">
            <w:pPr>
              <w:spacing w:line="240" w:lineRule="auto"/>
              <w:rPr>
                <w:sz w:val="18"/>
                <w:szCs w:val="18"/>
              </w:rPr>
            </w:pPr>
          </w:p>
          <w:p w14:paraId="630F6411" w14:textId="77777777" w:rsidR="00374752" w:rsidRDefault="00374752">
            <w:pPr>
              <w:spacing w:line="240" w:lineRule="auto"/>
              <w:rPr>
                <w:sz w:val="18"/>
                <w:szCs w:val="18"/>
              </w:rPr>
            </w:pPr>
          </w:p>
          <w:p w14:paraId="607EDC1B" w14:textId="77777777" w:rsidR="00374752" w:rsidRDefault="00374752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36.360</w:t>
            </w:r>
          </w:p>
          <w:p w14:paraId="7DCEE247" w14:textId="77777777" w:rsidR="00374752" w:rsidRDefault="00374752">
            <w:pPr>
              <w:spacing w:line="240" w:lineRule="auto"/>
            </w:pPr>
          </w:p>
        </w:tc>
        <w:tc>
          <w:tcPr>
            <w:tcW w:w="1230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4CBC245" w14:textId="77777777" w:rsidR="00374752" w:rsidRDefault="00374752">
            <w:pPr>
              <w:spacing w:line="240" w:lineRule="auto"/>
              <w:rPr>
                <w:sz w:val="18"/>
                <w:szCs w:val="18"/>
              </w:rPr>
            </w:pPr>
          </w:p>
          <w:p w14:paraId="17E889F1" w14:textId="77777777" w:rsidR="00374752" w:rsidRDefault="00374752">
            <w:pPr>
              <w:spacing w:line="240" w:lineRule="auto"/>
              <w:rPr>
                <w:sz w:val="18"/>
                <w:szCs w:val="18"/>
              </w:rPr>
            </w:pPr>
          </w:p>
          <w:p w14:paraId="4F0090DB" w14:textId="77777777" w:rsidR="00374752" w:rsidRDefault="00374752">
            <w:pPr>
              <w:spacing w:line="240" w:lineRule="auto"/>
              <w:rPr>
                <w:sz w:val="18"/>
                <w:szCs w:val="18"/>
              </w:rPr>
            </w:pPr>
          </w:p>
          <w:p w14:paraId="63C20523" w14:textId="77777777" w:rsidR="00374752" w:rsidRDefault="00374752">
            <w:pPr>
              <w:spacing w:line="240" w:lineRule="auto"/>
            </w:pPr>
            <w:r>
              <w:rPr>
                <w:color w:val="000000"/>
                <w:kern w:val="0"/>
                <w:sz w:val="18"/>
                <w:szCs w:val="18"/>
              </w:rPr>
              <w:t>9.892</w:t>
            </w:r>
          </w:p>
        </w:tc>
        <w:tc>
          <w:tcPr>
            <w:tcW w:w="1230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254BF8EB" w14:textId="77777777" w:rsidR="00374752" w:rsidRDefault="00374752">
            <w:pPr>
              <w:spacing w:line="240" w:lineRule="auto"/>
            </w:pPr>
            <w:r>
              <w:rPr>
                <w:sz w:val="18"/>
                <w:szCs w:val="18"/>
              </w:rPr>
              <w:t xml:space="preserve">    1</w:t>
            </w:r>
          </w:p>
        </w:tc>
        <w:tc>
          <w:tcPr>
            <w:tcW w:w="1583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6E9903BE" w14:textId="0462AB5B" w:rsidR="00374752" w:rsidRDefault="00374752">
            <w:pPr>
              <w:spacing w:line="240" w:lineRule="auto"/>
            </w:pPr>
            <w:r>
              <w:rPr>
                <w:noProof/>
              </w:rPr>
              <w:drawing>
                <wp:inline distT="0" distB="0" distL="0" distR="0" wp14:anchorId="14418422" wp14:editId="53948943">
                  <wp:extent cx="676275" cy="676275"/>
                  <wp:effectExtent l="0" t="0" r="0" b="0"/>
                  <wp:docPr id="1401270575" name="Picture 2" descr="A black background with red dots and lines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01270575" name="Picture 2" descr="A black background with red dots and lines&#10;&#10;Description automatically generate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76275" cy="6762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83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7F318EF3" w14:textId="77777777" w:rsidR="00374752" w:rsidRDefault="00374752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Antibacterial</w:t>
            </w:r>
          </w:p>
        </w:tc>
        <w:tc>
          <w:tcPr>
            <w:tcW w:w="1053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2B45F518" w14:textId="77777777" w:rsidR="00374752" w:rsidRDefault="00374752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fldChar w:fldCharType="begin" w:fldLock="1"/>
            </w:r>
            <w:r>
              <w:rPr>
                <w:sz w:val="18"/>
                <w:szCs w:val="18"/>
              </w:rPr>
              <w:instrText>ADDIN CSL_CITATION {"citationItems":[{"id":"ITEM-1","itemData":{"ISSN":"2079-6382","author":[{"dropping-particle":"","family":"Muthukrishnan","given":"Sundaram","non-dropping-particle":"","parse-names":false,"suffix":""},{"dropping-particle":"","family":"Prakathi","given":"Paranivasakam","non-dropping-particle":"","parse-names":false,"suffix":""},{"dropping-particle":"","family":"Sivakumar","given":"Thangavel","non-dropping-particle":"","parse-names":false,"suffix":""},{"dropping-particle":"","family":"Thiruvengadam","given":"Muthu","non-dropping-particle":"","parse-names":false,"suffix":""},{"dropping-particle":"","family":"Jayaprakash","given":"Bindhu","non-dropping-particle":"","parse-names":false,"suffix":""},{"dropping-particle":"","family":"Baskar","given":"Venkidasamy","non-dropping-particle":"","parse-names":false,"suffix":""},{"dropping-particle":"","family":"Rebezov","given":"Maksim","non-dropping-particle":"","parse-names":false,"suffix":""},{"dropping-particle":"","family":"Derkho","given":"Marina","non-dropping-particle":"","parse-names":false,"suffix":""},{"dropping-particle":"","family":"Zengin","given":"Gokhan","non-dropping-particle":"","parse-names":false,"suffix":""},{"dropping-particle":"","family":"Shariati","given":"Mohammad Ali","non-dropping-particle":"","parse-names":false,"suffix":""}],"container-title":"Antibiotics","id":"ITEM-1","issue":"11","issued":{"date-parts":[["2022"]]},"page":"1533","publisher":"MDPI","title":"Bioactive components and health potential of endophytic micro-fungal diversity in medicinal plants","type":"article-journal","volume":"11"},"uris":["http://www.mendeley.com/documents/?uuid=eb7d0113-bec8-46e9-9bc9-948e811cd9b9"]}],"mendeley":{"formattedCitation":"(Muthukrishnan et al., 2022)","plainTextFormattedCitation":"(Muthukrishnan et al., 2022)","previouslyFormattedCitation":"(Muthukrishnan et al., 2022)"},"properties":{"noteIndex":0},"schema":"https://github.com/citation-style-language/schema/raw/master/csl-citation.json"}</w:instrText>
            </w:r>
            <w:r>
              <w:rPr>
                <w:sz w:val="18"/>
                <w:szCs w:val="18"/>
              </w:rPr>
              <w:fldChar w:fldCharType="separate"/>
            </w:r>
            <w:r>
              <w:rPr>
                <w:noProof/>
                <w:sz w:val="18"/>
                <w:szCs w:val="18"/>
              </w:rPr>
              <w:t>(Muthukrishnan et al., 2022)</w:t>
            </w:r>
            <w:r>
              <w:rPr>
                <w:sz w:val="18"/>
                <w:szCs w:val="18"/>
              </w:rPr>
              <w:fldChar w:fldCharType="end"/>
            </w:r>
          </w:p>
        </w:tc>
      </w:tr>
      <w:tr w:rsidR="00374752" w14:paraId="085B61ED" w14:textId="77777777" w:rsidTr="00374752">
        <w:trPr>
          <w:trHeight w:val="678"/>
        </w:trPr>
        <w:tc>
          <w:tcPr>
            <w:tcW w:w="200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71EBCF0" w14:textId="77777777" w:rsidR="00374752" w:rsidRDefault="00374752">
            <w:pPr>
              <w:spacing w:line="240" w:lineRule="auto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Hexamethylcyclotrisiloxane</w:t>
            </w:r>
            <w:proofErr w:type="spellEnd"/>
          </w:p>
          <w:p w14:paraId="01432114" w14:textId="77777777" w:rsidR="00374752" w:rsidRDefault="00374752">
            <w:pPr>
              <w:spacing w:line="240" w:lineRule="auto"/>
            </w:pPr>
          </w:p>
        </w:tc>
        <w:tc>
          <w:tcPr>
            <w:tcW w:w="1248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0758A03C" w14:textId="77777777" w:rsidR="00374752" w:rsidRDefault="00374752">
            <w:pPr>
              <w:spacing w:line="240" w:lineRule="auto"/>
            </w:pPr>
            <w:r>
              <w:rPr>
                <w:color w:val="111827"/>
                <w:sz w:val="18"/>
                <w:szCs w:val="18"/>
                <w:shd w:val="clear" w:color="auto" w:fill="FFFFFF"/>
              </w:rPr>
              <w:t>222.46 </w:t>
            </w:r>
          </w:p>
        </w:tc>
        <w:tc>
          <w:tcPr>
            <w:tcW w:w="141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E07D877" w14:textId="77777777" w:rsidR="00374752" w:rsidRDefault="00374752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C</w:t>
            </w:r>
            <w:r>
              <w:rPr>
                <w:sz w:val="18"/>
                <w:szCs w:val="18"/>
                <w:vertAlign w:val="subscript"/>
              </w:rPr>
              <w:t>6</w:t>
            </w:r>
            <w:r>
              <w:rPr>
                <w:sz w:val="18"/>
                <w:szCs w:val="18"/>
              </w:rPr>
              <w:t>H</w:t>
            </w:r>
            <w:r>
              <w:rPr>
                <w:sz w:val="18"/>
                <w:szCs w:val="18"/>
                <w:vertAlign w:val="subscript"/>
              </w:rPr>
              <w:t>18</w:t>
            </w:r>
            <w:r>
              <w:rPr>
                <w:sz w:val="18"/>
                <w:szCs w:val="18"/>
              </w:rPr>
              <w:t>O</w:t>
            </w:r>
            <w:r>
              <w:rPr>
                <w:sz w:val="18"/>
                <w:szCs w:val="18"/>
                <w:vertAlign w:val="subscript"/>
              </w:rPr>
              <w:t>3</w:t>
            </w:r>
            <w:r>
              <w:rPr>
                <w:sz w:val="18"/>
                <w:szCs w:val="18"/>
              </w:rPr>
              <w:t>Si</w:t>
            </w:r>
            <w:r>
              <w:rPr>
                <w:sz w:val="18"/>
                <w:szCs w:val="18"/>
                <w:vertAlign w:val="subscript"/>
              </w:rPr>
              <w:t>3</w:t>
            </w:r>
          </w:p>
          <w:p w14:paraId="3E083B30" w14:textId="77777777" w:rsidR="00374752" w:rsidRDefault="00374752">
            <w:pPr>
              <w:spacing w:line="240" w:lineRule="auto"/>
            </w:pPr>
          </w:p>
        </w:tc>
        <w:tc>
          <w:tcPr>
            <w:tcW w:w="1909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5CD37C86" w14:textId="77777777" w:rsidR="00374752" w:rsidRDefault="00374752">
            <w:pPr>
              <w:spacing w:line="240" w:lineRule="auto"/>
            </w:pPr>
            <w:r>
              <w:rPr>
                <w:color w:val="111827"/>
                <w:sz w:val="18"/>
                <w:szCs w:val="18"/>
                <w:shd w:val="clear" w:color="auto" w:fill="FFFFFF"/>
              </w:rPr>
              <w:t>2,2,4,4,6,6-hexamethyl-1,3,5,2,4,6-trioxatrisilinane</w:t>
            </w:r>
          </w:p>
        </w:tc>
        <w:tc>
          <w:tcPr>
            <w:tcW w:w="1055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85D0396" w14:textId="77777777" w:rsidR="00374752" w:rsidRDefault="00374752">
            <w:pPr>
              <w:spacing w:line="240" w:lineRule="auto"/>
            </w:pPr>
          </w:p>
        </w:tc>
        <w:tc>
          <w:tcPr>
            <w:tcW w:w="1230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35F6257" w14:textId="77777777" w:rsidR="00374752" w:rsidRDefault="00374752">
            <w:pPr>
              <w:spacing w:line="240" w:lineRule="auto"/>
            </w:pPr>
          </w:p>
        </w:tc>
        <w:tc>
          <w:tcPr>
            <w:tcW w:w="1230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5D4C7D12" w14:textId="77777777" w:rsidR="00374752" w:rsidRDefault="00374752">
            <w:pPr>
              <w:spacing w:line="240" w:lineRule="auto"/>
            </w:pPr>
            <w:r>
              <w:rPr>
                <w:sz w:val="18"/>
                <w:szCs w:val="18"/>
              </w:rPr>
              <w:t xml:space="preserve">    2</w:t>
            </w:r>
          </w:p>
        </w:tc>
        <w:tc>
          <w:tcPr>
            <w:tcW w:w="1583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5A66F0BB" w14:textId="71C53790" w:rsidR="00374752" w:rsidRDefault="00374752">
            <w:pPr>
              <w:spacing w:line="240" w:lineRule="auto"/>
            </w:pPr>
            <w:r>
              <w:rPr>
                <w:noProof/>
              </w:rPr>
              <w:drawing>
                <wp:inline distT="0" distB="0" distL="0" distR="0" wp14:anchorId="3076DACE" wp14:editId="4F0E46F6">
                  <wp:extent cx="676275" cy="676275"/>
                  <wp:effectExtent l="0" t="0" r="0" b="0"/>
                  <wp:docPr id="1263772368" name="Picture 1" descr="A black background with a hexagon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63772368" name="Picture 1" descr="A black background with a hexagon&#10;&#10;Description automatically generate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76275" cy="6762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83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3A2E23EE" w14:textId="77777777" w:rsidR="00374752" w:rsidRDefault="00374752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Antimicrobial and anti-inflammatory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17252DD1" w14:textId="77777777" w:rsidR="00374752" w:rsidRDefault="00374752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fldChar w:fldCharType="begin" w:fldLock="1"/>
            </w:r>
            <w:r>
              <w:rPr>
                <w:sz w:val="18"/>
                <w:szCs w:val="18"/>
              </w:rPr>
              <w:instrText>ADDIN CSL_CITATION {"citationItems":[{"id":"ITEM-1","itemData":{"author":[{"dropping-particle":"","family":"Rayar","given":"A","non-dropping-particle":"","parse-names":false,"suffix":""},{"dropping-particle":"","family":"Aeganathan","given":"R","non-dropping-particle":"","parse-names":false,"suffix":""},{"dropping-particle":"","family":"Ilayaraja","given":"S","non-dropping-particle":"","parse-names":false,"suffix":""},{"dropping-particle":"","family":"Prabakaran","given":"K","non-dropping-particle":"","parse-names":false,"suffix":""},{"dropping-particle":"","family":"Manivannan","given":"R","non-dropping-particle":"","parse-names":false,"suffix":""}],"container-title":"American J Phytomed Clin Ther","id":"ITEM-1","issue":"1","issued":{"date-parts":[["2015"]]},"page":"79-87","title":"Anti-microbial and anti-inflammatory activity of bioactive components of Pavonia odorata Wild","type":"article-journal","volume":"3"},"uris":["http://www.mendeley.com/documents/?uuid=08d992bb-c47c-42b2-a231-e5ffae9896b6"]}],"mendeley":{"formattedCitation":"(Rayar et al., 2015)","plainTextFormattedCitation":"(Rayar et al., 2015)","previouslyFormattedCitation":"(Rayar et al., 2015)"},"properties":{"noteIndex":0},"schema":"https://github.com/citation-style-language/schema/raw/master/csl-citation.json"}</w:instrText>
            </w:r>
            <w:r>
              <w:rPr>
                <w:sz w:val="18"/>
                <w:szCs w:val="18"/>
              </w:rPr>
              <w:fldChar w:fldCharType="separate"/>
            </w:r>
            <w:r>
              <w:rPr>
                <w:noProof/>
                <w:sz w:val="18"/>
                <w:szCs w:val="18"/>
              </w:rPr>
              <w:t>(Rayar et al., 2015)</w:t>
            </w:r>
            <w:r>
              <w:rPr>
                <w:sz w:val="18"/>
                <w:szCs w:val="18"/>
              </w:rPr>
              <w:fldChar w:fldCharType="end"/>
            </w:r>
          </w:p>
        </w:tc>
      </w:tr>
    </w:tbl>
    <w:p w14:paraId="34C88103" w14:textId="77777777" w:rsidR="00374752" w:rsidRDefault="00374752" w:rsidP="00374752">
      <w:pPr>
        <w:jc w:val="both"/>
        <w:rPr>
          <w:b/>
          <w:bCs/>
        </w:rPr>
      </w:pPr>
    </w:p>
    <w:p w14:paraId="4E7A91AD" w14:textId="77777777" w:rsidR="00AD1398" w:rsidRDefault="00AD1398"/>
    <w:sectPr w:rsidR="00AD1398" w:rsidSect="00452152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74752"/>
    <w:rsid w:val="00374752"/>
    <w:rsid w:val="00452152"/>
    <w:rsid w:val="005374DE"/>
    <w:rsid w:val="00AD13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6B747A2"/>
  <w15:chartTrackingRefBased/>
  <w15:docId w15:val="{BED04178-60FC-4D33-B631-1FA1B17E4C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4752"/>
    <w:pPr>
      <w:spacing w:line="256" w:lineRule="auto"/>
    </w:pPr>
    <w:rPr>
      <w:rFonts w:ascii="Times New Roman" w:hAnsi="Times New Roman" w:cs="Times New Roman"/>
      <w:sz w:val="24"/>
      <w:szCs w:val="24"/>
      <w:lang w:val="en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ighlight">
    <w:name w:val="highlight"/>
    <w:basedOn w:val="DefaultParagraphFont"/>
    <w:rsid w:val="00374752"/>
  </w:style>
  <w:style w:type="table" w:styleId="TableGrid">
    <w:name w:val="Table Grid"/>
    <w:basedOn w:val="TableNormal"/>
    <w:uiPriority w:val="39"/>
    <w:rsid w:val="00374752"/>
    <w:pPr>
      <w:spacing w:after="0" w:line="240" w:lineRule="auto"/>
    </w:pPr>
    <w:rPr>
      <w:rFonts w:ascii="Times New Roman" w:hAnsi="Times New Roman" w:cs="Times New Roman"/>
      <w:sz w:val="24"/>
      <w:szCs w:val="24"/>
      <w:lang w:val="en-I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62532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1148</Words>
  <Characters>6545</Characters>
  <Application>Microsoft Office Word</Application>
  <DocSecurity>0</DocSecurity>
  <Lines>54</Lines>
  <Paragraphs>15</Paragraphs>
  <ScaleCrop>false</ScaleCrop>
  <Company>Springer Nature</Company>
  <LinksUpToDate>false</LinksUpToDate>
  <CharactersWithSpaces>7678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1</cp:revision>
  <dcterms:created xsi:type="dcterms:W3CDTF">2024-03-13T12:14:00Z</dcterms:created>
  <dcterms:modified xsi:type="dcterms:W3CDTF">2024-03-13T12:14:00Z</dcterms:modified>
</cp:coreProperties>
</file>