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240" w:lineRule="auto"/>
        <w:rPr>
          <w:rFonts w:ascii="Times New Roman" w:hAnsi="Times New Roman" w:cs="Times New Roman"/>
          <w:b/>
          <w:sz w:val="28"/>
          <w:szCs w:val="28"/>
        </w:rPr>
      </w:pPr>
      <w:r>
        <w:rPr>
          <w:rFonts w:ascii="Times New Roman" w:hAnsi="Times New Roman" w:cs="Times New Roman"/>
          <w:b/>
          <w:sz w:val="28"/>
          <w:szCs w:val="28"/>
        </w:rPr>
        <w:t>Supplemental figures and tables</w:t>
      </w:r>
      <w:bookmarkStart w:id="1" w:name="_GoBack"/>
      <w:bookmarkEnd w:id="1"/>
    </w:p>
    <w:p>
      <w:pPr>
        <w:autoSpaceDE w:val="0"/>
        <w:autoSpaceDN w:val="0"/>
        <w:adjustRightInd w:val="0"/>
        <w:spacing w:line="240" w:lineRule="auto"/>
        <w:rPr>
          <w:rFonts w:ascii="Times New Roman" w:hAnsi="Times New Roman" w:cs="Times New Roman"/>
          <w:b/>
          <w:sz w:val="28"/>
          <w:szCs w:val="28"/>
        </w:rPr>
      </w:pPr>
      <w:r>
        <w:rPr>
          <w:lang w:eastAsia="zh-CN"/>
        </w:rPr>
        <w:drawing>
          <wp:inline distT="0" distB="0" distL="0" distR="0">
            <wp:extent cx="5274310" cy="2901950"/>
            <wp:effectExtent l="0" t="0" r="2540" b="0"/>
            <wp:docPr id="13073026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302657" name="图片 1"/>
                    <pic:cNvPicPr>
                      <a:picLocks noChangeAspect="1"/>
                    </pic:cNvPicPr>
                  </pic:nvPicPr>
                  <pic:blipFill>
                    <a:blip r:embed="rId7"/>
                    <a:stretch>
                      <a:fillRect/>
                    </a:stretch>
                  </pic:blipFill>
                  <pic:spPr>
                    <a:xfrm>
                      <a:off x="0" y="0"/>
                      <a:ext cx="5277062" cy="2903741"/>
                    </a:xfrm>
                    <a:prstGeom prst="rect">
                      <a:avLst/>
                    </a:prstGeom>
                  </pic:spPr>
                </pic:pic>
              </a:graphicData>
            </a:graphic>
          </wp:inline>
        </w:drawing>
      </w:r>
    </w:p>
    <w:p>
      <w:pPr>
        <w:autoSpaceDE w:val="0"/>
        <w:autoSpaceDN w:val="0"/>
        <w:adjustRightInd w:val="0"/>
        <w:spacing w:line="240" w:lineRule="auto"/>
        <w:rPr>
          <w:rFonts w:ascii="Times New Roman" w:hAnsi="Times New Roman" w:cs="Times New Roman"/>
          <w:b/>
          <w:sz w:val="28"/>
          <w:szCs w:val="28"/>
        </w:rPr>
      </w:pPr>
      <w:r>
        <w:rPr>
          <w:lang w:eastAsia="zh-CN"/>
        </w:rPr>
        <w:drawing>
          <wp:inline distT="0" distB="0" distL="0" distR="0">
            <wp:extent cx="5274310" cy="2949575"/>
            <wp:effectExtent l="0" t="0" r="2540" b="3175"/>
            <wp:docPr id="18919780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1978095" name="图片 1"/>
                    <pic:cNvPicPr>
                      <a:picLocks noChangeAspect="1"/>
                    </pic:cNvPicPr>
                  </pic:nvPicPr>
                  <pic:blipFill>
                    <a:blip r:embed="rId8"/>
                    <a:stretch>
                      <a:fillRect/>
                    </a:stretch>
                  </pic:blipFill>
                  <pic:spPr>
                    <a:xfrm>
                      <a:off x="0" y="0"/>
                      <a:ext cx="5275939" cy="2950845"/>
                    </a:xfrm>
                    <a:prstGeom prst="rect">
                      <a:avLst/>
                    </a:prstGeom>
                  </pic:spPr>
                </pic:pic>
              </a:graphicData>
            </a:graphic>
          </wp:inline>
        </w:drawing>
      </w:r>
    </w:p>
    <w:p>
      <w:pPr>
        <w:spacing w:line="360" w:lineRule="auto"/>
      </w:pPr>
      <w:r>
        <w:rPr>
          <w:b/>
          <w:bCs/>
          <w:lang w:eastAsia="zh-CN"/>
        </w:rPr>
        <w:t>Table S1: Heat map of KI67 scores (a: NHCC; b: NHCC</w:t>
      </w:r>
      <w:r>
        <w:rPr>
          <w:rFonts w:hint="eastAsia"/>
          <w:b/>
          <w:bCs/>
          <w:lang w:eastAsia="zh-CN"/>
        </w:rPr>
        <w:t>a</w:t>
      </w:r>
      <w:r>
        <w:rPr>
          <w:b/>
          <w:bCs/>
          <w:lang w:eastAsia="zh-CN"/>
        </w:rPr>
        <w:t>9).</w:t>
      </w:r>
      <w:r>
        <w:rPr>
          <w:lang w:eastAsia="zh-CN"/>
        </w:rPr>
        <w:t xml:space="preserve"> </w:t>
      </w:r>
      <w:r>
        <w:t xml:space="preserve"> </w:t>
      </w:r>
    </w:p>
    <w:p>
      <w:pPr>
        <w:spacing w:line="360" w:lineRule="auto"/>
        <w:rPr>
          <w:lang w:eastAsia="zh-CN"/>
        </w:rPr>
      </w:pPr>
      <w:r>
        <w:rPr>
          <w:lang w:eastAsia="zh-CN"/>
        </w:rPr>
        <w:t xml:space="preserve">Rows are used to indicate sample numbers while columns to indicate Ki67 scores from 21 observers </w:t>
      </w:r>
      <w:bookmarkStart w:id="0" w:name="OLE_LINK6"/>
      <w:r>
        <w:rPr>
          <w:lang w:eastAsia="zh-CN"/>
        </w:rPr>
        <w:t xml:space="preserve">in triplicate in blind.  The median is that of all 63 IHC scores of each sample. </w:t>
      </w:r>
      <w:bookmarkEnd w:id="0"/>
      <w:r>
        <w:rPr>
          <w:lang w:eastAsia="zh-CN"/>
        </w:rPr>
        <w:t xml:space="preserve"> (a) The specimens were stratified into low, intermediate and high risk group by following National Health Committee of China (NHCC) guidance.  The score equal or less than (≤)10% is indicated by green, between 10~30% by yellow, and equal or more than (≥) 30% by red.  (b) The specimens were stratified into low, intermediate and high risk group by following National Health Committee of China (NH(CC), appendix a9 (NHCCa9) guidance. A score equal or less (≤) 20% is indicated by green, 20~30% by yellow, and equal or more than (≥) 30% by red.</w:t>
      </w:r>
    </w:p>
    <w:p>
      <w:pPr>
        <w:spacing w:after="0" w:line="240" w:lineRule="auto"/>
        <w:rPr>
          <w:lang w:eastAsia="zh-CN"/>
        </w:rPr>
      </w:pPr>
    </w:p>
    <w:p>
      <w:pPr>
        <w:spacing w:line="360" w:lineRule="auto"/>
        <w:rPr>
          <w:lang w:eastAsia="zh-CN"/>
        </w:rPr>
      </w:pPr>
      <w:r>
        <w:rPr>
          <w:lang w:eastAsia="zh-CN"/>
          <w14:ligatures w14:val="standardContextual"/>
        </w:rPr>
        <w:drawing>
          <wp:inline distT="0" distB="0" distL="0" distR="0">
            <wp:extent cx="4635500" cy="3352800"/>
            <wp:effectExtent l="0" t="0" r="0" b="0"/>
            <wp:docPr id="15647061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4706107" name="图片 1"/>
                    <pic:cNvPicPr>
                      <a:picLocks noChangeAspect="1"/>
                    </pic:cNvPicPr>
                  </pic:nvPicPr>
                  <pic:blipFill>
                    <a:blip r:embed="rId9"/>
                    <a:stretch>
                      <a:fillRect/>
                    </a:stretch>
                  </pic:blipFill>
                  <pic:spPr>
                    <a:xfrm>
                      <a:off x="0" y="0"/>
                      <a:ext cx="4635738" cy="3352972"/>
                    </a:xfrm>
                    <a:prstGeom prst="rect">
                      <a:avLst/>
                    </a:prstGeom>
                  </pic:spPr>
                </pic:pic>
              </a:graphicData>
            </a:graphic>
          </wp:inline>
        </w:drawing>
      </w:r>
    </w:p>
    <w:p>
      <w:pPr>
        <w:rPr>
          <w:lang w:eastAsia="zh-CN"/>
        </w:rPr>
      </w:pPr>
    </w:p>
    <w:p>
      <w:pPr>
        <w:spacing w:line="360" w:lineRule="auto"/>
        <w:rPr>
          <w:lang w:eastAsia="zh-CN"/>
        </w:rPr>
      </w:pPr>
      <w:r>
        <w:rPr>
          <w:b/>
          <w:bCs/>
        </w:rPr>
        <w:t>Fig S1: Defining C</w:t>
      </w:r>
      <w:r>
        <w:rPr>
          <w:b/>
          <w:bCs/>
          <w:vertAlign w:val="subscript"/>
        </w:rPr>
        <w:t>5</w:t>
      </w:r>
      <w:r>
        <w:rPr>
          <w:b/>
          <w:bCs/>
        </w:rPr>
        <w:t>, C</w:t>
      </w:r>
      <w:r>
        <w:rPr>
          <w:b/>
          <w:bCs/>
          <w:vertAlign w:val="subscript"/>
        </w:rPr>
        <w:t>50</w:t>
      </w:r>
      <w:r>
        <w:rPr>
          <w:b/>
          <w:bCs/>
        </w:rPr>
        <w:t>, and C</w:t>
      </w:r>
      <w:r>
        <w:rPr>
          <w:b/>
          <w:bCs/>
          <w:vertAlign w:val="subscript"/>
        </w:rPr>
        <w:t>95</w:t>
      </w:r>
      <w:r>
        <w:rPr>
          <w:b/>
          <w:bCs/>
        </w:rPr>
        <w:t xml:space="preserve"> of the validated 2.31 nmole/g Ki67 cutoff.  </w:t>
      </w:r>
      <w:r>
        <w:rPr>
          <w:lang w:eastAsia="zh-CN"/>
        </w:rPr>
        <w:t xml:space="preserve">The 2.31 nmol/g was developed and validated previously </w:t>
      </w:r>
      <w:r>
        <w:rPr>
          <w:lang w:eastAsia="zh-CN"/>
        </w:rPr>
        <w:fldChar w:fldCharType="begin"/>
      </w:r>
      <w:r>
        <w:rPr>
          <w:lang w:eastAsia="zh-CN"/>
        </w:rPr>
        <w:instrText xml:space="preserve"> ADDIN ZOTERO_ITEM CSL_CITATION {"citationID":"ZPiYwVjC","properties":{"formattedCitation":"\\super 1, 2\\nosupersub{}","plainCitation":"1, 2","noteIndex":0},"citationItems":[{"id":3304,"uris":["http://zotero.org/users/1649560/items/RKAIW6RJ"],"itemData":{"id":3304,"type":"article-journal","abstract":"BackgroundImmunohistochemistry (IHC)-based surrogate assay is the prevailing method in daily clinical practice to determine the necessity of chemotherapy for Luminal-like breast cancer patients worldwide. It relies on Ki67 scores to separate Luminal A-like from Luminal B-like breast cancer subtypes. Yet, IHC-based Ki67 assessment is known to be plagued with subjectivity and inconsistency to undermine the performance of the surrogate assay. A novel method needs to be explored to improve the clinical utility of Ki67 in daily clinical practice.Materials and MethodsThe Ki67 protein levels in a cohort of 253 specimens were assessed with IHC and quantitative dot blot (QDB) methods, respectively, and used to assign these specimens into Luminal A-like and Luminal B-like subtypes accordingly. Their performances were compared with the Kaplan–Meier, univariate, and multivariate survival analyses of the overall survival (OS) of Luminal-like patients.ResultsThe surrogate assay based on absolutely quantitated Ki67 levels (cutoff at 2.31 nmol/g) subtyped the Luminal-like patients more effectively than that based on Ki67 scores (cutoff at 14%) (Log rank test, p = 0.00052 vs. p = 0.031). It is also correlated better with OS in multivariate survival analysis [hazard ratio (HR) at 6.89 (95% CI: 2.66–17.84, p = 0.0001) vs. 2.14 (95% CI: 0.89–5.11, p = 0.087)].ConclusionsOur study showed that the performance of the surrogate assay may be improved significantly by measuring Ki67 levels absolutely, quantitatively, and objectively using the QDB method.","container-title":"Frontiers in Oncology","DOI":"10.3389/fonc.2021.737781","ISSN":"2234-943X","page":"3673","source":"Frontiers","title":"Improving Prognosis of Surrogate Assay for Breast Cancer Patients by Absolute Quantitation of Ki67 Protein Levels Using Quantitative Dot Blot (QDB) Method","volume":"11","author":[{"family":"Hao","given":"Junmei"},{"family":"Lyu","given":"Yan"},{"family":"Zou","given":"Jiarui"},{"family":"Zhang","given":"Yunyun"},{"family":"Xie","given":"Shuishan"},{"family":"Jing","given":"Lili"},{"family":"Tang","given":"Fangrong"},{"family":"Lyu","given":"Jiahong"},{"family":"Zhang","given":"Wenfeng"},{"family":"Zhang","given":"Jianbo"},{"family":"Wang","given":"Xunting"},{"family":"Chen","given":"Kuisheng"},{"family":"Zhang","given":"Jiandi"}],"issued":{"date-parts":[["2021"]]}}},{"id":3924,"uris":["http://zotero.org/users/1649560/items/F3G98K8I"],"itemData":{"id":3924,"type":"article-journal","abstract":"AIMS: To translate a clinical research finding into daily clinical practice requires well-controlled clinical trials. We have demonstrated the usage of absolute quantitation of Ki67 and cyclinD1 protein levels to improve prognosis of Luminal-like patients based on overall survival (OS) analysis of a cohort of 155 breast cancer specimens (cohort 1). However, this finding is considered the D level of evidence (LOE) to require subsequent validation before it may be used in daily clinical practice. To set the stage for future clinical trials, our findings were validated through OS analysis of an independent cohort (cohort 2) of 173 Luminal-like patients.\nMETHODS: Both Ki67 and cyclinD1 levels were measured absolutely and quantitatively using the Quantitative Dot Blot (QDB) method in cohort 2. The proposed cutoffs for both biomarkers from cohort 1 were re-evaluated in cohort 2 and in the merged cohort of 1 and 2, respectively, through univariate, multivariate and Kaplan-Meier survival analysis.\nRESULTS: The proposed cutoffs of 2.31 nmol/g for Ki67 and 0.44 μmol/g for cyclinD1 were validated as effective cutoffs in cohort 2 and the merged cohort through OS analysis. The combined use of both biomarkers allowed us to identify patients with both biomarker levels below the cutoffs (59.3%) with10-year survival probability (SP) of 89%, in comparison to those above the cutoffs (8.3%) with 8 year SP of 28% through OS analysis in the merged cohort.\nCONCLUSIONS: This study validated our findings that absolute quantitation of Ki67 and cyclinD1 allows effective subtyping of luminal-like patients. It sets the stage for prospective or prospective-retrospective clinical studies.","container-title":"Journal of Clinical Laboratory Analysis","DOI":"10.1002/jcla.24601","ISSN":"1098-2825","issue":"8","journalAbbreviation":"J Clin Lab Anal","language":"eng","note":"PMID: 35819123\nPMCID: PMC9396173","page":"e24601","source":"PubMed","title":"Validation of absolutely quantitated Ki67 and cyclinD1 protein levels for prognosis of Luminal-like breast cancer patients","volume":"36","author":[{"family":"Yu","given":"Guohua"},{"family":"Lyu","given":"Jiahong"},{"family":"Li","given":"Yalun"},{"family":"Zhang","given":"Yunyun"},{"family":"Lyu","given":"Yan"},{"family":"Zhang","given":"Wengfeng"},{"family":"Zhang","given":"Jianbo"},{"family":"Cai","given":"Bocheng"},{"family":"Zhang","given":"Jiandi"},{"family":"Tang","given":"Fangrong"}],"issued":{"date-parts":[["2022",8]]}}}],"schema":"https://github.com/citation-style-language/schema/raw/master/csl-citation.json"} </w:instrText>
      </w:r>
      <w:r>
        <w:rPr>
          <w:lang w:eastAsia="zh-CN"/>
        </w:rPr>
        <w:fldChar w:fldCharType="separate"/>
      </w:r>
      <w:r>
        <w:rPr>
          <w:vertAlign w:val="superscript"/>
        </w:rPr>
        <w:t>1, 2</w:t>
      </w:r>
      <w:r>
        <w:rPr>
          <w:lang w:eastAsia="zh-CN"/>
        </w:rPr>
        <w:fldChar w:fldCharType="end"/>
      </w:r>
      <w:r>
        <w:rPr>
          <w:lang w:eastAsia="zh-CN"/>
        </w:rPr>
        <w:t>.  Total protein lysates were extracted from several breast cancer specimens, and mixed to adjust final Ki67 levels ~ 5 nmole/g.  The mixed lysate was then serially diluted and loaded in 56-plicates at indicated concentrations in the figure.  C</w:t>
      </w:r>
      <w:r>
        <w:rPr>
          <w:vertAlign w:val="subscript"/>
          <w:lang w:eastAsia="zh-CN"/>
        </w:rPr>
        <w:t>5</w:t>
      </w:r>
      <w:r>
        <w:rPr>
          <w:lang w:eastAsia="zh-CN"/>
        </w:rPr>
        <w:t>, C</w:t>
      </w:r>
      <w:r>
        <w:rPr>
          <w:vertAlign w:val="subscript"/>
          <w:lang w:eastAsia="zh-CN"/>
        </w:rPr>
        <w:t>50</w:t>
      </w:r>
      <w:r>
        <w:rPr>
          <w:lang w:eastAsia="zh-CN"/>
        </w:rPr>
        <w:t xml:space="preserve"> and C</w:t>
      </w:r>
      <w:r>
        <w:rPr>
          <w:vertAlign w:val="subscript"/>
          <w:lang w:eastAsia="zh-CN"/>
        </w:rPr>
        <w:t>95</w:t>
      </w:r>
      <w:r>
        <w:rPr>
          <w:lang w:eastAsia="zh-CN"/>
        </w:rPr>
        <w:t xml:space="preserve"> of the cutoff was calculated statistically based on the percentage of specimens above 2.31 nmole/g at each concentration.  The calculated values of C</w:t>
      </w:r>
      <w:r>
        <w:rPr>
          <w:vertAlign w:val="subscript"/>
          <w:lang w:eastAsia="zh-CN"/>
        </w:rPr>
        <w:t>5</w:t>
      </w:r>
      <w:r>
        <w:rPr>
          <w:lang w:eastAsia="zh-CN"/>
        </w:rPr>
        <w:t>, C</w:t>
      </w:r>
      <w:r>
        <w:rPr>
          <w:vertAlign w:val="subscript"/>
          <w:lang w:eastAsia="zh-CN"/>
        </w:rPr>
        <w:t>50</w:t>
      </w:r>
      <w:r>
        <w:rPr>
          <w:lang w:eastAsia="zh-CN"/>
        </w:rPr>
        <w:t xml:space="preserve"> and C</w:t>
      </w:r>
      <w:r>
        <w:rPr>
          <w:vertAlign w:val="subscript"/>
          <w:lang w:eastAsia="zh-CN"/>
        </w:rPr>
        <w:t>95</w:t>
      </w:r>
      <w:r>
        <w:rPr>
          <w:lang w:eastAsia="zh-CN"/>
        </w:rPr>
        <w:t xml:space="preserve"> were marked at the figure. </w:t>
      </w:r>
    </w:p>
    <w:p>
      <w:pPr>
        <w:spacing w:after="0" w:line="240" w:lineRule="auto"/>
        <w:rPr>
          <w:lang w:eastAsia="zh-CN"/>
        </w:rPr>
      </w:pPr>
      <w:r>
        <w:rPr>
          <w:lang w:eastAsia="zh-CN"/>
        </w:rPr>
        <w:br w:type="page"/>
      </w:r>
    </w:p>
    <w:p>
      <w:pPr>
        <w:rPr>
          <w:rFonts w:ascii="Times New Roman" w:hAnsi="Times New Roman" w:cs="Times New Roman"/>
          <w:lang w:eastAsia="zh-CN"/>
        </w:rPr>
      </w:pPr>
      <w:r>
        <w:rPr>
          <w:lang w:eastAsia="zh-CN"/>
          <w14:ligatures w14:val="standardContextual"/>
        </w:rPr>
        <w:drawing>
          <wp:inline distT="0" distB="0" distL="0" distR="0">
            <wp:extent cx="5274310" cy="3841750"/>
            <wp:effectExtent l="0" t="0" r="254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0"/>
                    <a:stretch>
                      <a:fillRect/>
                    </a:stretch>
                  </pic:blipFill>
                  <pic:spPr>
                    <a:xfrm>
                      <a:off x="0" y="0"/>
                      <a:ext cx="5274310" cy="3841750"/>
                    </a:xfrm>
                    <a:prstGeom prst="rect">
                      <a:avLst/>
                    </a:prstGeom>
                  </pic:spPr>
                </pic:pic>
              </a:graphicData>
            </a:graphic>
          </wp:inline>
        </w:drawing>
      </w:r>
    </w:p>
    <w:p>
      <w:pPr>
        <w:spacing w:line="360" w:lineRule="auto"/>
        <w:rPr>
          <w:lang w:eastAsia="zh-CN"/>
        </w:rPr>
      </w:pPr>
      <w:r>
        <w:rPr>
          <w:b/>
          <w:bCs/>
        </w:rPr>
        <w:t xml:space="preserve">Fig S2: Representative IHC images of 4 breast cancer specimens used in the study. </w:t>
      </w:r>
      <w:r>
        <w:t>The median IHC scores and Ki67 levels from QDB analysis were as following [median IHC% vs QDB levels (nmole/g)]: #3(</w:t>
      </w:r>
      <w:r>
        <w:rPr>
          <w:rFonts w:hint="eastAsia"/>
          <w:lang w:eastAsia="zh-CN"/>
        </w:rPr>
        <w:t>5</w:t>
      </w:r>
      <w:r>
        <w:rPr>
          <w:lang w:eastAsia="zh-CN"/>
        </w:rPr>
        <w:t xml:space="preserve"> vs 1.44); #8(3 vs 1.34); #23(</w:t>
      </w:r>
      <w:r>
        <w:rPr>
          <w:rFonts w:hint="eastAsia"/>
          <w:lang w:eastAsia="zh-CN"/>
        </w:rPr>
        <w:t>2</w:t>
      </w:r>
      <w:r>
        <w:rPr>
          <w:lang w:eastAsia="zh-CN"/>
        </w:rPr>
        <w:t xml:space="preserve"> vs 5.52); #29(5 vs 3.25).</w:t>
      </w: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64768468"/>
      <w:docPartObj>
        <w:docPartGallery w:val="AutoText"/>
      </w:docPartObj>
    </w:sdtPr>
    <w:sdtContent>
      <w:p>
        <w:pPr>
          <w:pStyle w:val="2"/>
          <w:jc w:val="center"/>
        </w:pPr>
        <w:r>
          <w:fldChar w:fldCharType="begin"/>
        </w:r>
        <w:r>
          <w:instrText xml:space="preserve"> PAGE   \* MERGEFORMAT </w:instrText>
        </w:r>
        <w:r>
          <w:fldChar w:fldCharType="separate"/>
        </w:r>
        <w:r>
          <w:t>3</w:t>
        </w:r>
        <w:r>
          <w:fldChar w:fldCharType="end"/>
        </w:r>
      </w:p>
    </w:sdtContent>
  </w:sdt>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FD2"/>
    <w:rsid w:val="00045F58"/>
    <w:rsid w:val="00047ADB"/>
    <w:rsid w:val="000C178A"/>
    <w:rsid w:val="000E2CE3"/>
    <w:rsid w:val="000F0246"/>
    <w:rsid w:val="00104998"/>
    <w:rsid w:val="001E7B1D"/>
    <w:rsid w:val="0026710F"/>
    <w:rsid w:val="00285CC0"/>
    <w:rsid w:val="002925E6"/>
    <w:rsid w:val="002C30EA"/>
    <w:rsid w:val="00302FE7"/>
    <w:rsid w:val="00330070"/>
    <w:rsid w:val="003342B6"/>
    <w:rsid w:val="003A37A5"/>
    <w:rsid w:val="003E17B3"/>
    <w:rsid w:val="003E6244"/>
    <w:rsid w:val="003F5013"/>
    <w:rsid w:val="00404E36"/>
    <w:rsid w:val="00443507"/>
    <w:rsid w:val="0047770B"/>
    <w:rsid w:val="0048132D"/>
    <w:rsid w:val="004A6DDB"/>
    <w:rsid w:val="004B5BB8"/>
    <w:rsid w:val="004D3B1B"/>
    <w:rsid w:val="004F2892"/>
    <w:rsid w:val="004F6890"/>
    <w:rsid w:val="00510B1B"/>
    <w:rsid w:val="005D2F5E"/>
    <w:rsid w:val="006C588E"/>
    <w:rsid w:val="006E3D55"/>
    <w:rsid w:val="0079437D"/>
    <w:rsid w:val="007D68E8"/>
    <w:rsid w:val="007E12CE"/>
    <w:rsid w:val="007E5A22"/>
    <w:rsid w:val="008216CD"/>
    <w:rsid w:val="00831B10"/>
    <w:rsid w:val="00886D9C"/>
    <w:rsid w:val="008900CA"/>
    <w:rsid w:val="0089264F"/>
    <w:rsid w:val="00922466"/>
    <w:rsid w:val="00946499"/>
    <w:rsid w:val="00AB4E1B"/>
    <w:rsid w:val="00AC4F76"/>
    <w:rsid w:val="00AE5E2A"/>
    <w:rsid w:val="00B01FD2"/>
    <w:rsid w:val="00C36786"/>
    <w:rsid w:val="00CC2044"/>
    <w:rsid w:val="00D5773B"/>
    <w:rsid w:val="00DA179D"/>
    <w:rsid w:val="00DE202C"/>
    <w:rsid w:val="00E33E1C"/>
    <w:rsid w:val="00E4479D"/>
    <w:rsid w:val="00E83204"/>
    <w:rsid w:val="00F369C2"/>
    <w:rsid w:val="00F73EB8"/>
    <w:rsid w:val="00F822E8"/>
    <w:rsid w:val="00FF4D07"/>
    <w:rsid w:val="2FAA1DE9"/>
    <w:rsid w:val="587E1EAD"/>
    <w:rsid w:val="647209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Arial" w:hAnsi="Arial" w:cs="Arial" w:eastAsiaTheme="minorEastAsia"/>
      <w:sz w:val="24"/>
      <w:szCs w:val="24"/>
      <w:lang w:val="en-US" w:eastAsia="en-US" w:bidi="ar-SA"/>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99"/>
    <w:pPr>
      <w:widowControl w:val="0"/>
      <w:tabs>
        <w:tab w:val="center" w:pos="4153"/>
        <w:tab w:val="right" w:pos="8306"/>
      </w:tabs>
      <w:snapToGrid w:val="0"/>
      <w:spacing w:after="0" w:line="240" w:lineRule="auto"/>
    </w:pPr>
    <w:rPr>
      <w:rFonts w:asciiTheme="minorHAnsi" w:hAnsiTheme="minorHAnsi" w:cstheme="minorBidi"/>
      <w:kern w:val="2"/>
      <w:sz w:val="18"/>
      <w:szCs w:val="18"/>
      <w:lang w:eastAsia="zh-CN"/>
      <w14:ligatures w14:val="standardContextual"/>
    </w:rPr>
  </w:style>
  <w:style w:type="paragraph" w:styleId="3">
    <w:name w:val="header"/>
    <w:basedOn w:val="1"/>
    <w:link w:val="6"/>
    <w:autoRedefine/>
    <w:unhideWhenUsed/>
    <w:qFormat/>
    <w:uiPriority w:val="99"/>
    <w:pPr>
      <w:widowControl w:val="0"/>
      <w:tabs>
        <w:tab w:val="center" w:pos="4153"/>
        <w:tab w:val="right" w:pos="8306"/>
      </w:tabs>
      <w:snapToGrid w:val="0"/>
      <w:spacing w:after="0" w:line="240" w:lineRule="auto"/>
      <w:jc w:val="center"/>
    </w:pPr>
    <w:rPr>
      <w:rFonts w:asciiTheme="minorHAnsi" w:hAnsiTheme="minorHAnsi" w:cstheme="minorBidi"/>
      <w:kern w:val="2"/>
      <w:sz w:val="18"/>
      <w:szCs w:val="18"/>
      <w:lang w:eastAsia="zh-CN"/>
      <w14:ligatures w14:val="standardContextual"/>
    </w:rPr>
  </w:style>
  <w:style w:type="character" w:customStyle="1" w:styleId="6">
    <w:name w:val="Header Char"/>
    <w:basedOn w:val="5"/>
    <w:link w:val="3"/>
    <w:autoRedefine/>
    <w:qFormat/>
    <w:uiPriority w:val="99"/>
    <w:rPr>
      <w:sz w:val="18"/>
      <w:szCs w:val="18"/>
    </w:rPr>
  </w:style>
  <w:style w:type="character" w:customStyle="1" w:styleId="7">
    <w:name w:val="Footer Char"/>
    <w:basedOn w:val="5"/>
    <w:link w:val="2"/>
    <w:autoRedefine/>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1052</Words>
  <Characters>6002</Characters>
  <Lines>50</Lines>
  <Paragraphs>14</Paragraphs>
  <TotalTime>65</TotalTime>
  <ScaleCrop>false</ScaleCrop>
  <LinksUpToDate>false</LinksUpToDate>
  <CharactersWithSpaces>7040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2024-02-19T06:17:00Z</dcterms:created>
  <dc:creator>Yunyun Zhang</dc:creator>
  <cp:lastModifiedBy>closer</cp:lastModifiedBy>
  <dcterms:modified xsi:type="dcterms:W3CDTF">2024-03-03T02:43:55Z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ZOTERO_PREF_1">
    <vt:lpwstr>&lt;data data-version="3" zotero-version="6.0.30"&gt;&lt;session id="331fV5wj"/&gt;&lt;style id="http://www.zotero.org/styles/journal-of-clinical-oncology" hasBibliography="1" bibliographyStyleHasBeenSet="0"/&gt;&lt;prefs&gt;&lt;pref name="fieldType" value="Field"/&gt;&lt;/prefs&gt;&lt;/data&gt;</vt:lpwstr>
  </property>
  <property fmtid="{D5CDD505-2E9C-101B-9397-08002B2CF9AE}" pid="4" name="ICV">
    <vt:lpwstr>CBDB07440362486F82B3EAE0936A3815_13</vt:lpwstr>
  </property>
</Properties>
</file>