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80360" cy="3554095"/>
            <wp:effectExtent l="0" t="0" r="0" b="1206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355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662"/>
        </w:tabs>
        <w:bidi w:val="0"/>
        <w:spacing w:line="480" w:lineRule="auto"/>
        <w:jc w:val="both"/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val="en-US" w:eastAsia="zh-CN"/>
        </w:rPr>
        <w:t>Figure S1: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 xml:space="preserve"> Distribution of propensity scores. The treatment units represent lung cancer group, and the control units represent non-lung cancer group. Each circle represents one patient. The size of the circles for matched patients is proportional to the distance obtained by the propensity score matching procedure.</w:t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156585"/>
            <wp:effectExtent l="0" t="0" r="3810" b="13335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662"/>
        </w:tabs>
        <w:bidi w:val="0"/>
        <w:spacing w:line="480" w:lineRule="auto"/>
        <w:jc w:val="both"/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val="en-US" w:eastAsia="zh-CN"/>
        </w:rPr>
        <w:t>Figure S2: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 xml:space="preserve"> Overall survival for cancer patients with SARS-Co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V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-2 infection stratified by sex (A), dyspnea (B), PCT (C), heart rate (D), platelet count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 xml:space="preserve"> (E) and D-dimer (F). Among them, heart rate, platelet count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, and D-dimers were truncated by median or mean.</w:t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156585"/>
            <wp:effectExtent l="0" t="0" r="3810" b="13335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662"/>
        </w:tabs>
        <w:bidi w:val="0"/>
        <w:spacing w:line="480" w:lineRule="auto"/>
        <w:jc w:val="both"/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val="en-US" w:eastAsia="zh-CN"/>
        </w:rPr>
        <w:t>Figure S3: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 xml:space="preserve"> Construction and evaluation of the prognostic nomogram. Calibration curves for 2-week (A), 3-week (B) and 5-week (C) OS in the validation cohort. 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CA curves for 2-week (D), 3-week (E) and 5-week (F) OS in the validation cohort.</w:t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634615"/>
            <wp:effectExtent l="0" t="0" r="3810" b="1905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662"/>
        </w:tabs>
        <w:bidi w:val="0"/>
        <w:spacing w:line="480" w:lineRule="auto"/>
        <w:jc w:val="both"/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val="en-US" w:eastAsia="zh-CN"/>
        </w:rPr>
        <w:t>Figure S4: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 xml:space="preserve">Four 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interfaces of the dynamic version nomogram.</w:t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Table S1: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Clinical characteristics of lung cancer group and non-lung cancer group before and after PSM.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15"/>
        <w:gridCol w:w="1500"/>
        <w:gridCol w:w="855"/>
        <w:gridCol w:w="1530"/>
        <w:gridCol w:w="1530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Variables </w:t>
            </w:r>
          </w:p>
        </w:tc>
        <w:tc>
          <w:tcPr>
            <w:tcW w:w="3870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Before PSM</w:t>
            </w:r>
          </w:p>
        </w:tc>
        <w:tc>
          <w:tcPr>
            <w:tcW w:w="3810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Non-lung cancer group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(n=184)</w:t>
            </w:r>
          </w:p>
        </w:tc>
        <w:tc>
          <w:tcPr>
            <w:tcW w:w="1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Lung cancer group (n=39)</w:t>
            </w:r>
          </w:p>
        </w:tc>
        <w:tc>
          <w:tcPr>
            <w:tcW w:w="85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P-value</w:t>
            </w:r>
          </w:p>
        </w:tc>
        <w:tc>
          <w:tcPr>
            <w:tcW w:w="15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Non-lung cancer group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(n=22)</w:t>
            </w:r>
          </w:p>
        </w:tc>
        <w:tc>
          <w:tcPr>
            <w:tcW w:w="15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Lung cancer group (n=22)</w:t>
            </w:r>
          </w:p>
        </w:tc>
        <w:tc>
          <w:tcPr>
            <w:tcW w:w="75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Age (&gt;=63)</w:t>
            </w:r>
          </w:p>
        </w:tc>
        <w:tc>
          <w:tcPr>
            <w:tcW w:w="1515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 (47.3)</w:t>
            </w:r>
          </w:p>
        </w:tc>
        <w:tc>
          <w:tcPr>
            <w:tcW w:w="150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 (51.3)</w:t>
            </w:r>
          </w:p>
        </w:tc>
        <w:tc>
          <w:tcPr>
            <w:tcW w:w="855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0.781</w:t>
            </w:r>
          </w:p>
        </w:tc>
        <w:tc>
          <w:tcPr>
            <w:tcW w:w="153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(45.5)</w:t>
            </w:r>
          </w:p>
        </w:tc>
        <w:tc>
          <w:tcPr>
            <w:tcW w:w="153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 (54.5)</w:t>
            </w:r>
          </w:p>
        </w:tc>
        <w:tc>
          <w:tcPr>
            <w:tcW w:w="75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Sex (male)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 (46.7)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 (76.9)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(59.1)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 (72.7)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BMI(kg/m2)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&lt;18.5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(10.3)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(9.1)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 (13.6)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18.5-24.9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 (35.9)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(17.9)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(45.5)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(18.2)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&gt;=25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 (13.0)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(15.4)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(4.5)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(22.7)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Unknown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 (46.2)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(56.4)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(40.9)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(45.5)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Smoke (previous/present)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 (20.7)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 (38.5)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(22.7)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(36.4)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Anti-tumor therapy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Continous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 (60.3)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 (38.5)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(31.8)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(40.9)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Discontinous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 (12.5)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(17.9)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(9.1)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(22.7)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Unknown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 (27.2)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 (43.6)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(59.1)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(36.4)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Basic_diseases (without)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 (45.1)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(56.4)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(40.9)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(45.5)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Fever (without)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 (25.5)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(17.9)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 (13.6)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(22.7)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Dyspnea (without)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 (62.5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18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Style w:val="6"/>
                <w:rFonts w:eastAsia="宋体"/>
                <w:lang w:val="en-US" w:eastAsia="zh-CN" w:bidi="ar"/>
              </w:rPr>
              <w:t>46.2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(40.9)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 (50.0)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PCT (ng/ml)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&lt;=0.5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 (71.7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 (79.5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(63.6)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 (68.2)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&gt;0.5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24 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13.0)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(15.4)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(22.7)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(22.7)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Not application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 (15.2)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(5.1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 (13.6)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(9.1)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Heart rate 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&gt;88 bmp)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 (47.8)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 (51.3)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0.829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(63.6)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(45.5)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SBP (&gt;130 mmHg)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 (48.4)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(35.9)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 (50.0)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(36.4)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DBP 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&gt;78.33 mmHg)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 (47.3)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(56.4)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(59.1)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 (50.0)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Respiratory rate (&gt;20 breaths/min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 (29.9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(48.7)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(40.9)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(40.9)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Temperature (&gt;36.7 ℃)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 (44.0)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 (74.4)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 (72.7)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(59.1)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60" w:hanging="160" w:hanging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WBC count (&gt;5.28 *10E9/L)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 (48.4)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(56.4)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(40.9)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 (54.5)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60" w:hanging="160" w:hanging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Neutrophils count (&gt;3.64 *10E9/L 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 (45.7)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 (69.2)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 (50.0)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 (68.2)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60" w:hanging="160" w:hanging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Lymphocyte count (&gt;0.9 *10E9/L)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 (52.7)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(33.3)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(36.4)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(36.4)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60" w:hanging="160" w:hanging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Platelet count (&gt;188 *10E9/L)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 (50.0)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18 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46.2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(31.8)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(36.4)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ALT (&gt;22 U/L)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 (48.9)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 (46.2)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0.891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(31.8)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(45.5)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AST (&gt;28 U/L)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 (46.7)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(56.4)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 (54.5)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 (54.5)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60" w:hanging="160" w:hanging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Total bilirubin (&gt;11.1 umol/L)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 (49.5)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(48.7)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(31.8)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 (54.5)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60" w:hanging="160" w:hangingChars="10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Direct bilirubin (&gt;3.9 umol/L)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 (48.4)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(56.4)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(36.4)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(63.6)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Creatinine (&gt;65 umol/L)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 (51.6)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 (38.5)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 (54.5)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(59.1)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D-dimer (&gt;0.837 ug/ml)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 (43.5)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 (76.9)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(86.4)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 (72.7)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0.455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80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6">
    <w:name w:val="font21"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2020-07-09T04:10:20Z</dcterms:created>
  <dc:creator>songcongkuan</dc:creator>
  <cp:lastModifiedBy>宋子路</cp:lastModifiedBy>
  <dcterms:modified xsi:type="dcterms:W3CDTF">2020-07-09T04:13:46Z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