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120" w:afterLines="50" w:line="480" w:lineRule="auto"/>
        <w:ind w:firstLine="0" w:firstLineChars="0"/>
        <w:rPr>
          <w:rFonts w:ascii="Times New Roman" w:hAnsi="Times New Roman" w:eastAsia="宋体" w:cs="Times New Roman"/>
          <w:sz w:val="20"/>
          <w:szCs w:val="20"/>
          <w:lang w:val="it-IT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drawing>
          <wp:inline distT="0" distB="0" distL="0" distR="0">
            <wp:extent cx="5759450" cy="2308860"/>
            <wp:effectExtent l="0" t="0" r="12700" b="15240"/>
            <wp:docPr id="1636368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6854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Fig. 1 </w:t>
      </w:r>
      <w:r>
        <w:rPr>
          <w:rFonts w:ascii="Times New Roman" w:hAnsi="Times New Roman" w:eastAsia="宋体" w:cs="Times New Roman"/>
          <w:sz w:val="20"/>
          <w:szCs w:val="20"/>
        </w:rPr>
        <w:t>Diagram of the pancreatic neck</w:t>
      </w:r>
      <w:r>
        <w:rPr>
          <w:rFonts w:hint="eastAsia" w:ascii="Times New Roman" w:hAnsi="Times New Roman" w:eastAsia="宋体" w:cs="Times New Roman"/>
          <w:sz w:val="20"/>
          <w:szCs w:val="20"/>
        </w:rPr>
        <w:t>.</w:t>
      </w:r>
      <w:r>
        <w:rPr>
          <w:rFonts w:ascii="Times New Roman" w:hAnsi="Times New Roman" w:eastAsia="宋体" w:cs="Times New Roman"/>
          <w:sz w:val="20"/>
          <w:szCs w:val="20"/>
        </w:rPr>
        <w:t xml:space="preserve"> (a) Approximate Anatomical diagram of the pancreas; (b) Diagram of the pancreatic neck in the sagittal section: The red line represents the long-axis parenchyma, and the green line represents the short-axis parenchyma. </w:t>
      </w:r>
      <w:r>
        <w:rPr>
          <w:rFonts w:ascii="Times New Roman" w:hAnsi="Times New Roman" w:eastAsia="宋体" w:cs="Times New Roman"/>
          <w:sz w:val="20"/>
          <w:szCs w:val="20"/>
          <w:lang w:val="it-IT"/>
        </w:rPr>
        <w:t>PV, portal vein; SV, splenic vein; SMV, superior mesenteric vein.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drawing>
          <wp:inline distT="0" distB="0" distL="0" distR="0">
            <wp:extent cx="5759450" cy="4117340"/>
            <wp:effectExtent l="0" t="0" r="12700" b="16510"/>
            <wp:docPr id="9462383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38381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OLE_LINK1"/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2</w:t>
      </w:r>
      <w:bookmarkEnd w:id="0"/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Schematic diagram of pathological parameter collection. (a) Masson-stained sections of the pancreatic margin tissue;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(b) Deeply stained blue areas in Masson's Trichrome staining mode Color_1;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(c) Calculation of collagen fiber area;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(d) Calculation of the total tissue area.</w:t>
      </w:r>
    </w:p>
    <w:p/>
    <w:p/>
    <w:p/>
    <w:p/>
    <w:p/>
    <w:p/>
    <w:p/>
    <w:p/>
    <w:p/>
    <w:p/>
    <w:p/>
    <w:p/>
    <w:p/>
    <w:p/>
    <w:p/>
    <w:p/>
    <w:p/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drawing>
          <wp:inline distT="0" distB="0" distL="114300" distR="114300">
            <wp:extent cx="4968240" cy="1877695"/>
            <wp:effectExtent l="0" t="0" r="3810" b="8255"/>
            <wp:docPr id="1" name="图片 1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Fig. Fig.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 w:eastAsia="宋体" w:cs="Times New Roman"/>
          <w:sz w:val="20"/>
          <w:szCs w:val="20"/>
        </w:rPr>
        <w:t xml:space="preserve"> Results of LASSO regression</w:t>
      </w: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drawing>
          <wp:inline distT="0" distB="0" distL="0" distR="0">
            <wp:extent cx="5759450" cy="2944495"/>
            <wp:effectExtent l="0" t="0" r="12700" b="8255"/>
            <wp:docPr id="13199667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66705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4</w:t>
      </w:r>
      <w:bookmarkStart w:id="1" w:name="_GoBack"/>
      <w:bookmarkEnd w:id="1"/>
      <w:r>
        <w:rPr>
          <w:rFonts w:ascii="Times New Roman" w:hAnsi="Times New Roman" w:eastAsia="宋体" w:cs="Times New Roman"/>
          <w:sz w:val="20"/>
          <w:szCs w:val="20"/>
        </w:rPr>
        <w:t xml:space="preserve"> Analysis of the correlation between </w:t>
      </w:r>
      <w:r>
        <w:rPr>
          <w:rFonts w:hint="eastAsia" w:ascii="Times New Roman" w:hAnsi="Times New Roman" w:eastAsia="宋体" w:cs="Times New Roman"/>
          <w:sz w:val="20"/>
          <w:szCs w:val="20"/>
        </w:rPr>
        <w:t>the degree of pancreatic fibrosis</w:t>
      </w:r>
      <w:r>
        <w:rPr>
          <w:rFonts w:ascii="Times New Roman" w:hAnsi="Times New Roman" w:eastAsia="宋体" w:cs="Times New Roman"/>
          <w:sz w:val="20"/>
          <w:szCs w:val="20"/>
        </w:rPr>
        <w:t xml:space="preserve"> and ECVF. </w:t>
      </w:r>
      <w:r>
        <w:rPr>
          <w:rFonts w:ascii="Times New Roman" w:hAnsi="Times New Roman" w:cs="Times New Roman"/>
          <w:sz w:val="20"/>
          <w:szCs w:val="20"/>
        </w:rPr>
        <w:t xml:space="preserve">(a) There is a high correlation between </w:t>
      </w:r>
      <w:r>
        <w:rPr>
          <w:rFonts w:hint="eastAsia" w:ascii="Times New Roman" w:hAnsi="Times New Roman" w:cs="Times New Roman"/>
          <w:sz w:val="20"/>
          <w:szCs w:val="20"/>
        </w:rPr>
        <w:t>the degree of pancreatic fibrosis</w:t>
      </w:r>
      <w:r>
        <w:rPr>
          <w:rFonts w:ascii="Times New Roman" w:hAnsi="Times New Roman" w:cs="Times New Roman"/>
          <w:sz w:val="20"/>
          <w:szCs w:val="20"/>
        </w:rPr>
        <w:t xml:space="preserve"> and the extracellular volume fraction ECVF (R = 0.8</w:t>
      </w:r>
      <w:r>
        <w:rPr>
          <w:rFonts w:hint="eastAsia"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P &lt; 0.001);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(b) The ROC curve for the effect of ECVF on CR-POPF shows an AUC of 0.740, with the optimal ECV threshold being 34%; The ROC curve for the effect of fibrosis degree on CR-POPF shows an AUC of 0.743, with the optimal fibrosis degree threshold being 29%.</w:t>
      </w: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before="120" w:beforeLines="50" w:line="48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0"/>
          <w:sz w:val="20"/>
          <w:szCs w:val="20"/>
          <w:lang w:val="en-US" w:eastAsia="zh-CN"/>
        </w:rPr>
        <w:t>1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Evaluation and comparison of five different models in the validation cohort.</w:t>
      </w:r>
    </w:p>
    <w:tbl>
      <w:tblPr>
        <w:tblStyle w:val="2"/>
        <w:tblW w:w="88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685"/>
        <w:gridCol w:w="2127"/>
        <w:gridCol w:w="1075"/>
      </w:tblGrid>
      <w:tr>
        <w:trPr>
          <w:jc w:val="center"/>
        </w:trPr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AdvOT9d0303c0 . B" w:cs="Times New Roman"/>
                <w:color w:val="000000"/>
                <w:kern w:val="0"/>
                <w:sz w:val="18"/>
                <w:szCs w:val="18"/>
                <w:lang w:bidi="ar"/>
              </w:rPr>
              <w:t>Models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Independent variables number (P&lt;0.05)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Misclass error (%)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AUC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ECVF model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19.23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FRS model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a-FRS model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23.08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ua-FRS model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23.07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96" w:beforeLines="40" w:beforeAutospacing="0" w:after="96" w:afterLines="4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82.5</w:t>
            </w:r>
          </w:p>
        </w:tc>
      </w:tr>
    </w:tbl>
    <w:p>
      <w:pPr>
        <w:spacing w:after="120" w:afterLines="50"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spacing w:after="120" w:afterLines="50" w:line="480" w:lineRule="auto"/>
        <w:rPr>
          <w:rFonts w:ascii="Times New Roman" w:hAnsi="Times New Roman" w:eastAsia="宋体" w:cs="Times New Roman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9d0303c0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OWNiN2MyY2MyNWFjNzBmZDAwZWNkYWQ5MDk1OTkifQ=="/>
  </w:docVars>
  <w:rsids>
    <w:rsidRoot w:val="06BC6799"/>
    <w:rsid w:val="06BC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2024-03-10T03:37:00Z</dcterms:created>
  <dc:creator>HyperMuteki</dc:creator>
  <cp:lastModifiedBy>HyperMuteki</cp:lastModifiedBy>
  <dcterms:modified xsi:type="dcterms:W3CDTF">2024-03-10T03:46:25Z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34E02CA4B2AD4F8984D456EBD7C939A9_11</vt:lpwstr>
  </property>
</Properties>
</file>