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F7CFD4" w14:textId="77777777" w:rsidR="00F5389C" w:rsidRDefault="00F5389C" w:rsidP="00F5389C">
      <w:pPr>
        <w:pStyle w:val="Title"/>
        <w:rPr>
          <w:b/>
          <w:sz w:val="22"/>
          <w:szCs w:val="22"/>
        </w:rPr>
      </w:pPr>
      <w:r>
        <w:rPr>
          <w:b/>
          <w:sz w:val="22"/>
          <w:szCs w:val="22"/>
        </w:rPr>
        <w:t>Extended Data</w:t>
      </w:r>
    </w:p>
    <w:p w14:paraId="4BECEEC7" w14:textId="77777777" w:rsidR="00F5389C" w:rsidRDefault="00F5389C" w:rsidP="00F5389C"/>
    <w:p w14:paraId="5B911E4F" w14:textId="77777777" w:rsidR="00F5389C" w:rsidRDefault="00F5389C" w:rsidP="00F5389C">
      <w:pPr>
        <w:pStyle w:val="Title"/>
        <w:rPr>
          <w:b/>
          <w:bCs/>
          <w:sz w:val="22"/>
          <w:szCs w:val="22"/>
        </w:rPr>
      </w:pPr>
      <w:bookmarkStart w:id="0" w:name="_yw86nqr92ini"/>
      <w:bookmarkEnd w:id="0"/>
      <w:r>
        <w:rPr>
          <w:b/>
          <w:bCs/>
          <w:sz w:val="22"/>
          <w:szCs w:val="22"/>
        </w:rPr>
        <w:t xml:space="preserve">Extended Data Table </w:t>
      </w:r>
      <w:proofErr w:type="spellStart"/>
      <w:r>
        <w:rPr>
          <w:b/>
          <w:bCs/>
          <w:sz w:val="22"/>
          <w:szCs w:val="22"/>
        </w:rPr>
        <w:t>S1</w:t>
      </w:r>
      <w:proofErr w:type="spellEnd"/>
    </w:p>
    <w:p w14:paraId="6944AA9E" w14:textId="6557522D" w:rsidR="00F5389C" w:rsidRDefault="00F5389C" w:rsidP="00F5389C">
      <w:pPr>
        <w:rPr>
          <w:b/>
          <w:sz w:val="24"/>
          <w:szCs w:val="24"/>
        </w:rPr>
      </w:pPr>
      <w:r>
        <w:rPr>
          <w:noProof/>
        </w:rPr>
        <w:drawing>
          <wp:anchor distT="114300" distB="114300" distL="114300" distR="114300" simplePos="0" relativeHeight="251658240" behindDoc="0" locked="0" layoutInCell="1" allowOverlap="1" wp14:anchorId="5E938358" wp14:editId="7D2A9306">
            <wp:simplePos x="0" y="0"/>
            <wp:positionH relativeFrom="column">
              <wp:posOffset>-781050</wp:posOffset>
            </wp:positionH>
            <wp:positionV relativeFrom="paragraph">
              <wp:posOffset>114300</wp:posOffset>
            </wp:positionV>
            <wp:extent cx="7572375" cy="4417060"/>
            <wp:effectExtent l="0" t="0" r="9525" b="2540"/>
            <wp:wrapTopAndBottom/>
            <wp:docPr id="7" name="Picture 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abl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r="33105"/>
                    <a:stretch>
                      <a:fillRect/>
                    </a:stretch>
                  </pic:blipFill>
                  <pic:spPr bwMode="auto">
                    <a:xfrm>
                      <a:off x="0" y="0"/>
                      <a:ext cx="7572375" cy="4417060"/>
                    </a:xfrm>
                    <a:prstGeom prst="rect">
                      <a:avLst/>
                    </a:prstGeom>
                    <a:noFill/>
                  </pic:spPr>
                </pic:pic>
              </a:graphicData>
            </a:graphic>
            <wp14:sizeRelH relativeFrom="page">
              <wp14:pctWidth>0</wp14:pctWidth>
            </wp14:sizeRelH>
            <wp14:sizeRelV relativeFrom="page">
              <wp14:pctHeight>0</wp14:pctHeight>
            </wp14:sizeRelV>
          </wp:anchor>
        </w:drawing>
      </w:r>
    </w:p>
    <w:p w14:paraId="0A525B26" w14:textId="77777777" w:rsidR="00F5389C" w:rsidRDefault="00F5389C" w:rsidP="00F5389C">
      <w:pPr>
        <w:rPr>
          <w:sz w:val="24"/>
          <w:szCs w:val="24"/>
        </w:rPr>
      </w:pPr>
      <w:r>
        <w:rPr>
          <w:b/>
          <w:sz w:val="24"/>
          <w:szCs w:val="24"/>
        </w:rPr>
        <w:t xml:space="preserve">Extended Data Table 1. </w:t>
      </w:r>
      <w:r>
        <w:rPr>
          <w:b/>
          <w:bCs/>
          <w:sz w:val="24"/>
          <w:szCs w:val="24"/>
        </w:rPr>
        <w:t>Literature summary of SARS-CoV-2 reinfection reports.</w:t>
      </w:r>
      <w:r>
        <w:rPr>
          <w:sz w:val="24"/>
          <w:szCs w:val="24"/>
        </w:rPr>
        <w:t xml:space="preserve"> </w:t>
      </w:r>
      <w:r>
        <w:rPr>
          <w:b/>
          <w:sz w:val="24"/>
          <w:szCs w:val="24"/>
        </w:rPr>
        <w:t xml:space="preserve">(A) </w:t>
      </w:r>
      <w:r>
        <w:rPr>
          <w:sz w:val="24"/>
          <w:szCs w:val="24"/>
        </w:rPr>
        <w:t xml:space="preserve">Demographic and clinical features of SARS-CoV-2 reinfection reports, stratified by clinical progression (worsening, improving, asymptomatic) and ordered by length of intervening period between infections (shortest first). Summary statistics are grouped below in corresponding columns. Group averages between ‘Worsening’ and ‘Improving’ were compared for significance using a two-samples t-test, with equal variances between groups for ‘Age’, and unequal variances for ‘Intervening Period’ as determined by results from F-test statistics. </w:t>
      </w:r>
      <w:r>
        <w:rPr>
          <w:b/>
          <w:sz w:val="24"/>
          <w:szCs w:val="24"/>
        </w:rPr>
        <w:t xml:space="preserve">(B) </w:t>
      </w:r>
      <w:r>
        <w:rPr>
          <w:sz w:val="24"/>
          <w:szCs w:val="24"/>
        </w:rPr>
        <w:t xml:space="preserve">Corresponding case features for SARS-CoV-2 reinfection reports stratified by primary infection (green) and reinfection (orange). </w:t>
      </w:r>
      <w:proofErr w:type="spellStart"/>
      <w:r>
        <w:rPr>
          <w:sz w:val="24"/>
          <w:szCs w:val="24"/>
        </w:rPr>
        <w:t>DFSO</w:t>
      </w:r>
      <w:proofErr w:type="spellEnd"/>
      <w:r>
        <w:rPr>
          <w:sz w:val="24"/>
          <w:szCs w:val="24"/>
        </w:rPr>
        <w:t xml:space="preserve"> represents reported days from symptom onset for primary (green) and reinfection (orange) cases. World Health Organization (WHO) COVID-19 disease severity was assigned retrospectively </w:t>
      </w:r>
      <w:proofErr w:type="gramStart"/>
      <w:r>
        <w:rPr>
          <w:sz w:val="24"/>
          <w:szCs w:val="24"/>
        </w:rPr>
        <w:t>during the course of</w:t>
      </w:r>
      <w:proofErr w:type="gramEnd"/>
      <w:r>
        <w:rPr>
          <w:sz w:val="24"/>
          <w:szCs w:val="24"/>
        </w:rPr>
        <w:t xml:space="preserve"> this review and were not supplied by the original authors. Where available, nucleic acid results are reported as: Type of test (nucleic acid target): CT values [</w:t>
      </w:r>
      <w:proofErr w:type="spellStart"/>
      <w:r>
        <w:rPr>
          <w:sz w:val="24"/>
          <w:szCs w:val="24"/>
        </w:rPr>
        <w:t>DFSO</w:t>
      </w:r>
      <w:proofErr w:type="spellEnd"/>
      <w:r>
        <w:rPr>
          <w:sz w:val="24"/>
          <w:szCs w:val="24"/>
        </w:rPr>
        <w:t xml:space="preserve"> or days from hospitalization (</w:t>
      </w:r>
      <w:proofErr w:type="spellStart"/>
      <w:r>
        <w:rPr>
          <w:sz w:val="24"/>
          <w:szCs w:val="24"/>
        </w:rPr>
        <w:t>DFH</w:t>
      </w:r>
      <w:proofErr w:type="spellEnd"/>
      <w:r>
        <w:rPr>
          <w:sz w:val="24"/>
          <w:szCs w:val="24"/>
        </w:rPr>
        <w:t xml:space="preserve">)]. Accession numbers for viral genomes are reported as provided in manuscripts. </w:t>
      </w:r>
      <w:r>
        <w:rPr>
          <w:b/>
          <w:sz w:val="24"/>
          <w:szCs w:val="24"/>
        </w:rPr>
        <w:t>(C)</w:t>
      </w:r>
      <w:r>
        <w:rPr>
          <w:sz w:val="24"/>
          <w:szCs w:val="24"/>
        </w:rPr>
        <w:t xml:space="preserve"> Serological results for SARS-CoV-2 reinfection reports stratified by primary infection (green) and reinfection (orange). IgM and IgG data are presented as reported in manuscripts according to the following scheme: Type of test / Result of Test: Quantitative value [</w:t>
      </w:r>
      <w:proofErr w:type="spellStart"/>
      <w:r>
        <w:rPr>
          <w:sz w:val="24"/>
          <w:szCs w:val="24"/>
        </w:rPr>
        <w:t>DFSO</w:t>
      </w:r>
      <w:proofErr w:type="spellEnd"/>
      <w:r>
        <w:rPr>
          <w:sz w:val="24"/>
          <w:szCs w:val="24"/>
        </w:rPr>
        <w:t xml:space="preserve"> or </w:t>
      </w:r>
      <w:proofErr w:type="spellStart"/>
      <w:r>
        <w:rPr>
          <w:sz w:val="24"/>
          <w:szCs w:val="24"/>
        </w:rPr>
        <w:t>DFH</w:t>
      </w:r>
      <w:proofErr w:type="spellEnd"/>
      <w:r>
        <w:rPr>
          <w:sz w:val="24"/>
          <w:szCs w:val="24"/>
        </w:rPr>
        <w:t xml:space="preserve">]. </w:t>
      </w:r>
    </w:p>
    <w:p w14:paraId="147F7BED" w14:textId="77777777" w:rsidR="00F5389C" w:rsidRDefault="00F5389C" w:rsidP="00F5389C">
      <w:pPr>
        <w:rPr>
          <w:sz w:val="24"/>
          <w:szCs w:val="24"/>
        </w:rPr>
      </w:pPr>
    </w:p>
    <w:p w14:paraId="79C1F2A2" w14:textId="77777777" w:rsidR="00F5389C" w:rsidRDefault="00F5389C" w:rsidP="00F5389C">
      <w:pPr>
        <w:rPr>
          <w:sz w:val="24"/>
          <w:szCs w:val="24"/>
        </w:rPr>
      </w:pPr>
    </w:p>
    <w:p w14:paraId="20863241" w14:textId="77777777" w:rsidR="00F5389C" w:rsidRDefault="00F5389C" w:rsidP="00F5389C">
      <w:pPr>
        <w:rPr>
          <w:sz w:val="24"/>
          <w:szCs w:val="24"/>
        </w:rPr>
      </w:pPr>
    </w:p>
    <w:p w14:paraId="5742B5C3" w14:textId="77777777" w:rsidR="00F5389C" w:rsidRDefault="00F5389C" w:rsidP="00F5389C">
      <w:pPr>
        <w:rPr>
          <w:sz w:val="24"/>
          <w:szCs w:val="24"/>
        </w:rPr>
      </w:pPr>
    </w:p>
    <w:p w14:paraId="3543E4FD" w14:textId="77777777" w:rsidR="00F5389C" w:rsidRDefault="00F5389C" w:rsidP="00F5389C">
      <w:pPr>
        <w:rPr>
          <w:sz w:val="24"/>
          <w:szCs w:val="24"/>
        </w:rPr>
      </w:pPr>
    </w:p>
    <w:p w14:paraId="08B48E03" w14:textId="77777777" w:rsidR="00F5389C" w:rsidRDefault="00F5389C" w:rsidP="00F5389C">
      <w:pPr>
        <w:rPr>
          <w:sz w:val="24"/>
          <w:szCs w:val="24"/>
        </w:rPr>
      </w:pPr>
    </w:p>
    <w:p w14:paraId="11B8C33D" w14:textId="77777777" w:rsidR="00F5389C" w:rsidRDefault="00F5389C" w:rsidP="00F5389C">
      <w:pPr>
        <w:rPr>
          <w:sz w:val="24"/>
          <w:szCs w:val="24"/>
        </w:rPr>
      </w:pPr>
    </w:p>
    <w:p w14:paraId="7826ACD6" w14:textId="77777777" w:rsidR="00F5389C" w:rsidRDefault="00F5389C" w:rsidP="00F5389C">
      <w:pPr>
        <w:rPr>
          <w:sz w:val="24"/>
          <w:szCs w:val="24"/>
        </w:rPr>
      </w:pPr>
    </w:p>
    <w:p w14:paraId="7EC177FD" w14:textId="77777777" w:rsidR="00F5389C" w:rsidRDefault="00F5389C" w:rsidP="00F5389C">
      <w:pPr>
        <w:rPr>
          <w:sz w:val="24"/>
          <w:szCs w:val="24"/>
        </w:rPr>
      </w:pPr>
    </w:p>
    <w:p w14:paraId="5F2514A0" w14:textId="77777777" w:rsidR="00F5389C" w:rsidRDefault="00F5389C" w:rsidP="00F5389C">
      <w:pPr>
        <w:rPr>
          <w:sz w:val="24"/>
          <w:szCs w:val="24"/>
        </w:rPr>
      </w:pPr>
    </w:p>
    <w:p w14:paraId="2C9537BC" w14:textId="77777777" w:rsidR="00F5389C" w:rsidRDefault="00F5389C" w:rsidP="00F5389C">
      <w:pPr>
        <w:rPr>
          <w:sz w:val="24"/>
          <w:szCs w:val="24"/>
        </w:rPr>
      </w:pPr>
    </w:p>
    <w:p w14:paraId="7387F991" w14:textId="77777777" w:rsidR="00F5389C" w:rsidRDefault="00F5389C" w:rsidP="00F5389C">
      <w:pPr>
        <w:rPr>
          <w:sz w:val="24"/>
          <w:szCs w:val="24"/>
        </w:rPr>
      </w:pPr>
    </w:p>
    <w:p w14:paraId="427E1A73" w14:textId="77777777" w:rsidR="00F5389C" w:rsidRDefault="00F5389C" w:rsidP="00F5389C">
      <w:pPr>
        <w:rPr>
          <w:sz w:val="24"/>
          <w:szCs w:val="24"/>
        </w:rPr>
      </w:pPr>
    </w:p>
    <w:p w14:paraId="7AC98178" w14:textId="77777777" w:rsidR="00F5389C" w:rsidRDefault="00F5389C" w:rsidP="00F5389C">
      <w:pPr>
        <w:rPr>
          <w:sz w:val="24"/>
          <w:szCs w:val="24"/>
        </w:rPr>
      </w:pPr>
    </w:p>
    <w:p w14:paraId="1F78D4AD" w14:textId="77777777" w:rsidR="00F5389C" w:rsidRDefault="00F5389C" w:rsidP="00F5389C">
      <w:pPr>
        <w:rPr>
          <w:sz w:val="24"/>
          <w:szCs w:val="24"/>
        </w:rPr>
      </w:pPr>
    </w:p>
    <w:p w14:paraId="7983C2E4" w14:textId="77777777" w:rsidR="00F5389C" w:rsidRDefault="00F5389C" w:rsidP="00F5389C">
      <w:pPr>
        <w:rPr>
          <w:sz w:val="24"/>
          <w:szCs w:val="24"/>
        </w:rPr>
      </w:pPr>
    </w:p>
    <w:p w14:paraId="4ED8A10F" w14:textId="77777777" w:rsidR="00F5389C" w:rsidRDefault="00F5389C" w:rsidP="00F5389C">
      <w:pPr>
        <w:rPr>
          <w:sz w:val="24"/>
          <w:szCs w:val="24"/>
        </w:rPr>
      </w:pPr>
    </w:p>
    <w:p w14:paraId="67A79C95" w14:textId="77777777" w:rsidR="00F5389C" w:rsidRDefault="00F5389C" w:rsidP="00F5389C">
      <w:pPr>
        <w:rPr>
          <w:sz w:val="24"/>
          <w:szCs w:val="24"/>
        </w:rPr>
      </w:pPr>
    </w:p>
    <w:p w14:paraId="242EDBB1" w14:textId="77777777" w:rsidR="00F5389C" w:rsidRDefault="00F5389C" w:rsidP="00F5389C">
      <w:pPr>
        <w:rPr>
          <w:sz w:val="24"/>
          <w:szCs w:val="24"/>
        </w:rPr>
      </w:pPr>
    </w:p>
    <w:p w14:paraId="34AEEDCB" w14:textId="77777777" w:rsidR="00F5389C" w:rsidRDefault="00F5389C" w:rsidP="00F5389C">
      <w:pPr>
        <w:rPr>
          <w:sz w:val="24"/>
          <w:szCs w:val="24"/>
        </w:rPr>
      </w:pPr>
    </w:p>
    <w:p w14:paraId="35E54C14" w14:textId="77777777" w:rsidR="00F5389C" w:rsidRDefault="00F5389C" w:rsidP="00F5389C">
      <w:pPr>
        <w:rPr>
          <w:sz w:val="24"/>
          <w:szCs w:val="24"/>
        </w:rPr>
      </w:pPr>
    </w:p>
    <w:p w14:paraId="38A4721C" w14:textId="77777777" w:rsidR="00F5389C" w:rsidRDefault="00F5389C" w:rsidP="00F5389C">
      <w:pPr>
        <w:rPr>
          <w:sz w:val="24"/>
          <w:szCs w:val="24"/>
        </w:rPr>
      </w:pPr>
    </w:p>
    <w:p w14:paraId="17BA63A8" w14:textId="77777777" w:rsidR="00F5389C" w:rsidRDefault="00F5389C" w:rsidP="00F5389C">
      <w:pPr>
        <w:rPr>
          <w:sz w:val="24"/>
          <w:szCs w:val="24"/>
        </w:rPr>
      </w:pPr>
    </w:p>
    <w:p w14:paraId="648DE272" w14:textId="77777777" w:rsidR="00F5389C" w:rsidRDefault="00F5389C" w:rsidP="00F5389C">
      <w:pPr>
        <w:rPr>
          <w:sz w:val="24"/>
          <w:szCs w:val="24"/>
        </w:rPr>
      </w:pPr>
    </w:p>
    <w:p w14:paraId="32351505" w14:textId="77777777" w:rsidR="00F5389C" w:rsidRDefault="00F5389C" w:rsidP="00F5389C">
      <w:pPr>
        <w:rPr>
          <w:sz w:val="24"/>
          <w:szCs w:val="24"/>
        </w:rPr>
      </w:pPr>
    </w:p>
    <w:p w14:paraId="39741FFB" w14:textId="77777777" w:rsidR="00F5389C" w:rsidRDefault="00F5389C" w:rsidP="00F5389C">
      <w:pPr>
        <w:rPr>
          <w:sz w:val="24"/>
          <w:szCs w:val="24"/>
        </w:rPr>
      </w:pPr>
    </w:p>
    <w:p w14:paraId="36FBBEBE" w14:textId="77777777" w:rsidR="00F5389C" w:rsidRDefault="00F5389C" w:rsidP="00F5389C">
      <w:pPr>
        <w:rPr>
          <w:sz w:val="24"/>
          <w:szCs w:val="24"/>
        </w:rPr>
      </w:pPr>
    </w:p>
    <w:p w14:paraId="72D161B4" w14:textId="77777777" w:rsidR="00F5389C" w:rsidRDefault="00F5389C" w:rsidP="00F5389C">
      <w:pPr>
        <w:rPr>
          <w:sz w:val="24"/>
          <w:szCs w:val="24"/>
        </w:rPr>
      </w:pPr>
    </w:p>
    <w:p w14:paraId="659E18B2" w14:textId="77777777" w:rsidR="00F5389C" w:rsidRDefault="00F5389C" w:rsidP="00F5389C">
      <w:pPr>
        <w:rPr>
          <w:sz w:val="24"/>
          <w:szCs w:val="24"/>
        </w:rPr>
      </w:pPr>
    </w:p>
    <w:p w14:paraId="7D264A7D" w14:textId="77777777" w:rsidR="00F5389C" w:rsidRDefault="00F5389C" w:rsidP="00F5389C">
      <w:pPr>
        <w:rPr>
          <w:sz w:val="24"/>
          <w:szCs w:val="24"/>
        </w:rPr>
      </w:pPr>
    </w:p>
    <w:p w14:paraId="410497D8" w14:textId="77777777" w:rsidR="00F5389C" w:rsidRDefault="00F5389C" w:rsidP="00F5389C">
      <w:pPr>
        <w:rPr>
          <w:sz w:val="24"/>
          <w:szCs w:val="24"/>
        </w:rPr>
      </w:pPr>
    </w:p>
    <w:p w14:paraId="68420BD0" w14:textId="77777777" w:rsidR="00F5389C" w:rsidRDefault="00F5389C" w:rsidP="00F5389C">
      <w:pPr>
        <w:rPr>
          <w:sz w:val="24"/>
          <w:szCs w:val="24"/>
        </w:rPr>
      </w:pPr>
    </w:p>
    <w:p w14:paraId="48CC1C4E" w14:textId="77777777" w:rsidR="00F5389C" w:rsidRDefault="00F5389C" w:rsidP="00F5389C">
      <w:pPr>
        <w:rPr>
          <w:sz w:val="24"/>
          <w:szCs w:val="24"/>
        </w:rPr>
      </w:pPr>
    </w:p>
    <w:p w14:paraId="5966ABD5" w14:textId="77777777" w:rsidR="00F5389C" w:rsidRDefault="00F5389C" w:rsidP="00F5389C">
      <w:pPr>
        <w:rPr>
          <w:sz w:val="24"/>
          <w:szCs w:val="24"/>
        </w:rPr>
      </w:pPr>
    </w:p>
    <w:p w14:paraId="52DAFFDE" w14:textId="77777777" w:rsidR="00F5389C" w:rsidRDefault="00F5389C" w:rsidP="00F5389C">
      <w:pPr>
        <w:rPr>
          <w:sz w:val="24"/>
          <w:szCs w:val="24"/>
        </w:rPr>
      </w:pPr>
    </w:p>
    <w:p w14:paraId="3696BA4C" w14:textId="77777777" w:rsidR="00F5389C" w:rsidRDefault="00F5389C" w:rsidP="00F5389C"/>
    <w:p w14:paraId="4F75B67F" w14:textId="77777777" w:rsidR="00F5389C" w:rsidRDefault="00F5389C" w:rsidP="00F5389C">
      <w:pPr>
        <w:rPr>
          <w:b/>
          <w:bCs/>
        </w:rPr>
      </w:pPr>
      <w:r>
        <w:rPr>
          <w:b/>
          <w:bCs/>
        </w:rPr>
        <w:t xml:space="preserve">Extended Data Table </w:t>
      </w:r>
      <w:proofErr w:type="spellStart"/>
      <w:r>
        <w:rPr>
          <w:b/>
          <w:bCs/>
        </w:rPr>
        <w:t>S2</w:t>
      </w:r>
      <w:proofErr w:type="spellEnd"/>
    </w:p>
    <w:p w14:paraId="71E70B83" w14:textId="77777777" w:rsidR="00F5389C" w:rsidRDefault="00F5389C" w:rsidP="00F5389C">
      <w:pPr>
        <w:rPr>
          <w:b/>
        </w:rPr>
      </w:pPr>
    </w:p>
    <w:tbl>
      <w:tblPr>
        <w:tblW w:w="9930" w:type="dxa"/>
        <w:tblBorders>
          <w:insideH w:val="nil"/>
          <w:insideV w:val="nil"/>
        </w:tblBorders>
        <w:tblLayout w:type="fixed"/>
        <w:tblLook w:val="0600" w:firstRow="0" w:lastRow="0" w:firstColumn="0" w:lastColumn="0" w:noHBand="1" w:noVBand="1"/>
      </w:tblPr>
      <w:tblGrid>
        <w:gridCol w:w="1466"/>
        <w:gridCol w:w="1194"/>
        <w:gridCol w:w="906"/>
        <w:gridCol w:w="906"/>
        <w:gridCol w:w="891"/>
        <w:gridCol w:w="1052"/>
        <w:gridCol w:w="700"/>
        <w:gridCol w:w="919"/>
        <w:gridCol w:w="919"/>
        <w:gridCol w:w="977"/>
      </w:tblGrid>
      <w:tr w:rsidR="00F5389C" w14:paraId="67C33573" w14:textId="77777777" w:rsidTr="00F5389C">
        <w:trPr>
          <w:trHeight w:val="199"/>
        </w:trPr>
        <w:tc>
          <w:tcPr>
            <w:tcW w:w="1466" w:type="dxa"/>
            <w:vMerge w:val="restart"/>
            <w:tcBorders>
              <w:top w:val="single" w:sz="8" w:space="0" w:color="000000"/>
              <w:left w:val="nil"/>
              <w:bottom w:val="single" w:sz="8" w:space="0" w:color="000000"/>
              <w:right w:val="nil"/>
            </w:tcBorders>
            <w:tcMar>
              <w:top w:w="56" w:type="dxa"/>
              <w:left w:w="56" w:type="dxa"/>
              <w:bottom w:w="56" w:type="dxa"/>
              <w:right w:w="56" w:type="dxa"/>
            </w:tcMar>
          </w:tcPr>
          <w:p w14:paraId="47B19793" w14:textId="77777777" w:rsidR="00F5389C" w:rsidRDefault="00F5389C">
            <w:pPr>
              <w:spacing w:line="240" w:lineRule="auto"/>
              <w:jc w:val="center"/>
              <w:rPr>
                <w:b/>
                <w:sz w:val="24"/>
                <w:szCs w:val="24"/>
              </w:rPr>
            </w:pPr>
          </w:p>
          <w:p w14:paraId="0310CD54" w14:textId="77777777" w:rsidR="00F5389C" w:rsidRDefault="00F5389C">
            <w:pPr>
              <w:spacing w:line="240" w:lineRule="auto"/>
              <w:jc w:val="center"/>
              <w:rPr>
                <w:b/>
                <w:sz w:val="24"/>
                <w:szCs w:val="24"/>
              </w:rPr>
            </w:pPr>
            <w:proofErr w:type="spellStart"/>
            <w:r>
              <w:rPr>
                <w:b/>
                <w:sz w:val="24"/>
                <w:szCs w:val="24"/>
              </w:rPr>
              <w:t>DFSO</w:t>
            </w:r>
            <w:proofErr w:type="spellEnd"/>
          </w:p>
        </w:tc>
        <w:tc>
          <w:tcPr>
            <w:tcW w:w="1194" w:type="dxa"/>
            <w:vMerge w:val="restart"/>
            <w:tcBorders>
              <w:top w:val="single" w:sz="8" w:space="0" w:color="000000"/>
              <w:left w:val="nil"/>
              <w:bottom w:val="single" w:sz="8" w:space="0" w:color="000000"/>
              <w:right w:val="nil"/>
            </w:tcBorders>
            <w:tcMar>
              <w:top w:w="56" w:type="dxa"/>
              <w:left w:w="56" w:type="dxa"/>
              <w:bottom w:w="56" w:type="dxa"/>
              <w:right w:w="56" w:type="dxa"/>
            </w:tcMar>
          </w:tcPr>
          <w:p w14:paraId="36A1CAB6" w14:textId="77777777" w:rsidR="00F5389C" w:rsidRDefault="00F5389C">
            <w:pPr>
              <w:spacing w:line="240" w:lineRule="auto"/>
              <w:jc w:val="center"/>
              <w:rPr>
                <w:b/>
                <w:sz w:val="24"/>
                <w:szCs w:val="24"/>
              </w:rPr>
            </w:pPr>
          </w:p>
          <w:p w14:paraId="77EA6EA0" w14:textId="77777777" w:rsidR="00F5389C" w:rsidRDefault="00F5389C">
            <w:pPr>
              <w:spacing w:line="240" w:lineRule="auto"/>
              <w:jc w:val="center"/>
              <w:rPr>
                <w:b/>
                <w:sz w:val="24"/>
                <w:szCs w:val="24"/>
              </w:rPr>
            </w:pPr>
            <w:proofErr w:type="spellStart"/>
            <w:r>
              <w:rPr>
                <w:b/>
                <w:sz w:val="24"/>
                <w:szCs w:val="24"/>
              </w:rPr>
              <w:t>DSFO</w:t>
            </w:r>
            <w:proofErr w:type="spellEnd"/>
            <w:r>
              <w:rPr>
                <w:b/>
                <w:sz w:val="24"/>
                <w:szCs w:val="24"/>
              </w:rPr>
              <w:t>*</w:t>
            </w:r>
          </w:p>
        </w:tc>
        <w:tc>
          <w:tcPr>
            <w:tcW w:w="3759" w:type="dxa"/>
            <w:gridSpan w:val="4"/>
            <w:tcBorders>
              <w:top w:val="single" w:sz="8" w:space="0" w:color="000000"/>
              <w:left w:val="nil"/>
              <w:bottom w:val="nil"/>
              <w:right w:val="single" w:sz="8" w:space="0" w:color="000000"/>
            </w:tcBorders>
            <w:tcMar>
              <w:top w:w="56" w:type="dxa"/>
              <w:left w:w="56" w:type="dxa"/>
              <w:bottom w:w="56" w:type="dxa"/>
              <w:right w:w="56" w:type="dxa"/>
            </w:tcMar>
            <w:hideMark/>
          </w:tcPr>
          <w:p w14:paraId="77A2DE0B" w14:textId="77777777" w:rsidR="00F5389C" w:rsidRDefault="00F5389C">
            <w:pPr>
              <w:spacing w:line="240" w:lineRule="auto"/>
              <w:jc w:val="center"/>
              <w:rPr>
                <w:b/>
                <w:sz w:val="24"/>
                <w:szCs w:val="24"/>
              </w:rPr>
            </w:pPr>
            <w:r>
              <w:rPr>
                <w:b/>
                <w:sz w:val="24"/>
                <w:szCs w:val="24"/>
              </w:rPr>
              <w:t>Nasopharyngeal swab</w:t>
            </w:r>
          </w:p>
        </w:tc>
        <w:tc>
          <w:tcPr>
            <w:tcW w:w="3518" w:type="dxa"/>
            <w:gridSpan w:val="4"/>
            <w:tcBorders>
              <w:top w:val="single" w:sz="8" w:space="0" w:color="000000"/>
              <w:left w:val="nil"/>
              <w:bottom w:val="nil"/>
              <w:right w:val="single" w:sz="8" w:space="0" w:color="000000"/>
            </w:tcBorders>
            <w:tcMar>
              <w:top w:w="56" w:type="dxa"/>
              <w:left w:w="56" w:type="dxa"/>
              <w:bottom w:w="56" w:type="dxa"/>
              <w:right w:w="56" w:type="dxa"/>
            </w:tcMar>
            <w:hideMark/>
          </w:tcPr>
          <w:p w14:paraId="3E2D37D1" w14:textId="77777777" w:rsidR="00F5389C" w:rsidRDefault="00F5389C">
            <w:pPr>
              <w:spacing w:line="240" w:lineRule="auto"/>
              <w:jc w:val="center"/>
              <w:rPr>
                <w:b/>
                <w:sz w:val="24"/>
                <w:szCs w:val="24"/>
              </w:rPr>
            </w:pPr>
            <w:r>
              <w:rPr>
                <w:b/>
                <w:sz w:val="24"/>
                <w:szCs w:val="24"/>
              </w:rPr>
              <w:t>Saliva sample</w:t>
            </w:r>
          </w:p>
        </w:tc>
      </w:tr>
      <w:tr w:rsidR="00F5389C" w14:paraId="6C700C38" w14:textId="77777777" w:rsidTr="00F5389C">
        <w:trPr>
          <w:trHeight w:val="199"/>
        </w:trPr>
        <w:tc>
          <w:tcPr>
            <w:tcW w:w="1466" w:type="dxa"/>
            <w:vMerge/>
            <w:tcBorders>
              <w:top w:val="single" w:sz="8" w:space="0" w:color="000000"/>
              <w:left w:val="nil"/>
              <w:bottom w:val="single" w:sz="8" w:space="0" w:color="000000"/>
              <w:right w:val="nil"/>
            </w:tcBorders>
            <w:vAlign w:val="center"/>
            <w:hideMark/>
          </w:tcPr>
          <w:p w14:paraId="46E66587" w14:textId="77777777" w:rsidR="00F5389C" w:rsidRDefault="00F5389C">
            <w:pPr>
              <w:rPr>
                <w:b/>
                <w:sz w:val="24"/>
                <w:szCs w:val="24"/>
              </w:rPr>
            </w:pPr>
          </w:p>
        </w:tc>
        <w:tc>
          <w:tcPr>
            <w:tcW w:w="1194" w:type="dxa"/>
            <w:vMerge/>
            <w:tcBorders>
              <w:top w:val="single" w:sz="8" w:space="0" w:color="000000"/>
              <w:left w:val="nil"/>
              <w:bottom w:val="single" w:sz="8" w:space="0" w:color="000000"/>
              <w:right w:val="nil"/>
            </w:tcBorders>
            <w:vAlign w:val="center"/>
            <w:hideMark/>
          </w:tcPr>
          <w:p w14:paraId="0FD1C356" w14:textId="77777777" w:rsidR="00F5389C" w:rsidRDefault="00F5389C">
            <w:pPr>
              <w:rPr>
                <w:b/>
                <w:sz w:val="24"/>
                <w:szCs w:val="24"/>
              </w:rPr>
            </w:pPr>
          </w:p>
        </w:tc>
        <w:tc>
          <w:tcPr>
            <w:tcW w:w="907" w:type="dxa"/>
            <w:tcBorders>
              <w:top w:val="nil"/>
              <w:left w:val="nil"/>
              <w:bottom w:val="single" w:sz="8" w:space="0" w:color="000000"/>
              <w:right w:val="nil"/>
            </w:tcBorders>
            <w:tcMar>
              <w:top w:w="56" w:type="dxa"/>
              <w:left w:w="56" w:type="dxa"/>
              <w:bottom w:w="56" w:type="dxa"/>
              <w:right w:w="56" w:type="dxa"/>
            </w:tcMar>
            <w:hideMark/>
          </w:tcPr>
          <w:p w14:paraId="7D3F852B" w14:textId="77777777" w:rsidR="00F5389C" w:rsidRDefault="00F5389C">
            <w:pPr>
              <w:spacing w:line="240" w:lineRule="auto"/>
              <w:jc w:val="center"/>
              <w:rPr>
                <w:b/>
                <w:sz w:val="24"/>
                <w:szCs w:val="24"/>
              </w:rPr>
            </w:pPr>
            <w:proofErr w:type="spellStart"/>
            <w:r>
              <w:rPr>
                <w:b/>
                <w:sz w:val="24"/>
                <w:szCs w:val="24"/>
              </w:rPr>
              <w:t>N1</w:t>
            </w:r>
            <w:proofErr w:type="spellEnd"/>
          </w:p>
        </w:tc>
        <w:tc>
          <w:tcPr>
            <w:tcW w:w="907" w:type="dxa"/>
            <w:tcBorders>
              <w:top w:val="nil"/>
              <w:left w:val="nil"/>
              <w:bottom w:val="single" w:sz="8" w:space="0" w:color="000000"/>
              <w:right w:val="nil"/>
            </w:tcBorders>
            <w:tcMar>
              <w:top w:w="56" w:type="dxa"/>
              <w:left w:w="56" w:type="dxa"/>
              <w:bottom w:w="56" w:type="dxa"/>
              <w:right w:w="56" w:type="dxa"/>
            </w:tcMar>
            <w:hideMark/>
          </w:tcPr>
          <w:p w14:paraId="08E4B50A" w14:textId="77777777" w:rsidR="00F5389C" w:rsidRDefault="00F5389C">
            <w:pPr>
              <w:spacing w:line="240" w:lineRule="auto"/>
              <w:jc w:val="center"/>
              <w:rPr>
                <w:b/>
                <w:sz w:val="24"/>
                <w:szCs w:val="24"/>
              </w:rPr>
            </w:pPr>
            <w:proofErr w:type="spellStart"/>
            <w:r>
              <w:rPr>
                <w:b/>
                <w:sz w:val="24"/>
                <w:szCs w:val="24"/>
              </w:rPr>
              <w:t>N2</w:t>
            </w:r>
            <w:proofErr w:type="spellEnd"/>
          </w:p>
        </w:tc>
        <w:tc>
          <w:tcPr>
            <w:tcW w:w="892" w:type="dxa"/>
            <w:tcBorders>
              <w:top w:val="nil"/>
              <w:left w:val="nil"/>
              <w:bottom w:val="single" w:sz="8" w:space="0" w:color="000000"/>
              <w:right w:val="nil"/>
            </w:tcBorders>
            <w:tcMar>
              <w:top w:w="56" w:type="dxa"/>
              <w:left w:w="56" w:type="dxa"/>
              <w:bottom w:w="56" w:type="dxa"/>
              <w:right w:w="56" w:type="dxa"/>
            </w:tcMar>
            <w:hideMark/>
          </w:tcPr>
          <w:p w14:paraId="49020232" w14:textId="77777777" w:rsidR="00F5389C" w:rsidRDefault="00F5389C">
            <w:pPr>
              <w:spacing w:line="240" w:lineRule="auto"/>
              <w:jc w:val="center"/>
              <w:rPr>
                <w:b/>
                <w:sz w:val="24"/>
                <w:szCs w:val="24"/>
              </w:rPr>
            </w:pPr>
            <w:r>
              <w:rPr>
                <w:b/>
                <w:sz w:val="24"/>
                <w:szCs w:val="24"/>
              </w:rPr>
              <w:t>RP</w:t>
            </w:r>
          </w:p>
        </w:tc>
        <w:tc>
          <w:tcPr>
            <w:tcW w:w="1051" w:type="dxa"/>
            <w:tcBorders>
              <w:top w:val="nil"/>
              <w:left w:val="nil"/>
              <w:bottom w:val="single" w:sz="8" w:space="0" w:color="000000"/>
              <w:right w:val="nil"/>
            </w:tcBorders>
            <w:tcMar>
              <w:top w:w="56" w:type="dxa"/>
              <w:left w:w="56" w:type="dxa"/>
              <w:bottom w:w="56" w:type="dxa"/>
              <w:right w:w="56" w:type="dxa"/>
            </w:tcMar>
            <w:hideMark/>
          </w:tcPr>
          <w:p w14:paraId="6D1B0F87" w14:textId="77777777" w:rsidR="00F5389C" w:rsidRDefault="00F5389C">
            <w:pPr>
              <w:spacing w:line="240" w:lineRule="auto"/>
              <w:jc w:val="center"/>
              <w:rPr>
                <w:b/>
                <w:sz w:val="24"/>
                <w:szCs w:val="24"/>
              </w:rPr>
            </w:pPr>
            <w:r>
              <w:rPr>
                <w:b/>
                <w:sz w:val="24"/>
                <w:szCs w:val="24"/>
              </w:rPr>
              <w:t>Result</w:t>
            </w:r>
          </w:p>
        </w:tc>
        <w:tc>
          <w:tcPr>
            <w:tcW w:w="700" w:type="dxa"/>
            <w:tcBorders>
              <w:top w:val="nil"/>
              <w:left w:val="nil"/>
              <w:bottom w:val="single" w:sz="8" w:space="0" w:color="000000"/>
              <w:right w:val="nil"/>
            </w:tcBorders>
            <w:tcMar>
              <w:top w:w="56" w:type="dxa"/>
              <w:left w:w="56" w:type="dxa"/>
              <w:bottom w:w="56" w:type="dxa"/>
              <w:right w:w="56" w:type="dxa"/>
            </w:tcMar>
            <w:hideMark/>
          </w:tcPr>
          <w:p w14:paraId="422FA64E" w14:textId="77777777" w:rsidR="00F5389C" w:rsidRDefault="00F5389C">
            <w:pPr>
              <w:spacing w:line="240" w:lineRule="auto"/>
              <w:jc w:val="center"/>
              <w:rPr>
                <w:b/>
                <w:sz w:val="24"/>
                <w:szCs w:val="24"/>
              </w:rPr>
            </w:pPr>
            <w:proofErr w:type="spellStart"/>
            <w:r>
              <w:rPr>
                <w:b/>
                <w:sz w:val="24"/>
                <w:szCs w:val="24"/>
              </w:rPr>
              <w:t>N1</w:t>
            </w:r>
            <w:proofErr w:type="spellEnd"/>
          </w:p>
        </w:tc>
        <w:tc>
          <w:tcPr>
            <w:tcW w:w="920" w:type="dxa"/>
            <w:tcBorders>
              <w:top w:val="nil"/>
              <w:left w:val="nil"/>
              <w:bottom w:val="single" w:sz="8" w:space="0" w:color="000000"/>
              <w:right w:val="nil"/>
            </w:tcBorders>
            <w:tcMar>
              <w:top w:w="56" w:type="dxa"/>
              <w:left w:w="56" w:type="dxa"/>
              <w:bottom w:w="56" w:type="dxa"/>
              <w:right w:w="56" w:type="dxa"/>
            </w:tcMar>
            <w:hideMark/>
          </w:tcPr>
          <w:p w14:paraId="390BC658" w14:textId="77777777" w:rsidR="00F5389C" w:rsidRDefault="00F5389C">
            <w:pPr>
              <w:spacing w:line="240" w:lineRule="auto"/>
              <w:jc w:val="center"/>
              <w:rPr>
                <w:b/>
                <w:sz w:val="24"/>
                <w:szCs w:val="24"/>
              </w:rPr>
            </w:pPr>
            <w:proofErr w:type="spellStart"/>
            <w:r>
              <w:rPr>
                <w:b/>
                <w:sz w:val="24"/>
                <w:szCs w:val="24"/>
              </w:rPr>
              <w:t>N2</w:t>
            </w:r>
            <w:proofErr w:type="spellEnd"/>
          </w:p>
        </w:tc>
        <w:tc>
          <w:tcPr>
            <w:tcW w:w="920" w:type="dxa"/>
            <w:tcBorders>
              <w:top w:val="nil"/>
              <w:left w:val="nil"/>
              <w:bottom w:val="single" w:sz="8" w:space="0" w:color="000000"/>
              <w:right w:val="nil"/>
            </w:tcBorders>
            <w:tcMar>
              <w:top w:w="56" w:type="dxa"/>
              <w:left w:w="56" w:type="dxa"/>
              <w:bottom w:w="56" w:type="dxa"/>
              <w:right w:w="56" w:type="dxa"/>
            </w:tcMar>
            <w:hideMark/>
          </w:tcPr>
          <w:p w14:paraId="13C4E6CD" w14:textId="77777777" w:rsidR="00F5389C" w:rsidRDefault="00F5389C">
            <w:pPr>
              <w:spacing w:line="240" w:lineRule="auto"/>
              <w:jc w:val="center"/>
              <w:rPr>
                <w:b/>
                <w:sz w:val="24"/>
                <w:szCs w:val="24"/>
              </w:rPr>
            </w:pPr>
            <w:r>
              <w:rPr>
                <w:b/>
                <w:sz w:val="24"/>
                <w:szCs w:val="24"/>
              </w:rPr>
              <w:t>RP</w:t>
            </w:r>
          </w:p>
        </w:tc>
        <w:tc>
          <w:tcPr>
            <w:tcW w:w="975" w:type="dxa"/>
            <w:tcBorders>
              <w:top w:val="nil"/>
              <w:left w:val="nil"/>
              <w:bottom w:val="single" w:sz="8" w:space="0" w:color="000000"/>
              <w:right w:val="nil"/>
            </w:tcBorders>
            <w:tcMar>
              <w:top w:w="56" w:type="dxa"/>
              <w:left w:w="56" w:type="dxa"/>
              <w:bottom w:w="56" w:type="dxa"/>
              <w:right w:w="56" w:type="dxa"/>
            </w:tcMar>
            <w:hideMark/>
          </w:tcPr>
          <w:p w14:paraId="03D70F3B" w14:textId="77777777" w:rsidR="00F5389C" w:rsidRDefault="00F5389C">
            <w:pPr>
              <w:spacing w:line="240" w:lineRule="auto"/>
              <w:jc w:val="center"/>
              <w:rPr>
                <w:b/>
                <w:sz w:val="24"/>
                <w:szCs w:val="24"/>
              </w:rPr>
            </w:pPr>
            <w:r>
              <w:rPr>
                <w:b/>
                <w:sz w:val="24"/>
                <w:szCs w:val="24"/>
              </w:rPr>
              <w:t>Result</w:t>
            </w:r>
          </w:p>
        </w:tc>
      </w:tr>
      <w:tr w:rsidR="00F5389C" w14:paraId="4AD1791A" w14:textId="77777777" w:rsidTr="00F5389C">
        <w:trPr>
          <w:trHeight w:val="199"/>
        </w:trPr>
        <w:tc>
          <w:tcPr>
            <w:tcW w:w="1466" w:type="dxa"/>
            <w:tcBorders>
              <w:top w:val="single" w:sz="8" w:space="0" w:color="000000"/>
              <w:left w:val="nil"/>
              <w:bottom w:val="nil"/>
              <w:right w:val="nil"/>
            </w:tcBorders>
            <w:tcMar>
              <w:top w:w="56" w:type="dxa"/>
              <w:left w:w="56" w:type="dxa"/>
              <w:bottom w:w="56" w:type="dxa"/>
              <w:right w:w="56" w:type="dxa"/>
            </w:tcMar>
            <w:hideMark/>
          </w:tcPr>
          <w:p w14:paraId="2191AC9E" w14:textId="77777777" w:rsidR="00F5389C" w:rsidRDefault="00F5389C">
            <w:pPr>
              <w:spacing w:line="240" w:lineRule="auto"/>
              <w:jc w:val="center"/>
              <w:rPr>
                <w:color w:val="FF0000"/>
                <w:sz w:val="24"/>
                <w:szCs w:val="24"/>
              </w:rPr>
            </w:pPr>
            <w:r>
              <w:rPr>
                <w:color w:val="FF0000"/>
                <w:sz w:val="24"/>
                <w:szCs w:val="24"/>
              </w:rPr>
              <w:t>3</w:t>
            </w:r>
          </w:p>
        </w:tc>
        <w:tc>
          <w:tcPr>
            <w:tcW w:w="1194" w:type="dxa"/>
            <w:tcBorders>
              <w:top w:val="single" w:sz="8" w:space="0" w:color="000000"/>
              <w:left w:val="nil"/>
              <w:bottom w:val="nil"/>
              <w:right w:val="nil"/>
            </w:tcBorders>
            <w:tcMar>
              <w:top w:w="56" w:type="dxa"/>
              <w:left w:w="56" w:type="dxa"/>
              <w:bottom w:w="56" w:type="dxa"/>
              <w:right w:w="56" w:type="dxa"/>
            </w:tcMar>
          </w:tcPr>
          <w:p w14:paraId="6C97EF01" w14:textId="77777777" w:rsidR="00F5389C" w:rsidRDefault="00F5389C">
            <w:pPr>
              <w:spacing w:line="240" w:lineRule="auto"/>
              <w:jc w:val="center"/>
              <w:rPr>
                <w:color w:val="FF0000"/>
                <w:sz w:val="24"/>
                <w:szCs w:val="24"/>
              </w:rPr>
            </w:pPr>
          </w:p>
        </w:tc>
        <w:tc>
          <w:tcPr>
            <w:tcW w:w="907" w:type="dxa"/>
            <w:tcBorders>
              <w:top w:val="single" w:sz="8" w:space="0" w:color="000000"/>
              <w:left w:val="nil"/>
              <w:bottom w:val="nil"/>
              <w:right w:val="nil"/>
            </w:tcBorders>
            <w:tcMar>
              <w:top w:w="56" w:type="dxa"/>
              <w:left w:w="56" w:type="dxa"/>
              <w:bottom w:w="56" w:type="dxa"/>
              <w:right w:w="56" w:type="dxa"/>
            </w:tcMar>
            <w:hideMark/>
          </w:tcPr>
          <w:p w14:paraId="1BB8EFC1" w14:textId="77777777" w:rsidR="00F5389C" w:rsidRDefault="00F5389C">
            <w:pPr>
              <w:spacing w:line="240" w:lineRule="auto"/>
              <w:jc w:val="center"/>
              <w:rPr>
                <w:color w:val="FF0000"/>
                <w:sz w:val="24"/>
                <w:szCs w:val="24"/>
              </w:rPr>
            </w:pPr>
            <w:r>
              <w:rPr>
                <w:color w:val="FF0000"/>
                <w:sz w:val="24"/>
                <w:szCs w:val="24"/>
              </w:rPr>
              <w:t>17.1</w:t>
            </w:r>
          </w:p>
        </w:tc>
        <w:tc>
          <w:tcPr>
            <w:tcW w:w="907" w:type="dxa"/>
            <w:tcBorders>
              <w:top w:val="single" w:sz="8" w:space="0" w:color="000000"/>
              <w:left w:val="nil"/>
              <w:bottom w:val="nil"/>
              <w:right w:val="nil"/>
            </w:tcBorders>
            <w:tcMar>
              <w:top w:w="56" w:type="dxa"/>
              <w:left w:w="56" w:type="dxa"/>
              <w:bottom w:w="56" w:type="dxa"/>
              <w:right w:w="56" w:type="dxa"/>
            </w:tcMar>
            <w:hideMark/>
          </w:tcPr>
          <w:p w14:paraId="20D2724B" w14:textId="77777777" w:rsidR="00F5389C" w:rsidRDefault="00F5389C">
            <w:pPr>
              <w:spacing w:line="240" w:lineRule="auto"/>
              <w:jc w:val="center"/>
              <w:rPr>
                <w:color w:val="FF0000"/>
                <w:sz w:val="24"/>
                <w:szCs w:val="24"/>
              </w:rPr>
            </w:pPr>
            <w:r>
              <w:rPr>
                <w:color w:val="FF0000"/>
                <w:sz w:val="24"/>
                <w:szCs w:val="24"/>
              </w:rPr>
              <w:t>16.3</w:t>
            </w:r>
          </w:p>
        </w:tc>
        <w:tc>
          <w:tcPr>
            <w:tcW w:w="892" w:type="dxa"/>
            <w:tcBorders>
              <w:top w:val="single" w:sz="8" w:space="0" w:color="000000"/>
              <w:left w:val="nil"/>
              <w:bottom w:val="nil"/>
              <w:right w:val="nil"/>
            </w:tcBorders>
            <w:tcMar>
              <w:top w:w="56" w:type="dxa"/>
              <w:left w:w="56" w:type="dxa"/>
              <w:bottom w:w="56" w:type="dxa"/>
              <w:right w:w="56" w:type="dxa"/>
            </w:tcMar>
          </w:tcPr>
          <w:p w14:paraId="44775D0B" w14:textId="77777777" w:rsidR="00F5389C" w:rsidRDefault="00F5389C">
            <w:pPr>
              <w:spacing w:line="240" w:lineRule="auto"/>
              <w:jc w:val="center"/>
              <w:rPr>
                <w:color w:val="FF0000"/>
                <w:sz w:val="24"/>
                <w:szCs w:val="24"/>
              </w:rPr>
            </w:pPr>
          </w:p>
        </w:tc>
        <w:tc>
          <w:tcPr>
            <w:tcW w:w="1051" w:type="dxa"/>
            <w:tcBorders>
              <w:top w:val="single" w:sz="8" w:space="0" w:color="000000"/>
              <w:left w:val="nil"/>
              <w:bottom w:val="nil"/>
              <w:right w:val="nil"/>
            </w:tcBorders>
            <w:tcMar>
              <w:top w:w="56" w:type="dxa"/>
              <w:left w:w="56" w:type="dxa"/>
              <w:bottom w:w="56" w:type="dxa"/>
              <w:right w:w="56" w:type="dxa"/>
            </w:tcMar>
            <w:hideMark/>
          </w:tcPr>
          <w:p w14:paraId="323958DF" w14:textId="77777777" w:rsidR="00F5389C" w:rsidRDefault="00F5389C">
            <w:pPr>
              <w:spacing w:line="240" w:lineRule="auto"/>
              <w:jc w:val="center"/>
              <w:rPr>
                <w:color w:val="FF0000"/>
                <w:sz w:val="24"/>
                <w:szCs w:val="24"/>
              </w:rPr>
            </w:pPr>
            <w:r>
              <w:rPr>
                <w:color w:val="FF0000"/>
                <w:sz w:val="24"/>
                <w:szCs w:val="24"/>
              </w:rPr>
              <w:t>POS</w:t>
            </w:r>
          </w:p>
        </w:tc>
        <w:tc>
          <w:tcPr>
            <w:tcW w:w="700" w:type="dxa"/>
            <w:tcBorders>
              <w:top w:val="single" w:sz="8" w:space="0" w:color="000000"/>
              <w:left w:val="nil"/>
              <w:bottom w:val="nil"/>
              <w:right w:val="nil"/>
            </w:tcBorders>
            <w:tcMar>
              <w:top w:w="56" w:type="dxa"/>
              <w:left w:w="56" w:type="dxa"/>
              <w:bottom w:w="56" w:type="dxa"/>
              <w:right w:w="56" w:type="dxa"/>
            </w:tcMar>
          </w:tcPr>
          <w:p w14:paraId="5D132FBD" w14:textId="77777777" w:rsidR="00F5389C" w:rsidRDefault="00F5389C">
            <w:pPr>
              <w:spacing w:line="240" w:lineRule="auto"/>
              <w:jc w:val="center"/>
              <w:rPr>
                <w:sz w:val="24"/>
                <w:szCs w:val="24"/>
              </w:rPr>
            </w:pPr>
          </w:p>
        </w:tc>
        <w:tc>
          <w:tcPr>
            <w:tcW w:w="920" w:type="dxa"/>
            <w:tcBorders>
              <w:top w:val="single" w:sz="8" w:space="0" w:color="000000"/>
              <w:left w:val="nil"/>
              <w:bottom w:val="nil"/>
              <w:right w:val="nil"/>
            </w:tcBorders>
            <w:tcMar>
              <w:top w:w="56" w:type="dxa"/>
              <w:left w:w="56" w:type="dxa"/>
              <w:bottom w:w="56" w:type="dxa"/>
              <w:right w:w="56" w:type="dxa"/>
            </w:tcMar>
          </w:tcPr>
          <w:p w14:paraId="441B3F80" w14:textId="77777777" w:rsidR="00F5389C" w:rsidRDefault="00F5389C">
            <w:pPr>
              <w:spacing w:line="240" w:lineRule="auto"/>
              <w:jc w:val="center"/>
              <w:rPr>
                <w:sz w:val="24"/>
                <w:szCs w:val="24"/>
              </w:rPr>
            </w:pPr>
          </w:p>
        </w:tc>
        <w:tc>
          <w:tcPr>
            <w:tcW w:w="920" w:type="dxa"/>
            <w:tcBorders>
              <w:top w:val="single" w:sz="8" w:space="0" w:color="000000"/>
              <w:left w:val="nil"/>
              <w:bottom w:val="nil"/>
              <w:right w:val="nil"/>
            </w:tcBorders>
            <w:tcMar>
              <w:top w:w="56" w:type="dxa"/>
              <w:left w:w="56" w:type="dxa"/>
              <w:bottom w:w="56" w:type="dxa"/>
              <w:right w:w="56" w:type="dxa"/>
            </w:tcMar>
          </w:tcPr>
          <w:p w14:paraId="645FE32C" w14:textId="77777777" w:rsidR="00F5389C" w:rsidRDefault="00F5389C">
            <w:pPr>
              <w:spacing w:line="240" w:lineRule="auto"/>
              <w:jc w:val="center"/>
              <w:rPr>
                <w:sz w:val="24"/>
                <w:szCs w:val="24"/>
              </w:rPr>
            </w:pPr>
          </w:p>
        </w:tc>
        <w:tc>
          <w:tcPr>
            <w:tcW w:w="975" w:type="dxa"/>
            <w:tcBorders>
              <w:top w:val="single" w:sz="8" w:space="0" w:color="000000"/>
              <w:left w:val="nil"/>
              <w:bottom w:val="nil"/>
              <w:right w:val="nil"/>
            </w:tcBorders>
            <w:tcMar>
              <w:top w:w="56" w:type="dxa"/>
              <w:left w:w="56" w:type="dxa"/>
              <w:bottom w:w="56" w:type="dxa"/>
              <w:right w:w="56" w:type="dxa"/>
            </w:tcMar>
          </w:tcPr>
          <w:p w14:paraId="4D9AE860" w14:textId="77777777" w:rsidR="00F5389C" w:rsidRDefault="00F5389C">
            <w:pPr>
              <w:spacing w:line="240" w:lineRule="auto"/>
              <w:jc w:val="center"/>
              <w:rPr>
                <w:sz w:val="24"/>
                <w:szCs w:val="24"/>
              </w:rPr>
            </w:pPr>
          </w:p>
        </w:tc>
      </w:tr>
      <w:tr w:rsidR="00F5389C" w14:paraId="3EB47AD4"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611FA632" w14:textId="77777777" w:rsidR="00F5389C" w:rsidRDefault="00F5389C">
            <w:pPr>
              <w:spacing w:line="240" w:lineRule="auto"/>
              <w:jc w:val="center"/>
              <w:rPr>
                <w:sz w:val="24"/>
                <w:szCs w:val="24"/>
              </w:rPr>
            </w:pPr>
            <w:r>
              <w:rPr>
                <w:sz w:val="24"/>
                <w:szCs w:val="24"/>
              </w:rPr>
              <w:t>7</w:t>
            </w:r>
          </w:p>
        </w:tc>
        <w:tc>
          <w:tcPr>
            <w:tcW w:w="1194" w:type="dxa"/>
            <w:tcBorders>
              <w:top w:val="nil"/>
              <w:left w:val="nil"/>
              <w:bottom w:val="nil"/>
              <w:right w:val="nil"/>
            </w:tcBorders>
            <w:tcMar>
              <w:top w:w="56" w:type="dxa"/>
              <w:left w:w="56" w:type="dxa"/>
              <w:bottom w:w="56" w:type="dxa"/>
              <w:right w:w="56" w:type="dxa"/>
            </w:tcMar>
          </w:tcPr>
          <w:p w14:paraId="1637BE82" w14:textId="77777777" w:rsidR="00F5389C" w:rsidRDefault="00F5389C">
            <w:pPr>
              <w:spacing w:line="240" w:lineRule="auto"/>
              <w:jc w:val="center"/>
              <w:rPr>
                <w:sz w:val="24"/>
                <w:szCs w:val="24"/>
              </w:rPr>
            </w:pPr>
          </w:p>
        </w:tc>
        <w:tc>
          <w:tcPr>
            <w:tcW w:w="907" w:type="dxa"/>
            <w:tcBorders>
              <w:top w:val="nil"/>
              <w:left w:val="nil"/>
              <w:bottom w:val="nil"/>
              <w:right w:val="nil"/>
            </w:tcBorders>
            <w:tcMar>
              <w:top w:w="56" w:type="dxa"/>
              <w:left w:w="56" w:type="dxa"/>
              <w:bottom w:w="56" w:type="dxa"/>
              <w:right w:w="56" w:type="dxa"/>
            </w:tcMar>
            <w:hideMark/>
          </w:tcPr>
          <w:p w14:paraId="73943BBE" w14:textId="77777777" w:rsidR="00F5389C" w:rsidRDefault="00F5389C">
            <w:pPr>
              <w:spacing w:line="240" w:lineRule="auto"/>
              <w:jc w:val="center"/>
              <w:rPr>
                <w:sz w:val="24"/>
                <w:szCs w:val="24"/>
              </w:rPr>
            </w:pPr>
            <w:r>
              <w:rPr>
                <w:sz w:val="24"/>
                <w:szCs w:val="24"/>
              </w:rPr>
              <w:t>ND</w:t>
            </w:r>
          </w:p>
        </w:tc>
        <w:tc>
          <w:tcPr>
            <w:tcW w:w="907" w:type="dxa"/>
            <w:tcBorders>
              <w:top w:val="nil"/>
              <w:left w:val="nil"/>
              <w:bottom w:val="nil"/>
              <w:right w:val="nil"/>
            </w:tcBorders>
            <w:tcMar>
              <w:top w:w="56" w:type="dxa"/>
              <w:left w:w="56" w:type="dxa"/>
              <w:bottom w:w="56" w:type="dxa"/>
              <w:right w:w="56" w:type="dxa"/>
            </w:tcMar>
            <w:hideMark/>
          </w:tcPr>
          <w:p w14:paraId="18C4E2E9" w14:textId="77777777" w:rsidR="00F5389C" w:rsidRDefault="00F5389C">
            <w:pPr>
              <w:spacing w:line="240" w:lineRule="auto"/>
              <w:jc w:val="center"/>
              <w:rPr>
                <w:sz w:val="24"/>
                <w:szCs w:val="24"/>
              </w:rPr>
            </w:pPr>
            <w:r>
              <w:rPr>
                <w:sz w:val="24"/>
                <w:szCs w:val="24"/>
              </w:rPr>
              <w:t>ND</w:t>
            </w:r>
          </w:p>
        </w:tc>
        <w:tc>
          <w:tcPr>
            <w:tcW w:w="892" w:type="dxa"/>
            <w:tcBorders>
              <w:top w:val="nil"/>
              <w:left w:val="nil"/>
              <w:bottom w:val="nil"/>
              <w:right w:val="nil"/>
            </w:tcBorders>
            <w:tcMar>
              <w:top w:w="56" w:type="dxa"/>
              <w:left w:w="56" w:type="dxa"/>
              <w:bottom w:w="56" w:type="dxa"/>
              <w:right w:w="56" w:type="dxa"/>
            </w:tcMar>
            <w:hideMark/>
          </w:tcPr>
          <w:p w14:paraId="5441B3EC" w14:textId="77777777" w:rsidR="00F5389C" w:rsidRDefault="00F5389C">
            <w:pPr>
              <w:spacing w:line="240" w:lineRule="auto"/>
              <w:jc w:val="center"/>
              <w:rPr>
                <w:sz w:val="24"/>
                <w:szCs w:val="24"/>
              </w:rPr>
            </w:pPr>
            <w:r>
              <w:rPr>
                <w:sz w:val="24"/>
                <w:szCs w:val="24"/>
              </w:rPr>
              <w:t>30.39</w:t>
            </w:r>
          </w:p>
        </w:tc>
        <w:tc>
          <w:tcPr>
            <w:tcW w:w="1051" w:type="dxa"/>
            <w:tcBorders>
              <w:top w:val="nil"/>
              <w:left w:val="nil"/>
              <w:bottom w:val="nil"/>
              <w:right w:val="nil"/>
            </w:tcBorders>
            <w:tcMar>
              <w:top w:w="56" w:type="dxa"/>
              <w:left w:w="56" w:type="dxa"/>
              <w:bottom w:w="56" w:type="dxa"/>
              <w:right w:w="56" w:type="dxa"/>
            </w:tcMar>
            <w:hideMark/>
          </w:tcPr>
          <w:p w14:paraId="77A0562C" w14:textId="77777777" w:rsidR="00F5389C" w:rsidRDefault="00F5389C">
            <w:pPr>
              <w:spacing w:line="240" w:lineRule="auto"/>
              <w:jc w:val="center"/>
              <w:rPr>
                <w:sz w:val="24"/>
                <w:szCs w:val="24"/>
              </w:rPr>
            </w:pPr>
            <w:r>
              <w:rPr>
                <w:sz w:val="24"/>
                <w:szCs w:val="24"/>
              </w:rPr>
              <w:t>NEG</w:t>
            </w:r>
          </w:p>
        </w:tc>
        <w:tc>
          <w:tcPr>
            <w:tcW w:w="700" w:type="dxa"/>
            <w:tcBorders>
              <w:top w:val="nil"/>
              <w:left w:val="nil"/>
              <w:bottom w:val="nil"/>
              <w:right w:val="nil"/>
            </w:tcBorders>
            <w:tcMar>
              <w:top w:w="56" w:type="dxa"/>
              <w:left w:w="56" w:type="dxa"/>
              <w:bottom w:w="56" w:type="dxa"/>
              <w:right w:w="56" w:type="dxa"/>
            </w:tcMar>
            <w:hideMark/>
          </w:tcPr>
          <w:p w14:paraId="5D16D656" w14:textId="77777777" w:rsidR="00F5389C" w:rsidRDefault="00F5389C">
            <w:pPr>
              <w:spacing w:line="240" w:lineRule="auto"/>
              <w:jc w:val="center"/>
              <w:rPr>
                <w:sz w:val="24"/>
                <w:szCs w:val="24"/>
              </w:rPr>
            </w:pPr>
            <w:r>
              <w:rPr>
                <w:sz w:val="24"/>
                <w:szCs w:val="24"/>
              </w:rPr>
              <w:t>21.7</w:t>
            </w:r>
          </w:p>
        </w:tc>
        <w:tc>
          <w:tcPr>
            <w:tcW w:w="920" w:type="dxa"/>
            <w:tcBorders>
              <w:top w:val="nil"/>
              <w:left w:val="nil"/>
              <w:bottom w:val="nil"/>
              <w:right w:val="nil"/>
            </w:tcBorders>
            <w:tcMar>
              <w:top w:w="56" w:type="dxa"/>
              <w:left w:w="56" w:type="dxa"/>
              <w:bottom w:w="56" w:type="dxa"/>
              <w:right w:w="56" w:type="dxa"/>
            </w:tcMar>
            <w:hideMark/>
          </w:tcPr>
          <w:p w14:paraId="502980ED" w14:textId="77777777" w:rsidR="00F5389C" w:rsidRDefault="00F5389C">
            <w:pPr>
              <w:spacing w:line="240" w:lineRule="auto"/>
              <w:jc w:val="center"/>
              <w:rPr>
                <w:sz w:val="24"/>
                <w:szCs w:val="24"/>
              </w:rPr>
            </w:pPr>
            <w:r>
              <w:rPr>
                <w:sz w:val="24"/>
                <w:szCs w:val="24"/>
              </w:rPr>
              <w:t>22.6</w:t>
            </w:r>
          </w:p>
        </w:tc>
        <w:tc>
          <w:tcPr>
            <w:tcW w:w="920" w:type="dxa"/>
            <w:tcBorders>
              <w:top w:val="nil"/>
              <w:left w:val="nil"/>
              <w:bottom w:val="nil"/>
              <w:right w:val="nil"/>
            </w:tcBorders>
            <w:tcMar>
              <w:top w:w="56" w:type="dxa"/>
              <w:left w:w="56" w:type="dxa"/>
              <w:bottom w:w="56" w:type="dxa"/>
              <w:right w:w="56" w:type="dxa"/>
            </w:tcMar>
            <w:hideMark/>
          </w:tcPr>
          <w:p w14:paraId="6343DC36" w14:textId="77777777" w:rsidR="00F5389C" w:rsidRDefault="00F5389C">
            <w:pPr>
              <w:spacing w:line="240" w:lineRule="auto"/>
              <w:jc w:val="center"/>
              <w:rPr>
                <w:sz w:val="24"/>
                <w:szCs w:val="24"/>
              </w:rPr>
            </w:pPr>
            <w:r>
              <w:rPr>
                <w:sz w:val="24"/>
                <w:szCs w:val="24"/>
              </w:rPr>
              <w:t>21.5</w:t>
            </w:r>
          </w:p>
        </w:tc>
        <w:tc>
          <w:tcPr>
            <w:tcW w:w="975" w:type="dxa"/>
            <w:tcBorders>
              <w:top w:val="nil"/>
              <w:left w:val="nil"/>
              <w:bottom w:val="nil"/>
              <w:right w:val="nil"/>
            </w:tcBorders>
            <w:tcMar>
              <w:top w:w="56" w:type="dxa"/>
              <w:left w:w="56" w:type="dxa"/>
              <w:bottom w:w="56" w:type="dxa"/>
              <w:right w:w="56" w:type="dxa"/>
            </w:tcMar>
            <w:hideMark/>
          </w:tcPr>
          <w:p w14:paraId="3D63F4D6" w14:textId="77777777" w:rsidR="00F5389C" w:rsidRDefault="00F5389C">
            <w:pPr>
              <w:spacing w:line="240" w:lineRule="auto"/>
              <w:jc w:val="center"/>
              <w:rPr>
                <w:sz w:val="24"/>
                <w:szCs w:val="24"/>
              </w:rPr>
            </w:pPr>
            <w:r>
              <w:rPr>
                <w:sz w:val="24"/>
                <w:szCs w:val="24"/>
              </w:rPr>
              <w:t>POS</w:t>
            </w:r>
          </w:p>
        </w:tc>
      </w:tr>
      <w:tr w:rsidR="00F5389C" w14:paraId="5E90A914"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2CD8DCA0" w14:textId="77777777" w:rsidR="00F5389C" w:rsidRDefault="00F5389C">
            <w:pPr>
              <w:spacing w:line="240" w:lineRule="auto"/>
              <w:jc w:val="center"/>
              <w:rPr>
                <w:color w:val="FF0000"/>
                <w:sz w:val="24"/>
                <w:szCs w:val="24"/>
                <w:vertAlign w:val="superscript"/>
              </w:rPr>
            </w:pPr>
            <w:r>
              <w:rPr>
                <w:color w:val="FF0000"/>
                <w:sz w:val="24"/>
                <w:szCs w:val="24"/>
                <w:vertAlign w:val="superscript"/>
              </w:rPr>
              <w:t>#</w:t>
            </w:r>
            <w:r>
              <w:rPr>
                <w:color w:val="FF0000"/>
                <w:sz w:val="24"/>
                <w:szCs w:val="24"/>
              </w:rPr>
              <w:t>10</w:t>
            </w:r>
          </w:p>
        </w:tc>
        <w:tc>
          <w:tcPr>
            <w:tcW w:w="1194" w:type="dxa"/>
            <w:tcBorders>
              <w:top w:val="nil"/>
              <w:left w:val="nil"/>
              <w:bottom w:val="nil"/>
              <w:right w:val="nil"/>
            </w:tcBorders>
            <w:tcMar>
              <w:top w:w="56" w:type="dxa"/>
              <w:left w:w="56" w:type="dxa"/>
              <w:bottom w:w="56" w:type="dxa"/>
              <w:right w:w="56" w:type="dxa"/>
            </w:tcMar>
          </w:tcPr>
          <w:p w14:paraId="1694B627" w14:textId="77777777" w:rsidR="00F5389C" w:rsidRDefault="00F5389C">
            <w:pPr>
              <w:spacing w:line="240" w:lineRule="auto"/>
              <w:jc w:val="center"/>
              <w:rPr>
                <w:color w:val="FF0000"/>
                <w:sz w:val="24"/>
                <w:szCs w:val="24"/>
              </w:rPr>
            </w:pPr>
          </w:p>
        </w:tc>
        <w:tc>
          <w:tcPr>
            <w:tcW w:w="907" w:type="dxa"/>
            <w:tcBorders>
              <w:top w:val="nil"/>
              <w:left w:val="nil"/>
              <w:bottom w:val="nil"/>
              <w:right w:val="nil"/>
            </w:tcBorders>
            <w:tcMar>
              <w:top w:w="56" w:type="dxa"/>
              <w:left w:w="56" w:type="dxa"/>
              <w:bottom w:w="56" w:type="dxa"/>
              <w:right w:w="56" w:type="dxa"/>
            </w:tcMar>
          </w:tcPr>
          <w:p w14:paraId="621CA958" w14:textId="77777777" w:rsidR="00F5389C" w:rsidRDefault="00F5389C">
            <w:pPr>
              <w:spacing w:line="240" w:lineRule="auto"/>
              <w:jc w:val="center"/>
              <w:rPr>
                <w:color w:val="FF0000"/>
                <w:sz w:val="24"/>
                <w:szCs w:val="24"/>
              </w:rPr>
            </w:pPr>
          </w:p>
        </w:tc>
        <w:tc>
          <w:tcPr>
            <w:tcW w:w="907" w:type="dxa"/>
            <w:tcBorders>
              <w:top w:val="nil"/>
              <w:left w:val="nil"/>
              <w:bottom w:val="nil"/>
              <w:right w:val="nil"/>
            </w:tcBorders>
            <w:tcMar>
              <w:top w:w="56" w:type="dxa"/>
              <w:left w:w="56" w:type="dxa"/>
              <w:bottom w:w="56" w:type="dxa"/>
              <w:right w:w="56" w:type="dxa"/>
            </w:tcMar>
            <w:hideMark/>
          </w:tcPr>
          <w:p w14:paraId="00997122" w14:textId="77777777" w:rsidR="00F5389C" w:rsidRDefault="00F5389C">
            <w:pPr>
              <w:spacing w:line="240" w:lineRule="auto"/>
              <w:jc w:val="center"/>
              <w:rPr>
                <w:color w:val="FF0000"/>
                <w:sz w:val="24"/>
                <w:szCs w:val="24"/>
              </w:rPr>
            </w:pPr>
            <w:r>
              <w:rPr>
                <w:color w:val="FF0000"/>
                <w:sz w:val="24"/>
                <w:szCs w:val="24"/>
              </w:rPr>
              <w:t>18.7</w:t>
            </w:r>
          </w:p>
        </w:tc>
        <w:tc>
          <w:tcPr>
            <w:tcW w:w="892" w:type="dxa"/>
            <w:tcBorders>
              <w:top w:val="nil"/>
              <w:left w:val="nil"/>
              <w:bottom w:val="nil"/>
              <w:right w:val="nil"/>
            </w:tcBorders>
            <w:tcMar>
              <w:top w:w="56" w:type="dxa"/>
              <w:left w:w="56" w:type="dxa"/>
              <w:bottom w:w="56" w:type="dxa"/>
              <w:right w:w="56" w:type="dxa"/>
            </w:tcMar>
          </w:tcPr>
          <w:p w14:paraId="1995E8DD" w14:textId="77777777" w:rsidR="00F5389C" w:rsidRDefault="00F5389C">
            <w:pPr>
              <w:spacing w:line="240" w:lineRule="auto"/>
              <w:jc w:val="center"/>
              <w:rPr>
                <w:color w:val="FF0000"/>
                <w:sz w:val="24"/>
                <w:szCs w:val="24"/>
              </w:rPr>
            </w:pPr>
          </w:p>
        </w:tc>
        <w:tc>
          <w:tcPr>
            <w:tcW w:w="1051" w:type="dxa"/>
            <w:tcBorders>
              <w:top w:val="nil"/>
              <w:left w:val="nil"/>
              <w:bottom w:val="nil"/>
              <w:right w:val="nil"/>
            </w:tcBorders>
            <w:tcMar>
              <w:top w:w="56" w:type="dxa"/>
              <w:left w:w="56" w:type="dxa"/>
              <w:bottom w:w="56" w:type="dxa"/>
              <w:right w:w="56" w:type="dxa"/>
            </w:tcMar>
            <w:hideMark/>
          </w:tcPr>
          <w:p w14:paraId="27133304" w14:textId="77777777" w:rsidR="00F5389C" w:rsidRDefault="00F5389C">
            <w:pPr>
              <w:spacing w:line="240" w:lineRule="auto"/>
              <w:jc w:val="center"/>
              <w:rPr>
                <w:color w:val="FF0000"/>
                <w:sz w:val="24"/>
                <w:szCs w:val="24"/>
              </w:rPr>
            </w:pPr>
            <w:r>
              <w:rPr>
                <w:color w:val="FF0000"/>
                <w:sz w:val="24"/>
                <w:szCs w:val="24"/>
              </w:rPr>
              <w:t>POS</w:t>
            </w:r>
          </w:p>
        </w:tc>
        <w:tc>
          <w:tcPr>
            <w:tcW w:w="700" w:type="dxa"/>
            <w:tcBorders>
              <w:top w:val="nil"/>
              <w:left w:val="nil"/>
              <w:bottom w:val="nil"/>
              <w:right w:val="nil"/>
            </w:tcBorders>
            <w:tcMar>
              <w:top w:w="56" w:type="dxa"/>
              <w:left w:w="56" w:type="dxa"/>
              <w:bottom w:w="56" w:type="dxa"/>
              <w:right w:w="56" w:type="dxa"/>
            </w:tcMar>
          </w:tcPr>
          <w:p w14:paraId="2698DF6F" w14:textId="77777777" w:rsidR="00F5389C" w:rsidRDefault="00F5389C">
            <w:pPr>
              <w:spacing w:line="240" w:lineRule="auto"/>
              <w:jc w:val="center"/>
              <w:rPr>
                <w:sz w:val="24"/>
                <w:szCs w:val="24"/>
              </w:rPr>
            </w:pPr>
          </w:p>
        </w:tc>
        <w:tc>
          <w:tcPr>
            <w:tcW w:w="920" w:type="dxa"/>
            <w:tcBorders>
              <w:top w:val="nil"/>
              <w:left w:val="nil"/>
              <w:bottom w:val="nil"/>
              <w:right w:val="nil"/>
            </w:tcBorders>
            <w:tcMar>
              <w:top w:w="56" w:type="dxa"/>
              <w:left w:w="56" w:type="dxa"/>
              <w:bottom w:w="56" w:type="dxa"/>
              <w:right w:w="56" w:type="dxa"/>
            </w:tcMar>
          </w:tcPr>
          <w:p w14:paraId="51C05F48" w14:textId="77777777" w:rsidR="00F5389C" w:rsidRDefault="00F5389C">
            <w:pPr>
              <w:spacing w:line="240" w:lineRule="auto"/>
              <w:jc w:val="center"/>
              <w:rPr>
                <w:sz w:val="24"/>
                <w:szCs w:val="24"/>
              </w:rPr>
            </w:pPr>
          </w:p>
        </w:tc>
        <w:tc>
          <w:tcPr>
            <w:tcW w:w="920" w:type="dxa"/>
            <w:tcBorders>
              <w:top w:val="nil"/>
              <w:left w:val="nil"/>
              <w:bottom w:val="nil"/>
              <w:right w:val="nil"/>
            </w:tcBorders>
            <w:tcMar>
              <w:top w:w="56" w:type="dxa"/>
              <w:left w:w="56" w:type="dxa"/>
              <w:bottom w:w="56" w:type="dxa"/>
              <w:right w:w="56" w:type="dxa"/>
            </w:tcMar>
          </w:tcPr>
          <w:p w14:paraId="5C1426F5" w14:textId="77777777" w:rsidR="00F5389C" w:rsidRDefault="00F5389C">
            <w:pPr>
              <w:spacing w:line="240" w:lineRule="auto"/>
              <w:jc w:val="center"/>
              <w:rPr>
                <w:sz w:val="24"/>
                <w:szCs w:val="24"/>
              </w:rPr>
            </w:pPr>
          </w:p>
        </w:tc>
        <w:tc>
          <w:tcPr>
            <w:tcW w:w="975" w:type="dxa"/>
            <w:tcBorders>
              <w:top w:val="nil"/>
              <w:left w:val="nil"/>
              <w:bottom w:val="nil"/>
              <w:right w:val="nil"/>
            </w:tcBorders>
            <w:tcMar>
              <w:top w:w="56" w:type="dxa"/>
              <w:left w:w="56" w:type="dxa"/>
              <w:bottom w:w="56" w:type="dxa"/>
              <w:right w:w="56" w:type="dxa"/>
            </w:tcMar>
          </w:tcPr>
          <w:p w14:paraId="0C27666A" w14:textId="77777777" w:rsidR="00F5389C" w:rsidRDefault="00F5389C">
            <w:pPr>
              <w:spacing w:line="240" w:lineRule="auto"/>
              <w:jc w:val="center"/>
              <w:rPr>
                <w:sz w:val="24"/>
                <w:szCs w:val="24"/>
              </w:rPr>
            </w:pPr>
          </w:p>
        </w:tc>
      </w:tr>
      <w:tr w:rsidR="00F5389C" w14:paraId="57CDA711"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6EB3436C" w14:textId="77777777" w:rsidR="00F5389C" w:rsidRDefault="00F5389C">
            <w:pPr>
              <w:spacing w:line="240" w:lineRule="auto"/>
              <w:jc w:val="center"/>
              <w:rPr>
                <w:sz w:val="24"/>
                <w:szCs w:val="24"/>
              </w:rPr>
            </w:pPr>
            <w:r>
              <w:rPr>
                <w:sz w:val="24"/>
                <w:szCs w:val="24"/>
              </w:rPr>
              <w:t>11</w:t>
            </w:r>
          </w:p>
        </w:tc>
        <w:tc>
          <w:tcPr>
            <w:tcW w:w="1194" w:type="dxa"/>
            <w:tcBorders>
              <w:top w:val="nil"/>
              <w:left w:val="nil"/>
              <w:bottom w:val="nil"/>
              <w:right w:val="nil"/>
            </w:tcBorders>
            <w:tcMar>
              <w:top w:w="56" w:type="dxa"/>
              <w:left w:w="56" w:type="dxa"/>
              <w:bottom w:w="56" w:type="dxa"/>
              <w:right w:w="56" w:type="dxa"/>
            </w:tcMar>
          </w:tcPr>
          <w:p w14:paraId="6E2E7A4C" w14:textId="77777777" w:rsidR="00F5389C" w:rsidRDefault="00F5389C">
            <w:pPr>
              <w:spacing w:line="240" w:lineRule="auto"/>
              <w:jc w:val="center"/>
              <w:rPr>
                <w:sz w:val="24"/>
                <w:szCs w:val="24"/>
              </w:rPr>
            </w:pPr>
          </w:p>
        </w:tc>
        <w:tc>
          <w:tcPr>
            <w:tcW w:w="907" w:type="dxa"/>
            <w:tcBorders>
              <w:top w:val="nil"/>
              <w:left w:val="nil"/>
              <w:bottom w:val="nil"/>
              <w:right w:val="nil"/>
            </w:tcBorders>
            <w:tcMar>
              <w:top w:w="56" w:type="dxa"/>
              <w:left w:w="56" w:type="dxa"/>
              <w:bottom w:w="56" w:type="dxa"/>
              <w:right w:w="56" w:type="dxa"/>
            </w:tcMar>
            <w:hideMark/>
          </w:tcPr>
          <w:p w14:paraId="08169D64" w14:textId="77777777" w:rsidR="00F5389C" w:rsidRDefault="00F5389C">
            <w:pPr>
              <w:spacing w:line="240" w:lineRule="auto"/>
              <w:jc w:val="center"/>
              <w:rPr>
                <w:sz w:val="24"/>
                <w:szCs w:val="24"/>
              </w:rPr>
            </w:pPr>
            <w:r>
              <w:rPr>
                <w:sz w:val="24"/>
                <w:szCs w:val="24"/>
              </w:rPr>
              <w:t>19.6</w:t>
            </w:r>
          </w:p>
        </w:tc>
        <w:tc>
          <w:tcPr>
            <w:tcW w:w="907" w:type="dxa"/>
            <w:tcBorders>
              <w:top w:val="nil"/>
              <w:left w:val="nil"/>
              <w:bottom w:val="nil"/>
              <w:right w:val="nil"/>
            </w:tcBorders>
            <w:tcMar>
              <w:top w:w="56" w:type="dxa"/>
              <w:left w:w="56" w:type="dxa"/>
              <w:bottom w:w="56" w:type="dxa"/>
              <w:right w:w="56" w:type="dxa"/>
            </w:tcMar>
            <w:hideMark/>
          </w:tcPr>
          <w:p w14:paraId="66A0A878" w14:textId="77777777" w:rsidR="00F5389C" w:rsidRDefault="00F5389C">
            <w:pPr>
              <w:spacing w:line="240" w:lineRule="auto"/>
              <w:jc w:val="center"/>
              <w:rPr>
                <w:sz w:val="24"/>
                <w:szCs w:val="24"/>
              </w:rPr>
            </w:pPr>
            <w:r>
              <w:rPr>
                <w:sz w:val="24"/>
                <w:szCs w:val="24"/>
              </w:rPr>
              <w:t>20.3</w:t>
            </w:r>
          </w:p>
        </w:tc>
        <w:tc>
          <w:tcPr>
            <w:tcW w:w="892" w:type="dxa"/>
            <w:tcBorders>
              <w:top w:val="nil"/>
              <w:left w:val="nil"/>
              <w:bottom w:val="nil"/>
              <w:right w:val="nil"/>
            </w:tcBorders>
            <w:tcMar>
              <w:top w:w="56" w:type="dxa"/>
              <w:left w:w="56" w:type="dxa"/>
              <w:bottom w:w="56" w:type="dxa"/>
              <w:right w:w="56" w:type="dxa"/>
            </w:tcMar>
            <w:hideMark/>
          </w:tcPr>
          <w:p w14:paraId="3C6BE4B4" w14:textId="77777777" w:rsidR="00F5389C" w:rsidRDefault="00F5389C">
            <w:pPr>
              <w:spacing w:line="240" w:lineRule="auto"/>
              <w:jc w:val="center"/>
              <w:rPr>
                <w:sz w:val="24"/>
                <w:szCs w:val="24"/>
              </w:rPr>
            </w:pPr>
            <w:r>
              <w:rPr>
                <w:sz w:val="24"/>
                <w:szCs w:val="24"/>
              </w:rPr>
              <w:t>26.3</w:t>
            </w:r>
          </w:p>
        </w:tc>
        <w:tc>
          <w:tcPr>
            <w:tcW w:w="1051" w:type="dxa"/>
            <w:tcBorders>
              <w:top w:val="nil"/>
              <w:left w:val="nil"/>
              <w:bottom w:val="nil"/>
              <w:right w:val="nil"/>
            </w:tcBorders>
            <w:tcMar>
              <w:top w:w="56" w:type="dxa"/>
              <w:left w:w="56" w:type="dxa"/>
              <w:bottom w:w="56" w:type="dxa"/>
              <w:right w:w="56" w:type="dxa"/>
            </w:tcMar>
            <w:hideMark/>
          </w:tcPr>
          <w:p w14:paraId="12319074" w14:textId="77777777" w:rsidR="00F5389C" w:rsidRDefault="00F5389C">
            <w:pPr>
              <w:spacing w:line="240" w:lineRule="auto"/>
              <w:jc w:val="center"/>
              <w:rPr>
                <w:sz w:val="24"/>
                <w:szCs w:val="24"/>
              </w:rPr>
            </w:pPr>
            <w:r>
              <w:rPr>
                <w:sz w:val="24"/>
                <w:szCs w:val="24"/>
              </w:rPr>
              <w:t>POS</w:t>
            </w:r>
          </w:p>
        </w:tc>
        <w:tc>
          <w:tcPr>
            <w:tcW w:w="700" w:type="dxa"/>
            <w:tcBorders>
              <w:top w:val="nil"/>
              <w:left w:val="nil"/>
              <w:bottom w:val="nil"/>
              <w:right w:val="nil"/>
            </w:tcBorders>
            <w:tcMar>
              <w:top w:w="56" w:type="dxa"/>
              <w:left w:w="56" w:type="dxa"/>
              <w:bottom w:w="56" w:type="dxa"/>
              <w:right w:w="56" w:type="dxa"/>
            </w:tcMar>
          </w:tcPr>
          <w:p w14:paraId="127F7B6C" w14:textId="77777777" w:rsidR="00F5389C" w:rsidRDefault="00F5389C">
            <w:pPr>
              <w:spacing w:line="240" w:lineRule="auto"/>
              <w:jc w:val="center"/>
              <w:rPr>
                <w:sz w:val="24"/>
                <w:szCs w:val="24"/>
              </w:rPr>
            </w:pPr>
          </w:p>
        </w:tc>
        <w:tc>
          <w:tcPr>
            <w:tcW w:w="920" w:type="dxa"/>
            <w:tcBorders>
              <w:top w:val="nil"/>
              <w:left w:val="nil"/>
              <w:bottom w:val="nil"/>
              <w:right w:val="nil"/>
            </w:tcBorders>
            <w:tcMar>
              <w:top w:w="56" w:type="dxa"/>
              <w:left w:w="56" w:type="dxa"/>
              <w:bottom w:w="56" w:type="dxa"/>
              <w:right w:w="56" w:type="dxa"/>
            </w:tcMar>
          </w:tcPr>
          <w:p w14:paraId="3FAEAA70" w14:textId="77777777" w:rsidR="00F5389C" w:rsidRDefault="00F5389C">
            <w:pPr>
              <w:spacing w:line="240" w:lineRule="auto"/>
              <w:jc w:val="center"/>
              <w:rPr>
                <w:sz w:val="24"/>
                <w:szCs w:val="24"/>
              </w:rPr>
            </w:pPr>
          </w:p>
        </w:tc>
        <w:tc>
          <w:tcPr>
            <w:tcW w:w="920" w:type="dxa"/>
            <w:tcBorders>
              <w:top w:val="nil"/>
              <w:left w:val="nil"/>
              <w:bottom w:val="nil"/>
              <w:right w:val="nil"/>
            </w:tcBorders>
            <w:tcMar>
              <w:top w:w="56" w:type="dxa"/>
              <w:left w:w="56" w:type="dxa"/>
              <w:bottom w:w="56" w:type="dxa"/>
              <w:right w:w="56" w:type="dxa"/>
            </w:tcMar>
          </w:tcPr>
          <w:p w14:paraId="2ACD5A1D" w14:textId="77777777" w:rsidR="00F5389C" w:rsidRDefault="00F5389C">
            <w:pPr>
              <w:spacing w:line="240" w:lineRule="auto"/>
              <w:jc w:val="center"/>
              <w:rPr>
                <w:sz w:val="24"/>
                <w:szCs w:val="24"/>
              </w:rPr>
            </w:pPr>
          </w:p>
        </w:tc>
        <w:tc>
          <w:tcPr>
            <w:tcW w:w="975" w:type="dxa"/>
            <w:tcBorders>
              <w:top w:val="nil"/>
              <w:left w:val="nil"/>
              <w:bottom w:val="nil"/>
              <w:right w:val="nil"/>
            </w:tcBorders>
            <w:tcMar>
              <w:top w:w="56" w:type="dxa"/>
              <w:left w:w="56" w:type="dxa"/>
              <w:bottom w:w="56" w:type="dxa"/>
              <w:right w:w="56" w:type="dxa"/>
            </w:tcMar>
          </w:tcPr>
          <w:p w14:paraId="2306D2B1" w14:textId="77777777" w:rsidR="00F5389C" w:rsidRDefault="00F5389C">
            <w:pPr>
              <w:spacing w:line="240" w:lineRule="auto"/>
              <w:jc w:val="center"/>
              <w:rPr>
                <w:sz w:val="24"/>
                <w:szCs w:val="24"/>
              </w:rPr>
            </w:pPr>
          </w:p>
        </w:tc>
      </w:tr>
      <w:tr w:rsidR="00F5389C" w14:paraId="5EBE908B"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078F1E0E" w14:textId="77777777" w:rsidR="00F5389C" w:rsidRDefault="00F5389C">
            <w:pPr>
              <w:spacing w:line="240" w:lineRule="auto"/>
              <w:jc w:val="center"/>
              <w:rPr>
                <w:color w:val="FF0000"/>
                <w:sz w:val="24"/>
                <w:szCs w:val="24"/>
              </w:rPr>
            </w:pPr>
            <w:r>
              <w:rPr>
                <w:color w:val="FF0000"/>
                <w:sz w:val="24"/>
                <w:szCs w:val="24"/>
              </w:rPr>
              <w:t>13</w:t>
            </w:r>
          </w:p>
        </w:tc>
        <w:tc>
          <w:tcPr>
            <w:tcW w:w="1194" w:type="dxa"/>
            <w:tcBorders>
              <w:top w:val="nil"/>
              <w:left w:val="nil"/>
              <w:bottom w:val="nil"/>
              <w:right w:val="nil"/>
            </w:tcBorders>
            <w:tcMar>
              <w:top w:w="56" w:type="dxa"/>
              <w:left w:w="56" w:type="dxa"/>
              <w:bottom w:w="56" w:type="dxa"/>
              <w:right w:w="56" w:type="dxa"/>
            </w:tcMar>
          </w:tcPr>
          <w:p w14:paraId="1880C1A0" w14:textId="77777777" w:rsidR="00F5389C" w:rsidRDefault="00F5389C">
            <w:pPr>
              <w:spacing w:line="240" w:lineRule="auto"/>
              <w:jc w:val="center"/>
              <w:rPr>
                <w:color w:val="FF0000"/>
                <w:sz w:val="24"/>
                <w:szCs w:val="24"/>
              </w:rPr>
            </w:pPr>
          </w:p>
        </w:tc>
        <w:tc>
          <w:tcPr>
            <w:tcW w:w="907" w:type="dxa"/>
            <w:tcBorders>
              <w:top w:val="nil"/>
              <w:left w:val="nil"/>
              <w:bottom w:val="nil"/>
              <w:right w:val="nil"/>
            </w:tcBorders>
            <w:tcMar>
              <w:top w:w="56" w:type="dxa"/>
              <w:left w:w="56" w:type="dxa"/>
              <w:bottom w:w="56" w:type="dxa"/>
              <w:right w:w="56" w:type="dxa"/>
            </w:tcMar>
            <w:hideMark/>
          </w:tcPr>
          <w:p w14:paraId="1E90D5FE" w14:textId="77777777" w:rsidR="00F5389C" w:rsidRDefault="00F5389C">
            <w:pPr>
              <w:spacing w:line="240" w:lineRule="auto"/>
              <w:jc w:val="center"/>
              <w:rPr>
                <w:color w:val="FF0000"/>
                <w:sz w:val="24"/>
                <w:szCs w:val="24"/>
              </w:rPr>
            </w:pPr>
            <w:r>
              <w:rPr>
                <w:color w:val="FF0000"/>
                <w:sz w:val="24"/>
                <w:szCs w:val="24"/>
              </w:rPr>
              <w:t>21.6</w:t>
            </w:r>
          </w:p>
        </w:tc>
        <w:tc>
          <w:tcPr>
            <w:tcW w:w="907" w:type="dxa"/>
            <w:tcBorders>
              <w:top w:val="nil"/>
              <w:left w:val="nil"/>
              <w:bottom w:val="nil"/>
              <w:right w:val="nil"/>
            </w:tcBorders>
            <w:tcMar>
              <w:top w:w="56" w:type="dxa"/>
              <w:left w:w="56" w:type="dxa"/>
              <w:bottom w:w="56" w:type="dxa"/>
              <w:right w:w="56" w:type="dxa"/>
            </w:tcMar>
            <w:hideMark/>
          </w:tcPr>
          <w:p w14:paraId="356E33F6" w14:textId="77777777" w:rsidR="00F5389C" w:rsidRDefault="00F5389C">
            <w:pPr>
              <w:spacing w:line="240" w:lineRule="auto"/>
              <w:jc w:val="center"/>
              <w:rPr>
                <w:color w:val="FF0000"/>
                <w:sz w:val="24"/>
                <w:szCs w:val="24"/>
              </w:rPr>
            </w:pPr>
            <w:r>
              <w:rPr>
                <w:color w:val="FF0000"/>
                <w:sz w:val="24"/>
                <w:szCs w:val="24"/>
              </w:rPr>
              <w:t>21.2</w:t>
            </w:r>
          </w:p>
        </w:tc>
        <w:tc>
          <w:tcPr>
            <w:tcW w:w="892" w:type="dxa"/>
            <w:tcBorders>
              <w:top w:val="nil"/>
              <w:left w:val="nil"/>
              <w:bottom w:val="nil"/>
              <w:right w:val="nil"/>
            </w:tcBorders>
            <w:tcMar>
              <w:top w:w="56" w:type="dxa"/>
              <w:left w:w="56" w:type="dxa"/>
              <w:bottom w:w="56" w:type="dxa"/>
              <w:right w:w="56" w:type="dxa"/>
            </w:tcMar>
          </w:tcPr>
          <w:p w14:paraId="5FCC312B" w14:textId="77777777" w:rsidR="00F5389C" w:rsidRDefault="00F5389C">
            <w:pPr>
              <w:spacing w:line="240" w:lineRule="auto"/>
              <w:jc w:val="center"/>
              <w:rPr>
                <w:color w:val="FF0000"/>
                <w:sz w:val="24"/>
                <w:szCs w:val="24"/>
              </w:rPr>
            </w:pPr>
          </w:p>
        </w:tc>
        <w:tc>
          <w:tcPr>
            <w:tcW w:w="1051" w:type="dxa"/>
            <w:tcBorders>
              <w:top w:val="nil"/>
              <w:left w:val="nil"/>
              <w:bottom w:val="nil"/>
              <w:right w:val="nil"/>
            </w:tcBorders>
            <w:tcMar>
              <w:top w:w="56" w:type="dxa"/>
              <w:left w:w="56" w:type="dxa"/>
              <w:bottom w:w="56" w:type="dxa"/>
              <w:right w:w="56" w:type="dxa"/>
            </w:tcMar>
            <w:hideMark/>
          </w:tcPr>
          <w:p w14:paraId="37871F6E" w14:textId="77777777" w:rsidR="00F5389C" w:rsidRDefault="00F5389C">
            <w:pPr>
              <w:spacing w:line="240" w:lineRule="auto"/>
              <w:jc w:val="center"/>
              <w:rPr>
                <w:color w:val="FF0000"/>
                <w:sz w:val="24"/>
                <w:szCs w:val="24"/>
              </w:rPr>
            </w:pPr>
            <w:r>
              <w:rPr>
                <w:color w:val="FF0000"/>
                <w:sz w:val="24"/>
                <w:szCs w:val="24"/>
              </w:rPr>
              <w:t>POS</w:t>
            </w:r>
          </w:p>
        </w:tc>
        <w:tc>
          <w:tcPr>
            <w:tcW w:w="700" w:type="dxa"/>
            <w:tcBorders>
              <w:top w:val="nil"/>
              <w:left w:val="nil"/>
              <w:bottom w:val="nil"/>
              <w:right w:val="nil"/>
            </w:tcBorders>
            <w:tcMar>
              <w:top w:w="56" w:type="dxa"/>
              <w:left w:w="56" w:type="dxa"/>
              <w:bottom w:w="56" w:type="dxa"/>
              <w:right w:w="56" w:type="dxa"/>
            </w:tcMar>
          </w:tcPr>
          <w:p w14:paraId="55CD8C83" w14:textId="77777777" w:rsidR="00F5389C" w:rsidRDefault="00F5389C">
            <w:pPr>
              <w:spacing w:line="240" w:lineRule="auto"/>
              <w:jc w:val="center"/>
              <w:rPr>
                <w:color w:val="FF0000"/>
                <w:sz w:val="24"/>
                <w:szCs w:val="24"/>
              </w:rPr>
            </w:pPr>
          </w:p>
        </w:tc>
        <w:tc>
          <w:tcPr>
            <w:tcW w:w="920" w:type="dxa"/>
            <w:tcBorders>
              <w:top w:val="nil"/>
              <w:left w:val="nil"/>
              <w:bottom w:val="nil"/>
              <w:right w:val="nil"/>
            </w:tcBorders>
            <w:tcMar>
              <w:top w:w="56" w:type="dxa"/>
              <w:left w:w="56" w:type="dxa"/>
              <w:bottom w:w="56" w:type="dxa"/>
              <w:right w:w="56" w:type="dxa"/>
            </w:tcMar>
          </w:tcPr>
          <w:p w14:paraId="4994575B" w14:textId="77777777" w:rsidR="00F5389C" w:rsidRDefault="00F5389C">
            <w:pPr>
              <w:spacing w:line="240" w:lineRule="auto"/>
              <w:jc w:val="center"/>
              <w:rPr>
                <w:sz w:val="24"/>
                <w:szCs w:val="24"/>
              </w:rPr>
            </w:pPr>
          </w:p>
        </w:tc>
        <w:tc>
          <w:tcPr>
            <w:tcW w:w="920" w:type="dxa"/>
            <w:tcBorders>
              <w:top w:val="nil"/>
              <w:left w:val="nil"/>
              <w:bottom w:val="nil"/>
              <w:right w:val="nil"/>
            </w:tcBorders>
            <w:tcMar>
              <w:top w:w="56" w:type="dxa"/>
              <w:left w:w="56" w:type="dxa"/>
              <w:bottom w:w="56" w:type="dxa"/>
              <w:right w:w="56" w:type="dxa"/>
            </w:tcMar>
          </w:tcPr>
          <w:p w14:paraId="5AE808C3" w14:textId="77777777" w:rsidR="00F5389C" w:rsidRDefault="00F5389C">
            <w:pPr>
              <w:spacing w:line="240" w:lineRule="auto"/>
              <w:jc w:val="center"/>
              <w:rPr>
                <w:sz w:val="24"/>
                <w:szCs w:val="24"/>
              </w:rPr>
            </w:pPr>
          </w:p>
        </w:tc>
        <w:tc>
          <w:tcPr>
            <w:tcW w:w="975" w:type="dxa"/>
            <w:tcBorders>
              <w:top w:val="nil"/>
              <w:left w:val="nil"/>
              <w:bottom w:val="nil"/>
              <w:right w:val="nil"/>
            </w:tcBorders>
            <w:tcMar>
              <w:top w:w="56" w:type="dxa"/>
              <w:left w:w="56" w:type="dxa"/>
              <w:bottom w:w="56" w:type="dxa"/>
              <w:right w:w="56" w:type="dxa"/>
            </w:tcMar>
          </w:tcPr>
          <w:p w14:paraId="12A4FE5A" w14:textId="77777777" w:rsidR="00F5389C" w:rsidRDefault="00F5389C">
            <w:pPr>
              <w:spacing w:line="240" w:lineRule="auto"/>
              <w:jc w:val="center"/>
              <w:rPr>
                <w:sz w:val="24"/>
                <w:szCs w:val="24"/>
              </w:rPr>
            </w:pPr>
          </w:p>
        </w:tc>
      </w:tr>
      <w:tr w:rsidR="00F5389C" w14:paraId="57FAAA48"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4FBC1A22" w14:textId="77777777" w:rsidR="00F5389C" w:rsidRDefault="00F5389C">
            <w:pPr>
              <w:spacing w:line="240" w:lineRule="auto"/>
              <w:jc w:val="center"/>
              <w:rPr>
                <w:sz w:val="24"/>
                <w:szCs w:val="24"/>
              </w:rPr>
            </w:pPr>
            <w:r>
              <w:rPr>
                <w:sz w:val="24"/>
                <w:szCs w:val="24"/>
              </w:rPr>
              <w:t>15</w:t>
            </w:r>
          </w:p>
        </w:tc>
        <w:tc>
          <w:tcPr>
            <w:tcW w:w="1194" w:type="dxa"/>
            <w:tcBorders>
              <w:top w:val="nil"/>
              <w:left w:val="nil"/>
              <w:bottom w:val="nil"/>
              <w:right w:val="nil"/>
            </w:tcBorders>
            <w:tcMar>
              <w:top w:w="56" w:type="dxa"/>
              <w:left w:w="56" w:type="dxa"/>
              <w:bottom w:w="56" w:type="dxa"/>
              <w:right w:w="56" w:type="dxa"/>
            </w:tcMar>
          </w:tcPr>
          <w:p w14:paraId="7E436AEE" w14:textId="77777777" w:rsidR="00F5389C" w:rsidRDefault="00F5389C">
            <w:pPr>
              <w:spacing w:line="240" w:lineRule="auto"/>
              <w:jc w:val="center"/>
              <w:rPr>
                <w:sz w:val="24"/>
                <w:szCs w:val="24"/>
              </w:rPr>
            </w:pPr>
          </w:p>
        </w:tc>
        <w:tc>
          <w:tcPr>
            <w:tcW w:w="907" w:type="dxa"/>
            <w:tcBorders>
              <w:top w:val="nil"/>
              <w:left w:val="nil"/>
              <w:bottom w:val="nil"/>
              <w:right w:val="nil"/>
            </w:tcBorders>
            <w:tcMar>
              <w:top w:w="56" w:type="dxa"/>
              <w:left w:w="56" w:type="dxa"/>
              <w:bottom w:w="56" w:type="dxa"/>
              <w:right w:w="56" w:type="dxa"/>
            </w:tcMar>
            <w:hideMark/>
          </w:tcPr>
          <w:p w14:paraId="7B6A31D4" w14:textId="77777777" w:rsidR="00F5389C" w:rsidRDefault="00F5389C">
            <w:pPr>
              <w:spacing w:line="240" w:lineRule="auto"/>
              <w:jc w:val="center"/>
              <w:rPr>
                <w:sz w:val="24"/>
                <w:szCs w:val="24"/>
              </w:rPr>
            </w:pPr>
            <w:r>
              <w:rPr>
                <w:sz w:val="24"/>
                <w:szCs w:val="24"/>
              </w:rPr>
              <w:t>29.7</w:t>
            </w:r>
          </w:p>
        </w:tc>
        <w:tc>
          <w:tcPr>
            <w:tcW w:w="907" w:type="dxa"/>
            <w:tcBorders>
              <w:top w:val="nil"/>
              <w:left w:val="nil"/>
              <w:bottom w:val="nil"/>
              <w:right w:val="nil"/>
            </w:tcBorders>
            <w:tcMar>
              <w:top w:w="56" w:type="dxa"/>
              <w:left w:w="56" w:type="dxa"/>
              <w:bottom w:w="56" w:type="dxa"/>
              <w:right w:w="56" w:type="dxa"/>
            </w:tcMar>
            <w:hideMark/>
          </w:tcPr>
          <w:p w14:paraId="34069E82" w14:textId="77777777" w:rsidR="00F5389C" w:rsidRDefault="00F5389C">
            <w:pPr>
              <w:spacing w:line="240" w:lineRule="auto"/>
              <w:jc w:val="center"/>
              <w:rPr>
                <w:sz w:val="24"/>
                <w:szCs w:val="24"/>
              </w:rPr>
            </w:pPr>
            <w:r>
              <w:rPr>
                <w:sz w:val="24"/>
                <w:szCs w:val="24"/>
              </w:rPr>
              <w:t>30.9</w:t>
            </w:r>
          </w:p>
        </w:tc>
        <w:tc>
          <w:tcPr>
            <w:tcW w:w="892" w:type="dxa"/>
            <w:tcBorders>
              <w:top w:val="nil"/>
              <w:left w:val="nil"/>
              <w:bottom w:val="nil"/>
              <w:right w:val="nil"/>
            </w:tcBorders>
            <w:tcMar>
              <w:top w:w="56" w:type="dxa"/>
              <w:left w:w="56" w:type="dxa"/>
              <w:bottom w:w="56" w:type="dxa"/>
              <w:right w:w="56" w:type="dxa"/>
            </w:tcMar>
            <w:hideMark/>
          </w:tcPr>
          <w:p w14:paraId="7CFBAAE1" w14:textId="77777777" w:rsidR="00F5389C" w:rsidRDefault="00F5389C">
            <w:pPr>
              <w:spacing w:line="240" w:lineRule="auto"/>
              <w:jc w:val="center"/>
              <w:rPr>
                <w:sz w:val="24"/>
                <w:szCs w:val="24"/>
              </w:rPr>
            </w:pPr>
            <w:r>
              <w:rPr>
                <w:sz w:val="24"/>
                <w:szCs w:val="24"/>
              </w:rPr>
              <w:t>24.6</w:t>
            </w:r>
          </w:p>
        </w:tc>
        <w:tc>
          <w:tcPr>
            <w:tcW w:w="1051" w:type="dxa"/>
            <w:tcBorders>
              <w:top w:val="nil"/>
              <w:left w:val="nil"/>
              <w:bottom w:val="nil"/>
              <w:right w:val="nil"/>
            </w:tcBorders>
            <w:tcMar>
              <w:top w:w="56" w:type="dxa"/>
              <w:left w:w="56" w:type="dxa"/>
              <w:bottom w:w="56" w:type="dxa"/>
              <w:right w:w="56" w:type="dxa"/>
            </w:tcMar>
            <w:hideMark/>
          </w:tcPr>
          <w:p w14:paraId="5DD768C8" w14:textId="77777777" w:rsidR="00F5389C" w:rsidRDefault="00F5389C">
            <w:pPr>
              <w:spacing w:line="240" w:lineRule="auto"/>
              <w:jc w:val="center"/>
              <w:rPr>
                <w:sz w:val="24"/>
                <w:szCs w:val="24"/>
              </w:rPr>
            </w:pPr>
            <w:r>
              <w:rPr>
                <w:sz w:val="24"/>
                <w:szCs w:val="24"/>
              </w:rPr>
              <w:t>POS</w:t>
            </w:r>
          </w:p>
        </w:tc>
        <w:tc>
          <w:tcPr>
            <w:tcW w:w="700" w:type="dxa"/>
            <w:tcBorders>
              <w:top w:val="nil"/>
              <w:left w:val="nil"/>
              <w:bottom w:val="nil"/>
              <w:right w:val="nil"/>
            </w:tcBorders>
            <w:tcMar>
              <w:top w:w="56" w:type="dxa"/>
              <w:left w:w="56" w:type="dxa"/>
              <w:bottom w:w="56" w:type="dxa"/>
              <w:right w:w="56" w:type="dxa"/>
            </w:tcMar>
            <w:hideMark/>
          </w:tcPr>
          <w:p w14:paraId="2BDBA1FD" w14:textId="77777777" w:rsidR="00F5389C" w:rsidRDefault="00F5389C">
            <w:pPr>
              <w:spacing w:line="240" w:lineRule="auto"/>
              <w:jc w:val="center"/>
              <w:rPr>
                <w:sz w:val="24"/>
                <w:szCs w:val="24"/>
              </w:rPr>
            </w:pPr>
            <w:r>
              <w:rPr>
                <w:sz w:val="24"/>
                <w:szCs w:val="24"/>
              </w:rPr>
              <w:t>24.4</w:t>
            </w:r>
          </w:p>
        </w:tc>
        <w:tc>
          <w:tcPr>
            <w:tcW w:w="920" w:type="dxa"/>
            <w:tcBorders>
              <w:top w:val="nil"/>
              <w:left w:val="nil"/>
              <w:bottom w:val="nil"/>
              <w:right w:val="nil"/>
            </w:tcBorders>
            <w:tcMar>
              <w:top w:w="56" w:type="dxa"/>
              <w:left w:w="56" w:type="dxa"/>
              <w:bottom w:w="56" w:type="dxa"/>
              <w:right w:w="56" w:type="dxa"/>
            </w:tcMar>
            <w:hideMark/>
          </w:tcPr>
          <w:p w14:paraId="23E23EE1" w14:textId="77777777" w:rsidR="00F5389C" w:rsidRDefault="00F5389C">
            <w:pPr>
              <w:spacing w:line="240" w:lineRule="auto"/>
              <w:jc w:val="center"/>
              <w:rPr>
                <w:sz w:val="24"/>
                <w:szCs w:val="24"/>
              </w:rPr>
            </w:pPr>
            <w:r>
              <w:rPr>
                <w:sz w:val="24"/>
                <w:szCs w:val="24"/>
              </w:rPr>
              <w:t>26.0</w:t>
            </w:r>
          </w:p>
        </w:tc>
        <w:tc>
          <w:tcPr>
            <w:tcW w:w="920" w:type="dxa"/>
            <w:tcBorders>
              <w:top w:val="nil"/>
              <w:left w:val="nil"/>
              <w:bottom w:val="nil"/>
              <w:right w:val="nil"/>
            </w:tcBorders>
            <w:tcMar>
              <w:top w:w="56" w:type="dxa"/>
              <w:left w:w="56" w:type="dxa"/>
              <w:bottom w:w="56" w:type="dxa"/>
              <w:right w:w="56" w:type="dxa"/>
            </w:tcMar>
            <w:hideMark/>
          </w:tcPr>
          <w:p w14:paraId="3992FAA8" w14:textId="77777777" w:rsidR="00F5389C" w:rsidRDefault="00F5389C">
            <w:pPr>
              <w:spacing w:line="240" w:lineRule="auto"/>
              <w:jc w:val="center"/>
              <w:rPr>
                <w:sz w:val="24"/>
                <w:szCs w:val="24"/>
              </w:rPr>
            </w:pPr>
            <w:r>
              <w:rPr>
                <w:sz w:val="24"/>
                <w:szCs w:val="24"/>
              </w:rPr>
              <w:t>21.4</w:t>
            </w:r>
          </w:p>
        </w:tc>
        <w:tc>
          <w:tcPr>
            <w:tcW w:w="975" w:type="dxa"/>
            <w:tcBorders>
              <w:top w:val="nil"/>
              <w:left w:val="nil"/>
              <w:bottom w:val="nil"/>
              <w:right w:val="nil"/>
            </w:tcBorders>
            <w:tcMar>
              <w:top w:w="56" w:type="dxa"/>
              <w:left w:w="56" w:type="dxa"/>
              <w:bottom w:w="56" w:type="dxa"/>
              <w:right w:w="56" w:type="dxa"/>
            </w:tcMar>
            <w:hideMark/>
          </w:tcPr>
          <w:p w14:paraId="56A6CC5B" w14:textId="77777777" w:rsidR="00F5389C" w:rsidRDefault="00F5389C">
            <w:pPr>
              <w:spacing w:line="240" w:lineRule="auto"/>
              <w:jc w:val="center"/>
              <w:rPr>
                <w:sz w:val="24"/>
                <w:szCs w:val="24"/>
              </w:rPr>
            </w:pPr>
            <w:r>
              <w:rPr>
                <w:sz w:val="24"/>
                <w:szCs w:val="24"/>
              </w:rPr>
              <w:t>POS</w:t>
            </w:r>
          </w:p>
        </w:tc>
      </w:tr>
      <w:tr w:rsidR="00F5389C" w14:paraId="43355033"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46636339" w14:textId="77777777" w:rsidR="00F5389C" w:rsidRDefault="00F5389C">
            <w:pPr>
              <w:spacing w:line="240" w:lineRule="auto"/>
              <w:jc w:val="center"/>
              <w:rPr>
                <w:color w:val="FF0000"/>
                <w:sz w:val="24"/>
                <w:szCs w:val="24"/>
              </w:rPr>
            </w:pPr>
            <w:r>
              <w:rPr>
                <w:color w:val="FF0000"/>
                <w:sz w:val="24"/>
                <w:szCs w:val="24"/>
              </w:rPr>
              <w:t>16</w:t>
            </w:r>
          </w:p>
        </w:tc>
        <w:tc>
          <w:tcPr>
            <w:tcW w:w="1194" w:type="dxa"/>
            <w:tcBorders>
              <w:top w:val="nil"/>
              <w:left w:val="nil"/>
              <w:bottom w:val="nil"/>
              <w:right w:val="nil"/>
            </w:tcBorders>
            <w:tcMar>
              <w:top w:w="56" w:type="dxa"/>
              <w:left w:w="56" w:type="dxa"/>
              <w:bottom w:w="56" w:type="dxa"/>
              <w:right w:w="56" w:type="dxa"/>
            </w:tcMar>
          </w:tcPr>
          <w:p w14:paraId="6DE25E17" w14:textId="77777777" w:rsidR="00F5389C" w:rsidRDefault="00F5389C">
            <w:pPr>
              <w:spacing w:line="240" w:lineRule="auto"/>
              <w:jc w:val="center"/>
              <w:rPr>
                <w:color w:val="FF0000"/>
                <w:sz w:val="24"/>
                <w:szCs w:val="24"/>
              </w:rPr>
            </w:pPr>
          </w:p>
        </w:tc>
        <w:tc>
          <w:tcPr>
            <w:tcW w:w="907" w:type="dxa"/>
            <w:tcBorders>
              <w:top w:val="nil"/>
              <w:left w:val="nil"/>
              <w:bottom w:val="nil"/>
              <w:right w:val="nil"/>
            </w:tcBorders>
            <w:tcMar>
              <w:top w:w="56" w:type="dxa"/>
              <w:left w:w="56" w:type="dxa"/>
              <w:bottom w:w="56" w:type="dxa"/>
              <w:right w:w="56" w:type="dxa"/>
            </w:tcMar>
            <w:hideMark/>
          </w:tcPr>
          <w:p w14:paraId="20409723" w14:textId="77777777" w:rsidR="00F5389C" w:rsidRDefault="00F5389C">
            <w:pPr>
              <w:spacing w:line="240" w:lineRule="auto"/>
              <w:jc w:val="center"/>
              <w:rPr>
                <w:color w:val="FF0000"/>
                <w:sz w:val="24"/>
                <w:szCs w:val="24"/>
              </w:rPr>
            </w:pPr>
            <w:r>
              <w:rPr>
                <w:color w:val="FF0000"/>
                <w:sz w:val="24"/>
                <w:szCs w:val="24"/>
              </w:rPr>
              <w:t>31.5</w:t>
            </w:r>
          </w:p>
        </w:tc>
        <w:tc>
          <w:tcPr>
            <w:tcW w:w="907" w:type="dxa"/>
            <w:tcBorders>
              <w:top w:val="nil"/>
              <w:left w:val="nil"/>
              <w:bottom w:val="nil"/>
              <w:right w:val="nil"/>
            </w:tcBorders>
            <w:tcMar>
              <w:top w:w="56" w:type="dxa"/>
              <w:left w:w="56" w:type="dxa"/>
              <w:bottom w:w="56" w:type="dxa"/>
              <w:right w:w="56" w:type="dxa"/>
            </w:tcMar>
            <w:hideMark/>
          </w:tcPr>
          <w:p w14:paraId="68F2DA13" w14:textId="77777777" w:rsidR="00F5389C" w:rsidRDefault="00F5389C">
            <w:pPr>
              <w:spacing w:line="240" w:lineRule="auto"/>
              <w:jc w:val="center"/>
              <w:rPr>
                <w:color w:val="FF0000"/>
                <w:sz w:val="24"/>
                <w:szCs w:val="24"/>
              </w:rPr>
            </w:pPr>
            <w:r>
              <w:rPr>
                <w:color w:val="FF0000"/>
                <w:sz w:val="24"/>
                <w:szCs w:val="24"/>
              </w:rPr>
              <w:t>31.2</w:t>
            </w:r>
          </w:p>
        </w:tc>
        <w:tc>
          <w:tcPr>
            <w:tcW w:w="892" w:type="dxa"/>
            <w:tcBorders>
              <w:top w:val="nil"/>
              <w:left w:val="nil"/>
              <w:bottom w:val="nil"/>
              <w:right w:val="nil"/>
            </w:tcBorders>
            <w:tcMar>
              <w:top w:w="56" w:type="dxa"/>
              <w:left w:w="56" w:type="dxa"/>
              <w:bottom w:w="56" w:type="dxa"/>
              <w:right w:w="56" w:type="dxa"/>
            </w:tcMar>
          </w:tcPr>
          <w:p w14:paraId="47A50C3A" w14:textId="77777777" w:rsidR="00F5389C" w:rsidRDefault="00F5389C">
            <w:pPr>
              <w:spacing w:line="240" w:lineRule="auto"/>
              <w:jc w:val="center"/>
              <w:rPr>
                <w:color w:val="FF0000"/>
                <w:sz w:val="24"/>
                <w:szCs w:val="24"/>
              </w:rPr>
            </w:pPr>
          </w:p>
        </w:tc>
        <w:tc>
          <w:tcPr>
            <w:tcW w:w="1051" w:type="dxa"/>
            <w:tcBorders>
              <w:top w:val="nil"/>
              <w:left w:val="nil"/>
              <w:bottom w:val="nil"/>
              <w:right w:val="nil"/>
            </w:tcBorders>
            <w:tcMar>
              <w:top w:w="56" w:type="dxa"/>
              <w:left w:w="56" w:type="dxa"/>
              <w:bottom w:w="56" w:type="dxa"/>
              <w:right w:w="56" w:type="dxa"/>
            </w:tcMar>
            <w:hideMark/>
          </w:tcPr>
          <w:p w14:paraId="21D2FA8B" w14:textId="77777777" w:rsidR="00F5389C" w:rsidRDefault="00F5389C">
            <w:pPr>
              <w:spacing w:line="240" w:lineRule="auto"/>
              <w:jc w:val="center"/>
              <w:rPr>
                <w:color w:val="FF0000"/>
                <w:sz w:val="24"/>
                <w:szCs w:val="24"/>
              </w:rPr>
            </w:pPr>
            <w:r>
              <w:rPr>
                <w:color w:val="FF0000"/>
                <w:sz w:val="24"/>
                <w:szCs w:val="24"/>
              </w:rPr>
              <w:t>POS</w:t>
            </w:r>
          </w:p>
        </w:tc>
        <w:tc>
          <w:tcPr>
            <w:tcW w:w="700" w:type="dxa"/>
            <w:tcBorders>
              <w:top w:val="nil"/>
              <w:left w:val="nil"/>
              <w:bottom w:val="nil"/>
              <w:right w:val="nil"/>
            </w:tcBorders>
            <w:tcMar>
              <w:top w:w="56" w:type="dxa"/>
              <w:left w:w="56" w:type="dxa"/>
              <w:bottom w:w="56" w:type="dxa"/>
              <w:right w:w="56" w:type="dxa"/>
            </w:tcMar>
          </w:tcPr>
          <w:p w14:paraId="35E2686F" w14:textId="77777777" w:rsidR="00F5389C" w:rsidRDefault="00F5389C">
            <w:pPr>
              <w:spacing w:line="240" w:lineRule="auto"/>
              <w:jc w:val="center"/>
              <w:rPr>
                <w:color w:val="FF0000"/>
                <w:sz w:val="24"/>
                <w:szCs w:val="24"/>
              </w:rPr>
            </w:pPr>
          </w:p>
        </w:tc>
        <w:tc>
          <w:tcPr>
            <w:tcW w:w="920" w:type="dxa"/>
            <w:tcBorders>
              <w:top w:val="nil"/>
              <w:left w:val="nil"/>
              <w:bottom w:val="nil"/>
              <w:right w:val="nil"/>
            </w:tcBorders>
            <w:tcMar>
              <w:top w:w="56" w:type="dxa"/>
              <w:left w:w="56" w:type="dxa"/>
              <w:bottom w:w="56" w:type="dxa"/>
              <w:right w:w="56" w:type="dxa"/>
            </w:tcMar>
          </w:tcPr>
          <w:p w14:paraId="49CD3E2B" w14:textId="77777777" w:rsidR="00F5389C" w:rsidRDefault="00F5389C">
            <w:pPr>
              <w:spacing w:line="240" w:lineRule="auto"/>
              <w:jc w:val="center"/>
              <w:rPr>
                <w:sz w:val="24"/>
                <w:szCs w:val="24"/>
              </w:rPr>
            </w:pPr>
          </w:p>
        </w:tc>
        <w:tc>
          <w:tcPr>
            <w:tcW w:w="920" w:type="dxa"/>
            <w:tcBorders>
              <w:top w:val="nil"/>
              <w:left w:val="nil"/>
              <w:bottom w:val="nil"/>
              <w:right w:val="nil"/>
            </w:tcBorders>
            <w:tcMar>
              <w:top w:w="56" w:type="dxa"/>
              <w:left w:w="56" w:type="dxa"/>
              <w:bottom w:w="56" w:type="dxa"/>
              <w:right w:w="56" w:type="dxa"/>
            </w:tcMar>
          </w:tcPr>
          <w:p w14:paraId="61D6DB46" w14:textId="77777777" w:rsidR="00F5389C" w:rsidRDefault="00F5389C">
            <w:pPr>
              <w:spacing w:line="240" w:lineRule="auto"/>
              <w:jc w:val="center"/>
              <w:rPr>
                <w:sz w:val="24"/>
                <w:szCs w:val="24"/>
              </w:rPr>
            </w:pPr>
          </w:p>
        </w:tc>
        <w:tc>
          <w:tcPr>
            <w:tcW w:w="975" w:type="dxa"/>
            <w:tcBorders>
              <w:top w:val="nil"/>
              <w:left w:val="nil"/>
              <w:bottom w:val="nil"/>
              <w:right w:val="nil"/>
            </w:tcBorders>
            <w:tcMar>
              <w:top w:w="56" w:type="dxa"/>
              <w:left w:w="56" w:type="dxa"/>
              <w:bottom w:w="56" w:type="dxa"/>
              <w:right w:w="56" w:type="dxa"/>
            </w:tcMar>
          </w:tcPr>
          <w:p w14:paraId="0AA6FC9A" w14:textId="77777777" w:rsidR="00F5389C" w:rsidRDefault="00F5389C">
            <w:pPr>
              <w:spacing w:line="240" w:lineRule="auto"/>
              <w:jc w:val="center"/>
              <w:rPr>
                <w:sz w:val="24"/>
                <w:szCs w:val="24"/>
              </w:rPr>
            </w:pPr>
          </w:p>
        </w:tc>
      </w:tr>
      <w:tr w:rsidR="00F5389C" w14:paraId="76C488E9"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6F528D77" w14:textId="77777777" w:rsidR="00F5389C" w:rsidRDefault="00F5389C">
            <w:pPr>
              <w:spacing w:line="240" w:lineRule="auto"/>
              <w:jc w:val="center"/>
              <w:rPr>
                <w:sz w:val="24"/>
                <w:szCs w:val="24"/>
              </w:rPr>
            </w:pPr>
            <w:r>
              <w:rPr>
                <w:sz w:val="24"/>
                <w:szCs w:val="24"/>
              </w:rPr>
              <w:t>19</w:t>
            </w:r>
          </w:p>
        </w:tc>
        <w:tc>
          <w:tcPr>
            <w:tcW w:w="1194" w:type="dxa"/>
            <w:tcBorders>
              <w:top w:val="nil"/>
              <w:left w:val="nil"/>
              <w:bottom w:val="nil"/>
              <w:right w:val="nil"/>
            </w:tcBorders>
            <w:tcMar>
              <w:top w:w="56" w:type="dxa"/>
              <w:left w:w="56" w:type="dxa"/>
              <w:bottom w:w="56" w:type="dxa"/>
              <w:right w:w="56" w:type="dxa"/>
            </w:tcMar>
          </w:tcPr>
          <w:p w14:paraId="4D09FF5F" w14:textId="77777777" w:rsidR="00F5389C" w:rsidRDefault="00F5389C">
            <w:pPr>
              <w:spacing w:line="240" w:lineRule="auto"/>
              <w:jc w:val="center"/>
              <w:rPr>
                <w:sz w:val="24"/>
                <w:szCs w:val="24"/>
              </w:rPr>
            </w:pPr>
          </w:p>
        </w:tc>
        <w:tc>
          <w:tcPr>
            <w:tcW w:w="907" w:type="dxa"/>
            <w:tcBorders>
              <w:top w:val="nil"/>
              <w:left w:val="nil"/>
              <w:bottom w:val="nil"/>
              <w:right w:val="nil"/>
            </w:tcBorders>
            <w:tcMar>
              <w:top w:w="56" w:type="dxa"/>
              <w:left w:w="56" w:type="dxa"/>
              <w:bottom w:w="56" w:type="dxa"/>
              <w:right w:w="56" w:type="dxa"/>
            </w:tcMar>
            <w:hideMark/>
          </w:tcPr>
          <w:p w14:paraId="1396C425" w14:textId="77777777" w:rsidR="00F5389C" w:rsidRDefault="00F5389C">
            <w:pPr>
              <w:spacing w:line="240" w:lineRule="auto"/>
              <w:jc w:val="center"/>
              <w:rPr>
                <w:sz w:val="24"/>
                <w:szCs w:val="24"/>
              </w:rPr>
            </w:pPr>
            <w:r>
              <w:rPr>
                <w:sz w:val="24"/>
                <w:szCs w:val="24"/>
              </w:rPr>
              <w:t>33.2</w:t>
            </w:r>
          </w:p>
        </w:tc>
        <w:tc>
          <w:tcPr>
            <w:tcW w:w="907" w:type="dxa"/>
            <w:tcBorders>
              <w:top w:val="nil"/>
              <w:left w:val="nil"/>
              <w:bottom w:val="nil"/>
              <w:right w:val="nil"/>
            </w:tcBorders>
            <w:tcMar>
              <w:top w:w="56" w:type="dxa"/>
              <w:left w:w="56" w:type="dxa"/>
              <w:bottom w:w="56" w:type="dxa"/>
              <w:right w:w="56" w:type="dxa"/>
            </w:tcMar>
            <w:hideMark/>
          </w:tcPr>
          <w:p w14:paraId="19EF70BF" w14:textId="77777777" w:rsidR="00F5389C" w:rsidRDefault="00F5389C">
            <w:pPr>
              <w:spacing w:line="240" w:lineRule="auto"/>
              <w:jc w:val="center"/>
              <w:rPr>
                <w:sz w:val="24"/>
                <w:szCs w:val="24"/>
              </w:rPr>
            </w:pPr>
            <w:r>
              <w:rPr>
                <w:sz w:val="24"/>
                <w:szCs w:val="24"/>
              </w:rPr>
              <w:t>34.5</w:t>
            </w:r>
          </w:p>
        </w:tc>
        <w:tc>
          <w:tcPr>
            <w:tcW w:w="892" w:type="dxa"/>
            <w:tcBorders>
              <w:top w:val="nil"/>
              <w:left w:val="nil"/>
              <w:bottom w:val="nil"/>
              <w:right w:val="nil"/>
            </w:tcBorders>
            <w:tcMar>
              <w:top w:w="56" w:type="dxa"/>
              <w:left w:w="56" w:type="dxa"/>
              <w:bottom w:w="56" w:type="dxa"/>
              <w:right w:w="56" w:type="dxa"/>
            </w:tcMar>
            <w:hideMark/>
          </w:tcPr>
          <w:p w14:paraId="11C516CC" w14:textId="77777777" w:rsidR="00F5389C" w:rsidRDefault="00F5389C">
            <w:pPr>
              <w:spacing w:line="240" w:lineRule="auto"/>
              <w:jc w:val="center"/>
              <w:rPr>
                <w:sz w:val="24"/>
                <w:szCs w:val="24"/>
              </w:rPr>
            </w:pPr>
            <w:r>
              <w:rPr>
                <w:sz w:val="24"/>
                <w:szCs w:val="24"/>
              </w:rPr>
              <w:t>23.0</w:t>
            </w:r>
          </w:p>
        </w:tc>
        <w:tc>
          <w:tcPr>
            <w:tcW w:w="1051" w:type="dxa"/>
            <w:tcBorders>
              <w:top w:val="nil"/>
              <w:left w:val="nil"/>
              <w:bottom w:val="nil"/>
              <w:right w:val="nil"/>
            </w:tcBorders>
            <w:tcMar>
              <w:top w:w="56" w:type="dxa"/>
              <w:left w:w="56" w:type="dxa"/>
              <w:bottom w:w="56" w:type="dxa"/>
              <w:right w:w="56" w:type="dxa"/>
            </w:tcMar>
            <w:hideMark/>
          </w:tcPr>
          <w:p w14:paraId="5108478E" w14:textId="77777777" w:rsidR="00F5389C" w:rsidRDefault="00F5389C">
            <w:pPr>
              <w:spacing w:line="240" w:lineRule="auto"/>
              <w:jc w:val="center"/>
              <w:rPr>
                <w:sz w:val="24"/>
                <w:szCs w:val="24"/>
              </w:rPr>
            </w:pPr>
            <w:r>
              <w:rPr>
                <w:sz w:val="24"/>
                <w:szCs w:val="24"/>
              </w:rPr>
              <w:t>POS</w:t>
            </w:r>
          </w:p>
        </w:tc>
        <w:tc>
          <w:tcPr>
            <w:tcW w:w="700" w:type="dxa"/>
            <w:tcBorders>
              <w:top w:val="nil"/>
              <w:left w:val="nil"/>
              <w:bottom w:val="nil"/>
              <w:right w:val="nil"/>
            </w:tcBorders>
            <w:tcMar>
              <w:top w:w="56" w:type="dxa"/>
              <w:left w:w="56" w:type="dxa"/>
              <w:bottom w:w="56" w:type="dxa"/>
              <w:right w:w="56" w:type="dxa"/>
            </w:tcMar>
          </w:tcPr>
          <w:p w14:paraId="45ADFC4F" w14:textId="77777777" w:rsidR="00F5389C" w:rsidRDefault="00F5389C">
            <w:pPr>
              <w:spacing w:line="240" w:lineRule="auto"/>
              <w:jc w:val="center"/>
              <w:rPr>
                <w:sz w:val="24"/>
                <w:szCs w:val="24"/>
              </w:rPr>
            </w:pPr>
          </w:p>
        </w:tc>
        <w:tc>
          <w:tcPr>
            <w:tcW w:w="920" w:type="dxa"/>
            <w:tcBorders>
              <w:top w:val="nil"/>
              <w:left w:val="nil"/>
              <w:bottom w:val="nil"/>
              <w:right w:val="nil"/>
            </w:tcBorders>
            <w:tcMar>
              <w:top w:w="56" w:type="dxa"/>
              <w:left w:w="56" w:type="dxa"/>
              <w:bottom w:w="56" w:type="dxa"/>
              <w:right w:w="56" w:type="dxa"/>
            </w:tcMar>
          </w:tcPr>
          <w:p w14:paraId="3EB547DA" w14:textId="77777777" w:rsidR="00F5389C" w:rsidRDefault="00F5389C">
            <w:pPr>
              <w:spacing w:line="240" w:lineRule="auto"/>
              <w:jc w:val="center"/>
              <w:rPr>
                <w:sz w:val="24"/>
                <w:szCs w:val="24"/>
              </w:rPr>
            </w:pPr>
          </w:p>
        </w:tc>
        <w:tc>
          <w:tcPr>
            <w:tcW w:w="920" w:type="dxa"/>
            <w:tcBorders>
              <w:top w:val="nil"/>
              <w:left w:val="nil"/>
              <w:bottom w:val="nil"/>
              <w:right w:val="nil"/>
            </w:tcBorders>
            <w:tcMar>
              <w:top w:w="56" w:type="dxa"/>
              <w:left w:w="56" w:type="dxa"/>
              <w:bottom w:w="56" w:type="dxa"/>
              <w:right w:w="56" w:type="dxa"/>
            </w:tcMar>
          </w:tcPr>
          <w:p w14:paraId="4B925847" w14:textId="77777777" w:rsidR="00F5389C" w:rsidRDefault="00F5389C">
            <w:pPr>
              <w:spacing w:line="240" w:lineRule="auto"/>
              <w:jc w:val="center"/>
              <w:rPr>
                <w:sz w:val="24"/>
                <w:szCs w:val="24"/>
              </w:rPr>
            </w:pPr>
          </w:p>
        </w:tc>
        <w:tc>
          <w:tcPr>
            <w:tcW w:w="975" w:type="dxa"/>
            <w:tcBorders>
              <w:top w:val="nil"/>
              <w:left w:val="nil"/>
              <w:bottom w:val="nil"/>
              <w:right w:val="nil"/>
            </w:tcBorders>
            <w:tcMar>
              <w:top w:w="56" w:type="dxa"/>
              <w:left w:w="56" w:type="dxa"/>
              <w:bottom w:w="56" w:type="dxa"/>
              <w:right w:w="56" w:type="dxa"/>
            </w:tcMar>
          </w:tcPr>
          <w:p w14:paraId="48516CB7" w14:textId="77777777" w:rsidR="00F5389C" w:rsidRDefault="00F5389C">
            <w:pPr>
              <w:spacing w:line="240" w:lineRule="auto"/>
              <w:jc w:val="center"/>
              <w:rPr>
                <w:sz w:val="24"/>
                <w:szCs w:val="24"/>
              </w:rPr>
            </w:pPr>
          </w:p>
        </w:tc>
      </w:tr>
      <w:tr w:rsidR="00F5389C" w14:paraId="4357BEAB"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6CC54A14" w14:textId="77777777" w:rsidR="00F5389C" w:rsidRDefault="00F5389C">
            <w:pPr>
              <w:spacing w:line="240" w:lineRule="auto"/>
              <w:jc w:val="center"/>
              <w:rPr>
                <w:color w:val="FF0000"/>
                <w:sz w:val="24"/>
                <w:szCs w:val="24"/>
              </w:rPr>
            </w:pPr>
            <w:r>
              <w:rPr>
                <w:color w:val="FF0000"/>
                <w:sz w:val="24"/>
                <w:szCs w:val="24"/>
              </w:rPr>
              <w:t>19</w:t>
            </w:r>
          </w:p>
        </w:tc>
        <w:tc>
          <w:tcPr>
            <w:tcW w:w="1194" w:type="dxa"/>
            <w:tcBorders>
              <w:top w:val="nil"/>
              <w:left w:val="nil"/>
              <w:bottom w:val="nil"/>
              <w:right w:val="nil"/>
            </w:tcBorders>
            <w:tcMar>
              <w:top w:w="56" w:type="dxa"/>
              <w:left w:w="56" w:type="dxa"/>
              <w:bottom w:w="56" w:type="dxa"/>
              <w:right w:w="56" w:type="dxa"/>
            </w:tcMar>
          </w:tcPr>
          <w:p w14:paraId="67B7CFC8" w14:textId="77777777" w:rsidR="00F5389C" w:rsidRDefault="00F5389C">
            <w:pPr>
              <w:spacing w:line="240" w:lineRule="auto"/>
              <w:jc w:val="center"/>
              <w:rPr>
                <w:color w:val="FF0000"/>
                <w:sz w:val="24"/>
                <w:szCs w:val="24"/>
              </w:rPr>
            </w:pPr>
          </w:p>
        </w:tc>
        <w:tc>
          <w:tcPr>
            <w:tcW w:w="907" w:type="dxa"/>
            <w:tcBorders>
              <w:top w:val="nil"/>
              <w:left w:val="nil"/>
              <w:bottom w:val="nil"/>
              <w:right w:val="nil"/>
            </w:tcBorders>
            <w:tcMar>
              <w:top w:w="56" w:type="dxa"/>
              <w:left w:w="56" w:type="dxa"/>
              <w:bottom w:w="56" w:type="dxa"/>
              <w:right w:w="56" w:type="dxa"/>
            </w:tcMar>
            <w:hideMark/>
          </w:tcPr>
          <w:p w14:paraId="11AB28DD" w14:textId="77777777" w:rsidR="00F5389C" w:rsidRDefault="00F5389C">
            <w:pPr>
              <w:spacing w:line="240" w:lineRule="auto"/>
              <w:jc w:val="center"/>
              <w:rPr>
                <w:color w:val="FF0000"/>
                <w:sz w:val="24"/>
                <w:szCs w:val="24"/>
              </w:rPr>
            </w:pPr>
            <w:r>
              <w:rPr>
                <w:color w:val="FF0000"/>
                <w:sz w:val="24"/>
                <w:szCs w:val="24"/>
              </w:rPr>
              <w:t>29.5</w:t>
            </w:r>
          </w:p>
        </w:tc>
        <w:tc>
          <w:tcPr>
            <w:tcW w:w="907" w:type="dxa"/>
            <w:tcBorders>
              <w:top w:val="nil"/>
              <w:left w:val="nil"/>
              <w:bottom w:val="nil"/>
              <w:right w:val="nil"/>
            </w:tcBorders>
            <w:tcMar>
              <w:top w:w="56" w:type="dxa"/>
              <w:left w:w="56" w:type="dxa"/>
              <w:bottom w:w="56" w:type="dxa"/>
              <w:right w:w="56" w:type="dxa"/>
            </w:tcMar>
            <w:hideMark/>
          </w:tcPr>
          <w:p w14:paraId="6E4B6DC4" w14:textId="77777777" w:rsidR="00F5389C" w:rsidRDefault="00F5389C">
            <w:pPr>
              <w:spacing w:line="240" w:lineRule="auto"/>
              <w:jc w:val="center"/>
              <w:rPr>
                <w:color w:val="FF0000"/>
                <w:sz w:val="24"/>
                <w:szCs w:val="24"/>
              </w:rPr>
            </w:pPr>
            <w:r>
              <w:rPr>
                <w:color w:val="FF0000"/>
                <w:sz w:val="24"/>
                <w:szCs w:val="24"/>
              </w:rPr>
              <w:t>30.8</w:t>
            </w:r>
          </w:p>
        </w:tc>
        <w:tc>
          <w:tcPr>
            <w:tcW w:w="892" w:type="dxa"/>
            <w:tcBorders>
              <w:top w:val="nil"/>
              <w:left w:val="nil"/>
              <w:bottom w:val="nil"/>
              <w:right w:val="nil"/>
            </w:tcBorders>
            <w:tcMar>
              <w:top w:w="56" w:type="dxa"/>
              <w:left w:w="56" w:type="dxa"/>
              <w:bottom w:w="56" w:type="dxa"/>
              <w:right w:w="56" w:type="dxa"/>
            </w:tcMar>
          </w:tcPr>
          <w:p w14:paraId="5EBEDCFB" w14:textId="77777777" w:rsidR="00F5389C" w:rsidRDefault="00F5389C">
            <w:pPr>
              <w:spacing w:line="240" w:lineRule="auto"/>
              <w:jc w:val="center"/>
              <w:rPr>
                <w:color w:val="FF0000"/>
                <w:sz w:val="24"/>
                <w:szCs w:val="24"/>
              </w:rPr>
            </w:pPr>
          </w:p>
        </w:tc>
        <w:tc>
          <w:tcPr>
            <w:tcW w:w="1051" w:type="dxa"/>
            <w:tcBorders>
              <w:top w:val="nil"/>
              <w:left w:val="nil"/>
              <w:bottom w:val="nil"/>
              <w:right w:val="nil"/>
            </w:tcBorders>
            <w:tcMar>
              <w:top w:w="56" w:type="dxa"/>
              <w:left w:w="56" w:type="dxa"/>
              <w:bottom w:w="56" w:type="dxa"/>
              <w:right w:w="56" w:type="dxa"/>
            </w:tcMar>
            <w:hideMark/>
          </w:tcPr>
          <w:p w14:paraId="5B306EDC" w14:textId="77777777" w:rsidR="00F5389C" w:rsidRDefault="00F5389C">
            <w:pPr>
              <w:spacing w:line="240" w:lineRule="auto"/>
              <w:jc w:val="center"/>
              <w:rPr>
                <w:color w:val="FF0000"/>
                <w:sz w:val="24"/>
                <w:szCs w:val="24"/>
              </w:rPr>
            </w:pPr>
            <w:r>
              <w:rPr>
                <w:color w:val="FF0000"/>
                <w:sz w:val="24"/>
                <w:szCs w:val="24"/>
              </w:rPr>
              <w:t>POS</w:t>
            </w:r>
          </w:p>
        </w:tc>
        <w:tc>
          <w:tcPr>
            <w:tcW w:w="700" w:type="dxa"/>
            <w:tcBorders>
              <w:top w:val="nil"/>
              <w:left w:val="nil"/>
              <w:bottom w:val="nil"/>
              <w:right w:val="nil"/>
            </w:tcBorders>
            <w:tcMar>
              <w:top w:w="56" w:type="dxa"/>
              <w:left w:w="56" w:type="dxa"/>
              <w:bottom w:w="56" w:type="dxa"/>
              <w:right w:w="56" w:type="dxa"/>
            </w:tcMar>
          </w:tcPr>
          <w:p w14:paraId="6C19DA6A" w14:textId="77777777" w:rsidR="00F5389C" w:rsidRDefault="00F5389C">
            <w:pPr>
              <w:spacing w:line="240" w:lineRule="auto"/>
              <w:jc w:val="center"/>
              <w:rPr>
                <w:color w:val="FF0000"/>
                <w:sz w:val="24"/>
                <w:szCs w:val="24"/>
              </w:rPr>
            </w:pPr>
          </w:p>
        </w:tc>
        <w:tc>
          <w:tcPr>
            <w:tcW w:w="920" w:type="dxa"/>
            <w:tcBorders>
              <w:top w:val="nil"/>
              <w:left w:val="nil"/>
              <w:bottom w:val="nil"/>
              <w:right w:val="nil"/>
            </w:tcBorders>
            <w:tcMar>
              <w:top w:w="56" w:type="dxa"/>
              <w:left w:w="56" w:type="dxa"/>
              <w:bottom w:w="56" w:type="dxa"/>
              <w:right w:w="56" w:type="dxa"/>
            </w:tcMar>
          </w:tcPr>
          <w:p w14:paraId="36DD154F" w14:textId="77777777" w:rsidR="00F5389C" w:rsidRDefault="00F5389C">
            <w:pPr>
              <w:spacing w:line="240" w:lineRule="auto"/>
              <w:jc w:val="center"/>
              <w:rPr>
                <w:sz w:val="24"/>
                <w:szCs w:val="24"/>
              </w:rPr>
            </w:pPr>
          </w:p>
        </w:tc>
        <w:tc>
          <w:tcPr>
            <w:tcW w:w="920" w:type="dxa"/>
            <w:tcBorders>
              <w:top w:val="nil"/>
              <w:left w:val="nil"/>
              <w:bottom w:val="nil"/>
              <w:right w:val="nil"/>
            </w:tcBorders>
            <w:tcMar>
              <w:top w:w="56" w:type="dxa"/>
              <w:left w:w="56" w:type="dxa"/>
              <w:bottom w:w="56" w:type="dxa"/>
              <w:right w:w="56" w:type="dxa"/>
            </w:tcMar>
          </w:tcPr>
          <w:p w14:paraId="5A875AD4" w14:textId="77777777" w:rsidR="00F5389C" w:rsidRDefault="00F5389C">
            <w:pPr>
              <w:spacing w:line="240" w:lineRule="auto"/>
              <w:jc w:val="center"/>
              <w:rPr>
                <w:sz w:val="24"/>
                <w:szCs w:val="24"/>
              </w:rPr>
            </w:pPr>
          </w:p>
        </w:tc>
        <w:tc>
          <w:tcPr>
            <w:tcW w:w="975" w:type="dxa"/>
            <w:tcBorders>
              <w:top w:val="nil"/>
              <w:left w:val="nil"/>
              <w:bottom w:val="nil"/>
              <w:right w:val="nil"/>
            </w:tcBorders>
            <w:tcMar>
              <w:top w:w="56" w:type="dxa"/>
              <w:left w:w="56" w:type="dxa"/>
              <w:bottom w:w="56" w:type="dxa"/>
              <w:right w:w="56" w:type="dxa"/>
            </w:tcMar>
          </w:tcPr>
          <w:p w14:paraId="15B45CC5" w14:textId="77777777" w:rsidR="00F5389C" w:rsidRDefault="00F5389C">
            <w:pPr>
              <w:spacing w:line="240" w:lineRule="auto"/>
              <w:jc w:val="center"/>
              <w:rPr>
                <w:sz w:val="24"/>
                <w:szCs w:val="24"/>
              </w:rPr>
            </w:pPr>
          </w:p>
        </w:tc>
      </w:tr>
      <w:tr w:rsidR="00F5389C" w14:paraId="64043B35"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183A7C71" w14:textId="77777777" w:rsidR="00F5389C" w:rsidRDefault="00F5389C">
            <w:pPr>
              <w:spacing w:line="240" w:lineRule="auto"/>
              <w:jc w:val="center"/>
              <w:rPr>
                <w:color w:val="FF0000"/>
                <w:sz w:val="24"/>
                <w:szCs w:val="24"/>
              </w:rPr>
            </w:pPr>
            <w:r>
              <w:rPr>
                <w:color w:val="FF0000"/>
                <w:sz w:val="24"/>
                <w:szCs w:val="24"/>
              </w:rPr>
              <w:t>22</w:t>
            </w:r>
          </w:p>
        </w:tc>
        <w:tc>
          <w:tcPr>
            <w:tcW w:w="1194" w:type="dxa"/>
            <w:tcBorders>
              <w:top w:val="nil"/>
              <w:left w:val="nil"/>
              <w:bottom w:val="nil"/>
              <w:right w:val="nil"/>
            </w:tcBorders>
            <w:tcMar>
              <w:top w:w="56" w:type="dxa"/>
              <w:left w:w="56" w:type="dxa"/>
              <w:bottom w:w="56" w:type="dxa"/>
              <w:right w:w="56" w:type="dxa"/>
            </w:tcMar>
          </w:tcPr>
          <w:p w14:paraId="16C4B81F" w14:textId="77777777" w:rsidR="00F5389C" w:rsidRDefault="00F5389C">
            <w:pPr>
              <w:spacing w:line="240" w:lineRule="auto"/>
              <w:jc w:val="center"/>
              <w:rPr>
                <w:color w:val="FF0000"/>
                <w:sz w:val="24"/>
                <w:szCs w:val="24"/>
              </w:rPr>
            </w:pPr>
          </w:p>
        </w:tc>
        <w:tc>
          <w:tcPr>
            <w:tcW w:w="907" w:type="dxa"/>
            <w:tcBorders>
              <w:top w:val="nil"/>
              <w:left w:val="nil"/>
              <w:bottom w:val="nil"/>
              <w:right w:val="nil"/>
            </w:tcBorders>
            <w:tcMar>
              <w:top w:w="56" w:type="dxa"/>
              <w:left w:w="56" w:type="dxa"/>
              <w:bottom w:w="56" w:type="dxa"/>
              <w:right w:w="56" w:type="dxa"/>
            </w:tcMar>
            <w:hideMark/>
          </w:tcPr>
          <w:p w14:paraId="13D8322A" w14:textId="77777777" w:rsidR="00F5389C" w:rsidRDefault="00F5389C">
            <w:pPr>
              <w:spacing w:line="240" w:lineRule="auto"/>
              <w:jc w:val="center"/>
              <w:rPr>
                <w:color w:val="FF0000"/>
                <w:sz w:val="24"/>
                <w:szCs w:val="24"/>
              </w:rPr>
            </w:pPr>
            <w:r>
              <w:rPr>
                <w:color w:val="FF0000"/>
                <w:sz w:val="24"/>
                <w:szCs w:val="24"/>
              </w:rPr>
              <w:t>25.7</w:t>
            </w:r>
          </w:p>
        </w:tc>
        <w:tc>
          <w:tcPr>
            <w:tcW w:w="907" w:type="dxa"/>
            <w:tcBorders>
              <w:top w:val="nil"/>
              <w:left w:val="nil"/>
              <w:bottom w:val="nil"/>
              <w:right w:val="nil"/>
            </w:tcBorders>
            <w:tcMar>
              <w:top w:w="56" w:type="dxa"/>
              <w:left w:w="56" w:type="dxa"/>
              <w:bottom w:w="56" w:type="dxa"/>
              <w:right w:w="56" w:type="dxa"/>
            </w:tcMar>
            <w:hideMark/>
          </w:tcPr>
          <w:p w14:paraId="680931DF" w14:textId="77777777" w:rsidR="00F5389C" w:rsidRDefault="00F5389C">
            <w:pPr>
              <w:spacing w:line="240" w:lineRule="auto"/>
              <w:jc w:val="center"/>
              <w:rPr>
                <w:color w:val="FF0000"/>
                <w:sz w:val="24"/>
                <w:szCs w:val="24"/>
              </w:rPr>
            </w:pPr>
            <w:r>
              <w:rPr>
                <w:color w:val="FF0000"/>
                <w:sz w:val="24"/>
                <w:szCs w:val="24"/>
              </w:rPr>
              <w:t>26.2</w:t>
            </w:r>
          </w:p>
        </w:tc>
        <w:tc>
          <w:tcPr>
            <w:tcW w:w="892" w:type="dxa"/>
            <w:tcBorders>
              <w:top w:val="nil"/>
              <w:left w:val="nil"/>
              <w:bottom w:val="nil"/>
              <w:right w:val="nil"/>
            </w:tcBorders>
            <w:tcMar>
              <w:top w:w="56" w:type="dxa"/>
              <w:left w:w="56" w:type="dxa"/>
              <w:bottom w:w="56" w:type="dxa"/>
              <w:right w:w="56" w:type="dxa"/>
            </w:tcMar>
          </w:tcPr>
          <w:p w14:paraId="43CB3631" w14:textId="77777777" w:rsidR="00F5389C" w:rsidRDefault="00F5389C">
            <w:pPr>
              <w:spacing w:line="240" w:lineRule="auto"/>
              <w:jc w:val="center"/>
              <w:rPr>
                <w:color w:val="FF0000"/>
                <w:sz w:val="24"/>
                <w:szCs w:val="24"/>
              </w:rPr>
            </w:pPr>
          </w:p>
        </w:tc>
        <w:tc>
          <w:tcPr>
            <w:tcW w:w="1051" w:type="dxa"/>
            <w:tcBorders>
              <w:top w:val="nil"/>
              <w:left w:val="nil"/>
              <w:bottom w:val="nil"/>
              <w:right w:val="nil"/>
            </w:tcBorders>
            <w:tcMar>
              <w:top w:w="56" w:type="dxa"/>
              <w:left w:w="56" w:type="dxa"/>
              <w:bottom w:w="56" w:type="dxa"/>
              <w:right w:w="56" w:type="dxa"/>
            </w:tcMar>
            <w:hideMark/>
          </w:tcPr>
          <w:p w14:paraId="65EACB24" w14:textId="77777777" w:rsidR="00F5389C" w:rsidRDefault="00F5389C">
            <w:pPr>
              <w:spacing w:line="240" w:lineRule="auto"/>
              <w:jc w:val="center"/>
              <w:rPr>
                <w:color w:val="FF0000"/>
                <w:sz w:val="24"/>
                <w:szCs w:val="24"/>
              </w:rPr>
            </w:pPr>
            <w:r>
              <w:rPr>
                <w:color w:val="FF0000"/>
                <w:sz w:val="24"/>
                <w:szCs w:val="24"/>
              </w:rPr>
              <w:t>POS</w:t>
            </w:r>
          </w:p>
        </w:tc>
        <w:tc>
          <w:tcPr>
            <w:tcW w:w="700" w:type="dxa"/>
            <w:tcBorders>
              <w:top w:val="nil"/>
              <w:left w:val="nil"/>
              <w:bottom w:val="nil"/>
              <w:right w:val="nil"/>
            </w:tcBorders>
            <w:tcMar>
              <w:top w:w="56" w:type="dxa"/>
              <w:left w:w="56" w:type="dxa"/>
              <w:bottom w:w="56" w:type="dxa"/>
              <w:right w:w="56" w:type="dxa"/>
            </w:tcMar>
          </w:tcPr>
          <w:p w14:paraId="7B802002" w14:textId="77777777" w:rsidR="00F5389C" w:rsidRDefault="00F5389C">
            <w:pPr>
              <w:spacing w:line="240" w:lineRule="auto"/>
              <w:jc w:val="center"/>
              <w:rPr>
                <w:color w:val="FF0000"/>
                <w:sz w:val="24"/>
                <w:szCs w:val="24"/>
              </w:rPr>
            </w:pPr>
          </w:p>
        </w:tc>
        <w:tc>
          <w:tcPr>
            <w:tcW w:w="920" w:type="dxa"/>
            <w:tcBorders>
              <w:top w:val="nil"/>
              <w:left w:val="nil"/>
              <w:bottom w:val="nil"/>
              <w:right w:val="nil"/>
            </w:tcBorders>
            <w:tcMar>
              <w:top w:w="56" w:type="dxa"/>
              <w:left w:w="56" w:type="dxa"/>
              <w:bottom w:w="56" w:type="dxa"/>
              <w:right w:w="56" w:type="dxa"/>
            </w:tcMar>
          </w:tcPr>
          <w:p w14:paraId="7D58D732" w14:textId="77777777" w:rsidR="00F5389C" w:rsidRDefault="00F5389C">
            <w:pPr>
              <w:spacing w:line="240" w:lineRule="auto"/>
              <w:jc w:val="center"/>
              <w:rPr>
                <w:sz w:val="24"/>
                <w:szCs w:val="24"/>
              </w:rPr>
            </w:pPr>
          </w:p>
        </w:tc>
        <w:tc>
          <w:tcPr>
            <w:tcW w:w="920" w:type="dxa"/>
            <w:tcBorders>
              <w:top w:val="nil"/>
              <w:left w:val="nil"/>
              <w:bottom w:val="nil"/>
              <w:right w:val="nil"/>
            </w:tcBorders>
            <w:tcMar>
              <w:top w:w="56" w:type="dxa"/>
              <w:left w:w="56" w:type="dxa"/>
              <w:bottom w:w="56" w:type="dxa"/>
              <w:right w:w="56" w:type="dxa"/>
            </w:tcMar>
          </w:tcPr>
          <w:p w14:paraId="54449DB6" w14:textId="77777777" w:rsidR="00F5389C" w:rsidRDefault="00F5389C">
            <w:pPr>
              <w:spacing w:line="240" w:lineRule="auto"/>
              <w:jc w:val="center"/>
              <w:rPr>
                <w:sz w:val="24"/>
                <w:szCs w:val="24"/>
              </w:rPr>
            </w:pPr>
          </w:p>
        </w:tc>
        <w:tc>
          <w:tcPr>
            <w:tcW w:w="975" w:type="dxa"/>
            <w:tcBorders>
              <w:top w:val="nil"/>
              <w:left w:val="nil"/>
              <w:bottom w:val="nil"/>
              <w:right w:val="nil"/>
            </w:tcBorders>
            <w:tcMar>
              <w:top w:w="56" w:type="dxa"/>
              <w:left w:w="56" w:type="dxa"/>
              <w:bottom w:w="56" w:type="dxa"/>
              <w:right w:w="56" w:type="dxa"/>
            </w:tcMar>
          </w:tcPr>
          <w:p w14:paraId="67633564" w14:textId="77777777" w:rsidR="00F5389C" w:rsidRDefault="00F5389C">
            <w:pPr>
              <w:spacing w:line="240" w:lineRule="auto"/>
              <w:jc w:val="center"/>
              <w:rPr>
                <w:sz w:val="24"/>
                <w:szCs w:val="24"/>
              </w:rPr>
            </w:pPr>
          </w:p>
        </w:tc>
      </w:tr>
      <w:tr w:rsidR="00F5389C" w14:paraId="3A8BB72C" w14:textId="77777777" w:rsidTr="00F5389C">
        <w:trPr>
          <w:trHeight w:val="199"/>
        </w:trPr>
        <w:tc>
          <w:tcPr>
            <w:tcW w:w="1466" w:type="dxa"/>
            <w:tcBorders>
              <w:top w:val="nil"/>
              <w:left w:val="nil"/>
              <w:bottom w:val="single" w:sz="8" w:space="0" w:color="FFFFFF"/>
              <w:right w:val="nil"/>
            </w:tcBorders>
            <w:tcMar>
              <w:top w:w="56" w:type="dxa"/>
              <w:left w:w="56" w:type="dxa"/>
              <w:bottom w:w="56" w:type="dxa"/>
              <w:right w:w="56" w:type="dxa"/>
            </w:tcMar>
            <w:hideMark/>
          </w:tcPr>
          <w:p w14:paraId="11604017" w14:textId="77777777" w:rsidR="00F5389C" w:rsidRDefault="00F5389C">
            <w:pPr>
              <w:spacing w:line="240" w:lineRule="auto"/>
              <w:jc w:val="center"/>
              <w:rPr>
                <w:sz w:val="24"/>
                <w:szCs w:val="24"/>
              </w:rPr>
            </w:pPr>
            <w:r>
              <w:rPr>
                <w:sz w:val="24"/>
                <w:szCs w:val="24"/>
              </w:rPr>
              <w:t>23</w:t>
            </w:r>
          </w:p>
        </w:tc>
        <w:tc>
          <w:tcPr>
            <w:tcW w:w="1194" w:type="dxa"/>
            <w:tcBorders>
              <w:top w:val="nil"/>
              <w:left w:val="nil"/>
              <w:bottom w:val="single" w:sz="8" w:space="0" w:color="FFFFFF"/>
              <w:right w:val="nil"/>
            </w:tcBorders>
            <w:tcMar>
              <w:top w:w="56" w:type="dxa"/>
              <w:left w:w="56" w:type="dxa"/>
              <w:bottom w:w="56" w:type="dxa"/>
              <w:right w:w="56" w:type="dxa"/>
            </w:tcMar>
          </w:tcPr>
          <w:p w14:paraId="3487720C" w14:textId="77777777" w:rsidR="00F5389C" w:rsidRDefault="00F5389C">
            <w:pPr>
              <w:spacing w:line="240" w:lineRule="auto"/>
              <w:jc w:val="center"/>
              <w:rPr>
                <w:sz w:val="24"/>
                <w:szCs w:val="24"/>
              </w:rPr>
            </w:pPr>
          </w:p>
        </w:tc>
        <w:tc>
          <w:tcPr>
            <w:tcW w:w="907" w:type="dxa"/>
            <w:tcBorders>
              <w:top w:val="nil"/>
              <w:left w:val="nil"/>
              <w:bottom w:val="single" w:sz="8" w:space="0" w:color="FFFFFF"/>
              <w:right w:val="nil"/>
            </w:tcBorders>
            <w:tcMar>
              <w:top w:w="56" w:type="dxa"/>
              <w:left w:w="56" w:type="dxa"/>
              <w:bottom w:w="56" w:type="dxa"/>
              <w:right w:w="56" w:type="dxa"/>
            </w:tcMar>
            <w:hideMark/>
          </w:tcPr>
          <w:p w14:paraId="4B2EF8F8" w14:textId="77777777" w:rsidR="00F5389C" w:rsidRDefault="00F5389C">
            <w:pPr>
              <w:spacing w:line="240" w:lineRule="auto"/>
              <w:jc w:val="center"/>
              <w:rPr>
                <w:sz w:val="24"/>
                <w:szCs w:val="24"/>
              </w:rPr>
            </w:pPr>
            <w:r>
              <w:rPr>
                <w:sz w:val="24"/>
                <w:szCs w:val="24"/>
              </w:rPr>
              <w:t>39.1</w:t>
            </w:r>
          </w:p>
        </w:tc>
        <w:tc>
          <w:tcPr>
            <w:tcW w:w="907" w:type="dxa"/>
            <w:tcBorders>
              <w:top w:val="nil"/>
              <w:left w:val="nil"/>
              <w:bottom w:val="single" w:sz="8" w:space="0" w:color="FFFFFF"/>
              <w:right w:val="nil"/>
            </w:tcBorders>
            <w:tcMar>
              <w:top w:w="56" w:type="dxa"/>
              <w:left w:w="56" w:type="dxa"/>
              <w:bottom w:w="56" w:type="dxa"/>
              <w:right w:w="56" w:type="dxa"/>
            </w:tcMar>
            <w:hideMark/>
          </w:tcPr>
          <w:p w14:paraId="64122E4A" w14:textId="77777777" w:rsidR="00F5389C" w:rsidRDefault="00F5389C">
            <w:pPr>
              <w:spacing w:line="240" w:lineRule="auto"/>
              <w:jc w:val="center"/>
              <w:rPr>
                <w:sz w:val="24"/>
                <w:szCs w:val="24"/>
              </w:rPr>
            </w:pPr>
            <w:r>
              <w:rPr>
                <w:sz w:val="24"/>
                <w:szCs w:val="24"/>
              </w:rPr>
              <w:t>41.3</w:t>
            </w:r>
          </w:p>
        </w:tc>
        <w:tc>
          <w:tcPr>
            <w:tcW w:w="892" w:type="dxa"/>
            <w:tcBorders>
              <w:top w:val="nil"/>
              <w:left w:val="nil"/>
              <w:bottom w:val="single" w:sz="8" w:space="0" w:color="FFFFFF"/>
              <w:right w:val="nil"/>
            </w:tcBorders>
            <w:tcMar>
              <w:top w:w="56" w:type="dxa"/>
              <w:left w:w="56" w:type="dxa"/>
              <w:bottom w:w="56" w:type="dxa"/>
              <w:right w:w="56" w:type="dxa"/>
            </w:tcMar>
            <w:hideMark/>
          </w:tcPr>
          <w:p w14:paraId="2886B1D0" w14:textId="77777777" w:rsidR="00F5389C" w:rsidRDefault="00F5389C">
            <w:pPr>
              <w:spacing w:line="240" w:lineRule="auto"/>
              <w:jc w:val="center"/>
              <w:rPr>
                <w:sz w:val="24"/>
                <w:szCs w:val="24"/>
              </w:rPr>
            </w:pPr>
            <w:r>
              <w:rPr>
                <w:sz w:val="24"/>
                <w:szCs w:val="24"/>
              </w:rPr>
              <w:t>28.6</w:t>
            </w:r>
          </w:p>
        </w:tc>
        <w:tc>
          <w:tcPr>
            <w:tcW w:w="1051" w:type="dxa"/>
            <w:tcBorders>
              <w:top w:val="nil"/>
              <w:left w:val="nil"/>
              <w:bottom w:val="single" w:sz="8" w:space="0" w:color="FFFFFF"/>
              <w:right w:val="nil"/>
            </w:tcBorders>
            <w:tcMar>
              <w:top w:w="56" w:type="dxa"/>
              <w:left w:w="56" w:type="dxa"/>
              <w:bottom w:w="56" w:type="dxa"/>
              <w:right w:w="56" w:type="dxa"/>
            </w:tcMar>
            <w:hideMark/>
          </w:tcPr>
          <w:p w14:paraId="526045BD" w14:textId="77777777" w:rsidR="00F5389C" w:rsidRDefault="00F5389C">
            <w:pPr>
              <w:spacing w:line="240" w:lineRule="auto"/>
              <w:jc w:val="center"/>
              <w:rPr>
                <w:sz w:val="24"/>
                <w:szCs w:val="24"/>
              </w:rPr>
            </w:pPr>
            <w:r>
              <w:rPr>
                <w:sz w:val="24"/>
                <w:szCs w:val="24"/>
              </w:rPr>
              <w:t>INC</w:t>
            </w:r>
          </w:p>
        </w:tc>
        <w:tc>
          <w:tcPr>
            <w:tcW w:w="700" w:type="dxa"/>
            <w:tcBorders>
              <w:top w:val="nil"/>
              <w:left w:val="nil"/>
              <w:bottom w:val="single" w:sz="8" w:space="0" w:color="FFFFFF"/>
              <w:right w:val="nil"/>
            </w:tcBorders>
            <w:tcMar>
              <w:top w:w="56" w:type="dxa"/>
              <w:left w:w="56" w:type="dxa"/>
              <w:bottom w:w="56" w:type="dxa"/>
              <w:right w:w="56" w:type="dxa"/>
            </w:tcMar>
            <w:hideMark/>
          </w:tcPr>
          <w:p w14:paraId="526040F2" w14:textId="77777777" w:rsidR="00F5389C" w:rsidRDefault="00F5389C">
            <w:pPr>
              <w:spacing w:line="240" w:lineRule="auto"/>
              <w:jc w:val="center"/>
              <w:rPr>
                <w:sz w:val="24"/>
                <w:szCs w:val="24"/>
              </w:rPr>
            </w:pPr>
            <w:r>
              <w:rPr>
                <w:sz w:val="24"/>
                <w:szCs w:val="24"/>
              </w:rPr>
              <w:t>30.2</w:t>
            </w:r>
          </w:p>
        </w:tc>
        <w:tc>
          <w:tcPr>
            <w:tcW w:w="920" w:type="dxa"/>
            <w:tcBorders>
              <w:top w:val="nil"/>
              <w:left w:val="nil"/>
              <w:bottom w:val="single" w:sz="8" w:space="0" w:color="FFFFFF"/>
              <w:right w:val="nil"/>
            </w:tcBorders>
            <w:tcMar>
              <w:top w:w="56" w:type="dxa"/>
              <w:left w:w="56" w:type="dxa"/>
              <w:bottom w:w="56" w:type="dxa"/>
              <w:right w:w="56" w:type="dxa"/>
            </w:tcMar>
            <w:hideMark/>
          </w:tcPr>
          <w:p w14:paraId="51A86339" w14:textId="77777777" w:rsidR="00F5389C" w:rsidRDefault="00F5389C">
            <w:pPr>
              <w:spacing w:line="240" w:lineRule="auto"/>
              <w:jc w:val="center"/>
              <w:rPr>
                <w:sz w:val="24"/>
                <w:szCs w:val="24"/>
              </w:rPr>
            </w:pPr>
            <w:r>
              <w:rPr>
                <w:sz w:val="24"/>
                <w:szCs w:val="24"/>
              </w:rPr>
              <w:t>33.0</w:t>
            </w:r>
          </w:p>
        </w:tc>
        <w:tc>
          <w:tcPr>
            <w:tcW w:w="920" w:type="dxa"/>
            <w:tcBorders>
              <w:top w:val="nil"/>
              <w:left w:val="nil"/>
              <w:bottom w:val="single" w:sz="8" w:space="0" w:color="FFFFFF"/>
              <w:right w:val="nil"/>
            </w:tcBorders>
            <w:tcMar>
              <w:top w:w="56" w:type="dxa"/>
              <w:left w:w="56" w:type="dxa"/>
              <w:bottom w:w="56" w:type="dxa"/>
              <w:right w:w="56" w:type="dxa"/>
            </w:tcMar>
            <w:hideMark/>
          </w:tcPr>
          <w:p w14:paraId="43F35D58" w14:textId="77777777" w:rsidR="00F5389C" w:rsidRDefault="00F5389C">
            <w:pPr>
              <w:spacing w:line="240" w:lineRule="auto"/>
              <w:jc w:val="center"/>
              <w:rPr>
                <w:sz w:val="24"/>
                <w:szCs w:val="24"/>
              </w:rPr>
            </w:pPr>
            <w:r>
              <w:rPr>
                <w:sz w:val="24"/>
                <w:szCs w:val="24"/>
              </w:rPr>
              <w:t>18.5</w:t>
            </w:r>
          </w:p>
        </w:tc>
        <w:tc>
          <w:tcPr>
            <w:tcW w:w="975" w:type="dxa"/>
            <w:tcBorders>
              <w:top w:val="nil"/>
              <w:left w:val="nil"/>
              <w:bottom w:val="single" w:sz="8" w:space="0" w:color="FFFFFF"/>
              <w:right w:val="nil"/>
            </w:tcBorders>
            <w:tcMar>
              <w:top w:w="56" w:type="dxa"/>
              <w:left w:w="56" w:type="dxa"/>
              <w:bottom w:w="56" w:type="dxa"/>
              <w:right w:w="56" w:type="dxa"/>
            </w:tcMar>
            <w:hideMark/>
          </w:tcPr>
          <w:p w14:paraId="6A50D86D" w14:textId="77777777" w:rsidR="00F5389C" w:rsidRDefault="00F5389C">
            <w:pPr>
              <w:spacing w:line="240" w:lineRule="auto"/>
              <w:jc w:val="center"/>
              <w:rPr>
                <w:sz w:val="24"/>
                <w:szCs w:val="24"/>
              </w:rPr>
            </w:pPr>
            <w:r>
              <w:rPr>
                <w:sz w:val="24"/>
                <w:szCs w:val="24"/>
              </w:rPr>
              <w:t>POS</w:t>
            </w:r>
          </w:p>
        </w:tc>
      </w:tr>
      <w:tr w:rsidR="00F5389C" w14:paraId="6A18B139"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1CFEEA34" w14:textId="77777777" w:rsidR="00F5389C" w:rsidRDefault="00F5389C">
            <w:pPr>
              <w:spacing w:line="240" w:lineRule="auto"/>
              <w:jc w:val="center"/>
              <w:rPr>
                <w:color w:val="FF0000"/>
                <w:sz w:val="24"/>
                <w:szCs w:val="24"/>
              </w:rPr>
            </w:pPr>
            <w:r>
              <w:rPr>
                <w:color w:val="FF0000"/>
                <w:sz w:val="24"/>
                <w:szCs w:val="24"/>
              </w:rPr>
              <w:t>27</w:t>
            </w:r>
          </w:p>
        </w:tc>
        <w:tc>
          <w:tcPr>
            <w:tcW w:w="1194" w:type="dxa"/>
            <w:tcBorders>
              <w:top w:val="nil"/>
              <w:left w:val="nil"/>
              <w:bottom w:val="nil"/>
              <w:right w:val="nil"/>
            </w:tcBorders>
            <w:tcMar>
              <w:top w:w="56" w:type="dxa"/>
              <w:left w:w="56" w:type="dxa"/>
              <w:bottom w:w="56" w:type="dxa"/>
              <w:right w:w="56" w:type="dxa"/>
            </w:tcMar>
          </w:tcPr>
          <w:p w14:paraId="7A6B90D9" w14:textId="77777777" w:rsidR="00F5389C" w:rsidRDefault="00F5389C">
            <w:pPr>
              <w:spacing w:line="240" w:lineRule="auto"/>
              <w:jc w:val="center"/>
              <w:rPr>
                <w:color w:val="FF0000"/>
                <w:sz w:val="24"/>
                <w:szCs w:val="24"/>
              </w:rPr>
            </w:pPr>
          </w:p>
        </w:tc>
        <w:tc>
          <w:tcPr>
            <w:tcW w:w="907" w:type="dxa"/>
            <w:tcBorders>
              <w:top w:val="nil"/>
              <w:left w:val="nil"/>
              <w:bottom w:val="nil"/>
              <w:right w:val="nil"/>
            </w:tcBorders>
            <w:tcMar>
              <w:top w:w="56" w:type="dxa"/>
              <w:left w:w="56" w:type="dxa"/>
              <w:bottom w:w="56" w:type="dxa"/>
              <w:right w:w="56" w:type="dxa"/>
            </w:tcMar>
            <w:hideMark/>
          </w:tcPr>
          <w:p w14:paraId="0BA0CB5F" w14:textId="77777777" w:rsidR="00F5389C" w:rsidRDefault="00F5389C">
            <w:pPr>
              <w:spacing w:line="240" w:lineRule="auto"/>
              <w:jc w:val="center"/>
              <w:rPr>
                <w:color w:val="FF0000"/>
                <w:sz w:val="24"/>
                <w:szCs w:val="24"/>
              </w:rPr>
            </w:pPr>
            <w:r>
              <w:rPr>
                <w:color w:val="FF0000"/>
                <w:sz w:val="24"/>
                <w:szCs w:val="24"/>
              </w:rPr>
              <w:t>30.2</w:t>
            </w:r>
          </w:p>
        </w:tc>
        <w:tc>
          <w:tcPr>
            <w:tcW w:w="907" w:type="dxa"/>
            <w:tcBorders>
              <w:top w:val="nil"/>
              <w:left w:val="nil"/>
              <w:bottom w:val="nil"/>
              <w:right w:val="nil"/>
            </w:tcBorders>
            <w:tcMar>
              <w:top w:w="56" w:type="dxa"/>
              <w:left w:w="56" w:type="dxa"/>
              <w:bottom w:w="56" w:type="dxa"/>
              <w:right w:w="56" w:type="dxa"/>
            </w:tcMar>
            <w:hideMark/>
          </w:tcPr>
          <w:p w14:paraId="32A6BCC7" w14:textId="77777777" w:rsidR="00F5389C" w:rsidRDefault="00F5389C">
            <w:pPr>
              <w:spacing w:line="240" w:lineRule="auto"/>
              <w:jc w:val="center"/>
              <w:rPr>
                <w:color w:val="FF0000"/>
                <w:sz w:val="24"/>
                <w:szCs w:val="24"/>
              </w:rPr>
            </w:pPr>
            <w:r>
              <w:rPr>
                <w:color w:val="FF0000"/>
                <w:sz w:val="24"/>
                <w:szCs w:val="24"/>
              </w:rPr>
              <w:t>31.0</w:t>
            </w:r>
          </w:p>
        </w:tc>
        <w:tc>
          <w:tcPr>
            <w:tcW w:w="892" w:type="dxa"/>
            <w:tcBorders>
              <w:top w:val="nil"/>
              <w:left w:val="nil"/>
              <w:bottom w:val="nil"/>
              <w:right w:val="nil"/>
            </w:tcBorders>
            <w:tcMar>
              <w:top w:w="56" w:type="dxa"/>
              <w:left w:w="56" w:type="dxa"/>
              <w:bottom w:w="56" w:type="dxa"/>
              <w:right w:w="56" w:type="dxa"/>
            </w:tcMar>
          </w:tcPr>
          <w:p w14:paraId="41A4D9C9" w14:textId="77777777" w:rsidR="00F5389C" w:rsidRDefault="00F5389C">
            <w:pPr>
              <w:spacing w:line="240" w:lineRule="auto"/>
              <w:jc w:val="center"/>
              <w:rPr>
                <w:color w:val="FF0000"/>
                <w:sz w:val="24"/>
                <w:szCs w:val="24"/>
              </w:rPr>
            </w:pPr>
          </w:p>
        </w:tc>
        <w:tc>
          <w:tcPr>
            <w:tcW w:w="1051" w:type="dxa"/>
            <w:tcBorders>
              <w:top w:val="nil"/>
              <w:left w:val="nil"/>
              <w:bottom w:val="nil"/>
              <w:right w:val="nil"/>
            </w:tcBorders>
            <w:tcMar>
              <w:top w:w="56" w:type="dxa"/>
              <w:left w:w="56" w:type="dxa"/>
              <w:bottom w:w="56" w:type="dxa"/>
              <w:right w:w="56" w:type="dxa"/>
            </w:tcMar>
            <w:hideMark/>
          </w:tcPr>
          <w:p w14:paraId="6C43D666" w14:textId="77777777" w:rsidR="00F5389C" w:rsidRDefault="00F5389C">
            <w:pPr>
              <w:spacing w:line="240" w:lineRule="auto"/>
              <w:jc w:val="center"/>
              <w:rPr>
                <w:color w:val="FF0000"/>
                <w:sz w:val="24"/>
                <w:szCs w:val="24"/>
              </w:rPr>
            </w:pPr>
            <w:r>
              <w:rPr>
                <w:color w:val="FF0000"/>
                <w:sz w:val="24"/>
                <w:szCs w:val="24"/>
              </w:rPr>
              <w:t>POS</w:t>
            </w:r>
          </w:p>
        </w:tc>
        <w:tc>
          <w:tcPr>
            <w:tcW w:w="700" w:type="dxa"/>
            <w:tcBorders>
              <w:top w:val="single" w:sz="8" w:space="0" w:color="FFFFFF"/>
              <w:left w:val="nil"/>
              <w:bottom w:val="single" w:sz="8" w:space="0" w:color="000000"/>
              <w:right w:val="nil"/>
            </w:tcBorders>
            <w:tcMar>
              <w:top w:w="56" w:type="dxa"/>
              <w:left w:w="56" w:type="dxa"/>
              <w:bottom w:w="56" w:type="dxa"/>
              <w:right w:w="56" w:type="dxa"/>
            </w:tcMar>
          </w:tcPr>
          <w:p w14:paraId="0184F3DB" w14:textId="77777777" w:rsidR="00F5389C" w:rsidRDefault="00F5389C">
            <w:pPr>
              <w:spacing w:line="240" w:lineRule="auto"/>
              <w:jc w:val="center"/>
              <w:rPr>
                <w:color w:val="FF0000"/>
                <w:sz w:val="24"/>
                <w:szCs w:val="24"/>
              </w:rPr>
            </w:pPr>
          </w:p>
        </w:tc>
        <w:tc>
          <w:tcPr>
            <w:tcW w:w="920" w:type="dxa"/>
            <w:tcBorders>
              <w:top w:val="single" w:sz="8" w:space="0" w:color="FFFFFF"/>
              <w:left w:val="nil"/>
              <w:bottom w:val="single" w:sz="8" w:space="0" w:color="000000"/>
              <w:right w:val="nil"/>
            </w:tcBorders>
            <w:tcMar>
              <w:top w:w="56" w:type="dxa"/>
              <w:left w:w="56" w:type="dxa"/>
              <w:bottom w:w="56" w:type="dxa"/>
              <w:right w:w="56" w:type="dxa"/>
            </w:tcMar>
          </w:tcPr>
          <w:p w14:paraId="648BC224" w14:textId="77777777" w:rsidR="00F5389C" w:rsidRDefault="00F5389C">
            <w:pPr>
              <w:spacing w:line="240" w:lineRule="auto"/>
              <w:jc w:val="center"/>
              <w:rPr>
                <w:sz w:val="24"/>
                <w:szCs w:val="24"/>
              </w:rPr>
            </w:pPr>
          </w:p>
        </w:tc>
        <w:tc>
          <w:tcPr>
            <w:tcW w:w="920" w:type="dxa"/>
            <w:tcBorders>
              <w:top w:val="single" w:sz="8" w:space="0" w:color="FFFFFF"/>
              <w:left w:val="nil"/>
              <w:bottom w:val="single" w:sz="8" w:space="0" w:color="000000"/>
              <w:right w:val="nil"/>
            </w:tcBorders>
            <w:tcMar>
              <w:top w:w="56" w:type="dxa"/>
              <w:left w:w="56" w:type="dxa"/>
              <w:bottom w:w="56" w:type="dxa"/>
              <w:right w:w="56" w:type="dxa"/>
            </w:tcMar>
          </w:tcPr>
          <w:p w14:paraId="60A3D803" w14:textId="77777777" w:rsidR="00F5389C" w:rsidRDefault="00F5389C">
            <w:pPr>
              <w:spacing w:line="240" w:lineRule="auto"/>
              <w:jc w:val="center"/>
              <w:rPr>
                <w:sz w:val="24"/>
                <w:szCs w:val="24"/>
              </w:rPr>
            </w:pPr>
          </w:p>
        </w:tc>
        <w:tc>
          <w:tcPr>
            <w:tcW w:w="975" w:type="dxa"/>
            <w:tcBorders>
              <w:top w:val="single" w:sz="8" w:space="0" w:color="FFFFFF"/>
              <w:left w:val="nil"/>
              <w:bottom w:val="single" w:sz="8" w:space="0" w:color="000000"/>
              <w:right w:val="nil"/>
            </w:tcBorders>
            <w:tcMar>
              <w:top w:w="56" w:type="dxa"/>
              <w:left w:w="56" w:type="dxa"/>
              <w:bottom w:w="56" w:type="dxa"/>
              <w:right w:w="56" w:type="dxa"/>
            </w:tcMar>
          </w:tcPr>
          <w:p w14:paraId="08A2D6D7" w14:textId="77777777" w:rsidR="00F5389C" w:rsidRDefault="00F5389C">
            <w:pPr>
              <w:spacing w:line="240" w:lineRule="auto"/>
              <w:jc w:val="center"/>
              <w:rPr>
                <w:sz w:val="24"/>
                <w:szCs w:val="24"/>
              </w:rPr>
            </w:pPr>
          </w:p>
        </w:tc>
      </w:tr>
      <w:tr w:rsidR="00F5389C" w14:paraId="6D829BA6" w14:textId="77777777" w:rsidTr="00F5389C">
        <w:trPr>
          <w:trHeight w:val="206"/>
        </w:trPr>
        <w:tc>
          <w:tcPr>
            <w:tcW w:w="1466" w:type="dxa"/>
            <w:tcBorders>
              <w:top w:val="single" w:sz="8" w:space="0" w:color="000000"/>
              <w:left w:val="nil"/>
              <w:bottom w:val="nil"/>
              <w:right w:val="nil"/>
            </w:tcBorders>
            <w:tcMar>
              <w:top w:w="56" w:type="dxa"/>
              <w:left w:w="56" w:type="dxa"/>
              <w:bottom w:w="56" w:type="dxa"/>
              <w:right w:w="56" w:type="dxa"/>
            </w:tcMar>
            <w:hideMark/>
          </w:tcPr>
          <w:p w14:paraId="5053BD9C" w14:textId="77777777" w:rsidR="00F5389C" w:rsidRDefault="00F5389C">
            <w:pPr>
              <w:spacing w:line="240" w:lineRule="auto"/>
              <w:jc w:val="center"/>
              <w:rPr>
                <w:color w:val="FF0000"/>
                <w:sz w:val="24"/>
                <w:szCs w:val="24"/>
                <w:vertAlign w:val="superscript"/>
              </w:rPr>
            </w:pPr>
            <w:r>
              <w:rPr>
                <w:color w:val="FF0000"/>
                <w:sz w:val="24"/>
                <w:szCs w:val="24"/>
                <w:vertAlign w:val="superscript"/>
              </w:rPr>
              <w:t>$</w:t>
            </w:r>
            <w:r>
              <w:rPr>
                <w:color w:val="FF0000"/>
                <w:sz w:val="24"/>
                <w:szCs w:val="24"/>
              </w:rPr>
              <w:t>109</w:t>
            </w:r>
          </w:p>
        </w:tc>
        <w:tc>
          <w:tcPr>
            <w:tcW w:w="1194" w:type="dxa"/>
            <w:tcBorders>
              <w:top w:val="single" w:sz="8" w:space="0" w:color="000000"/>
              <w:left w:val="nil"/>
              <w:bottom w:val="nil"/>
              <w:right w:val="nil"/>
            </w:tcBorders>
            <w:tcMar>
              <w:top w:w="56" w:type="dxa"/>
              <w:left w:w="56" w:type="dxa"/>
              <w:bottom w:w="56" w:type="dxa"/>
              <w:right w:w="56" w:type="dxa"/>
            </w:tcMar>
          </w:tcPr>
          <w:p w14:paraId="379DE4B6" w14:textId="77777777" w:rsidR="00F5389C" w:rsidRDefault="00F5389C">
            <w:pPr>
              <w:spacing w:line="240" w:lineRule="auto"/>
              <w:jc w:val="center"/>
              <w:rPr>
                <w:color w:val="FF0000"/>
                <w:sz w:val="24"/>
                <w:szCs w:val="24"/>
              </w:rPr>
            </w:pPr>
          </w:p>
        </w:tc>
        <w:tc>
          <w:tcPr>
            <w:tcW w:w="907" w:type="dxa"/>
            <w:tcBorders>
              <w:top w:val="single" w:sz="8" w:space="0" w:color="000000"/>
              <w:left w:val="nil"/>
              <w:bottom w:val="nil"/>
              <w:right w:val="nil"/>
            </w:tcBorders>
            <w:tcMar>
              <w:top w:w="56" w:type="dxa"/>
              <w:left w:w="56" w:type="dxa"/>
              <w:bottom w:w="56" w:type="dxa"/>
              <w:right w:w="56" w:type="dxa"/>
            </w:tcMar>
          </w:tcPr>
          <w:p w14:paraId="3F5BE831" w14:textId="77777777" w:rsidR="00F5389C" w:rsidRDefault="00F5389C">
            <w:pPr>
              <w:spacing w:line="240" w:lineRule="auto"/>
              <w:jc w:val="center"/>
              <w:rPr>
                <w:color w:val="FF0000"/>
                <w:sz w:val="24"/>
                <w:szCs w:val="24"/>
              </w:rPr>
            </w:pPr>
          </w:p>
        </w:tc>
        <w:tc>
          <w:tcPr>
            <w:tcW w:w="907" w:type="dxa"/>
            <w:tcBorders>
              <w:top w:val="single" w:sz="8" w:space="0" w:color="000000"/>
              <w:left w:val="nil"/>
              <w:bottom w:val="nil"/>
              <w:right w:val="nil"/>
            </w:tcBorders>
            <w:tcMar>
              <w:top w:w="56" w:type="dxa"/>
              <w:left w:w="56" w:type="dxa"/>
              <w:bottom w:w="56" w:type="dxa"/>
              <w:right w:w="56" w:type="dxa"/>
            </w:tcMar>
          </w:tcPr>
          <w:p w14:paraId="43E783FB" w14:textId="77777777" w:rsidR="00F5389C" w:rsidRDefault="00F5389C">
            <w:pPr>
              <w:spacing w:line="240" w:lineRule="auto"/>
              <w:jc w:val="center"/>
              <w:rPr>
                <w:color w:val="FF0000"/>
                <w:sz w:val="24"/>
                <w:szCs w:val="24"/>
              </w:rPr>
            </w:pPr>
          </w:p>
        </w:tc>
        <w:tc>
          <w:tcPr>
            <w:tcW w:w="892" w:type="dxa"/>
            <w:tcBorders>
              <w:top w:val="single" w:sz="8" w:space="0" w:color="000000"/>
              <w:left w:val="nil"/>
              <w:bottom w:val="nil"/>
              <w:right w:val="nil"/>
            </w:tcBorders>
            <w:tcMar>
              <w:top w:w="56" w:type="dxa"/>
              <w:left w:w="56" w:type="dxa"/>
              <w:bottom w:w="56" w:type="dxa"/>
              <w:right w:w="56" w:type="dxa"/>
            </w:tcMar>
          </w:tcPr>
          <w:p w14:paraId="23BF0868" w14:textId="77777777" w:rsidR="00F5389C" w:rsidRDefault="00F5389C">
            <w:pPr>
              <w:spacing w:line="240" w:lineRule="auto"/>
              <w:jc w:val="center"/>
              <w:rPr>
                <w:color w:val="FF0000"/>
                <w:sz w:val="24"/>
                <w:szCs w:val="24"/>
              </w:rPr>
            </w:pPr>
          </w:p>
        </w:tc>
        <w:tc>
          <w:tcPr>
            <w:tcW w:w="1051" w:type="dxa"/>
            <w:tcBorders>
              <w:top w:val="single" w:sz="8" w:space="0" w:color="000000"/>
              <w:left w:val="nil"/>
              <w:bottom w:val="nil"/>
              <w:right w:val="nil"/>
            </w:tcBorders>
            <w:tcMar>
              <w:top w:w="56" w:type="dxa"/>
              <w:left w:w="56" w:type="dxa"/>
              <w:bottom w:w="56" w:type="dxa"/>
              <w:right w:w="56" w:type="dxa"/>
            </w:tcMar>
            <w:hideMark/>
          </w:tcPr>
          <w:p w14:paraId="72B2378C" w14:textId="77777777" w:rsidR="00F5389C" w:rsidRDefault="00F5389C">
            <w:pPr>
              <w:spacing w:line="240" w:lineRule="auto"/>
              <w:jc w:val="center"/>
              <w:rPr>
                <w:color w:val="FF0000"/>
                <w:sz w:val="24"/>
                <w:szCs w:val="24"/>
              </w:rPr>
            </w:pPr>
            <w:r>
              <w:rPr>
                <w:color w:val="FF0000"/>
                <w:sz w:val="24"/>
                <w:szCs w:val="24"/>
              </w:rPr>
              <w:t>NEG</w:t>
            </w:r>
          </w:p>
        </w:tc>
        <w:tc>
          <w:tcPr>
            <w:tcW w:w="700" w:type="dxa"/>
            <w:tcBorders>
              <w:top w:val="single" w:sz="8" w:space="0" w:color="000000"/>
              <w:left w:val="nil"/>
              <w:bottom w:val="single" w:sz="8" w:space="0" w:color="FFFFFF"/>
              <w:right w:val="nil"/>
            </w:tcBorders>
            <w:tcMar>
              <w:top w:w="56" w:type="dxa"/>
              <w:left w:w="56" w:type="dxa"/>
              <w:bottom w:w="56" w:type="dxa"/>
              <w:right w:w="56" w:type="dxa"/>
            </w:tcMar>
          </w:tcPr>
          <w:p w14:paraId="3A09F7C9" w14:textId="77777777" w:rsidR="00F5389C" w:rsidRDefault="00F5389C">
            <w:pPr>
              <w:spacing w:line="240" w:lineRule="auto"/>
              <w:jc w:val="center"/>
              <w:rPr>
                <w:color w:val="FF0000"/>
                <w:sz w:val="24"/>
                <w:szCs w:val="24"/>
              </w:rPr>
            </w:pPr>
          </w:p>
        </w:tc>
        <w:tc>
          <w:tcPr>
            <w:tcW w:w="920" w:type="dxa"/>
            <w:tcBorders>
              <w:top w:val="single" w:sz="8" w:space="0" w:color="000000"/>
              <w:left w:val="nil"/>
              <w:bottom w:val="single" w:sz="8" w:space="0" w:color="FFFFFF"/>
              <w:right w:val="nil"/>
            </w:tcBorders>
            <w:tcMar>
              <w:top w:w="56" w:type="dxa"/>
              <w:left w:w="56" w:type="dxa"/>
              <w:bottom w:w="56" w:type="dxa"/>
              <w:right w:w="56" w:type="dxa"/>
            </w:tcMar>
          </w:tcPr>
          <w:p w14:paraId="2B73B2A9" w14:textId="77777777" w:rsidR="00F5389C" w:rsidRDefault="00F5389C">
            <w:pPr>
              <w:spacing w:line="240" w:lineRule="auto"/>
              <w:jc w:val="center"/>
              <w:rPr>
                <w:sz w:val="24"/>
                <w:szCs w:val="24"/>
              </w:rPr>
            </w:pPr>
          </w:p>
        </w:tc>
        <w:tc>
          <w:tcPr>
            <w:tcW w:w="920" w:type="dxa"/>
            <w:tcBorders>
              <w:top w:val="single" w:sz="8" w:space="0" w:color="000000"/>
              <w:left w:val="nil"/>
              <w:bottom w:val="single" w:sz="8" w:space="0" w:color="FFFFFF"/>
              <w:right w:val="nil"/>
            </w:tcBorders>
            <w:tcMar>
              <w:top w:w="56" w:type="dxa"/>
              <w:left w:w="56" w:type="dxa"/>
              <w:bottom w:w="56" w:type="dxa"/>
              <w:right w:w="56" w:type="dxa"/>
            </w:tcMar>
          </w:tcPr>
          <w:p w14:paraId="1099D2AB" w14:textId="77777777" w:rsidR="00F5389C" w:rsidRDefault="00F5389C">
            <w:pPr>
              <w:spacing w:line="240" w:lineRule="auto"/>
              <w:jc w:val="center"/>
              <w:rPr>
                <w:sz w:val="24"/>
                <w:szCs w:val="24"/>
              </w:rPr>
            </w:pPr>
          </w:p>
        </w:tc>
        <w:tc>
          <w:tcPr>
            <w:tcW w:w="975" w:type="dxa"/>
            <w:tcBorders>
              <w:top w:val="single" w:sz="8" w:space="0" w:color="000000"/>
              <w:left w:val="nil"/>
              <w:bottom w:val="single" w:sz="8" w:space="0" w:color="FFFFFF"/>
              <w:right w:val="nil"/>
            </w:tcBorders>
            <w:tcMar>
              <w:top w:w="56" w:type="dxa"/>
              <w:left w:w="56" w:type="dxa"/>
              <w:bottom w:w="56" w:type="dxa"/>
              <w:right w:w="56" w:type="dxa"/>
            </w:tcMar>
          </w:tcPr>
          <w:p w14:paraId="7833925B" w14:textId="77777777" w:rsidR="00F5389C" w:rsidRDefault="00F5389C">
            <w:pPr>
              <w:spacing w:line="240" w:lineRule="auto"/>
              <w:jc w:val="center"/>
              <w:rPr>
                <w:sz w:val="24"/>
                <w:szCs w:val="24"/>
              </w:rPr>
            </w:pPr>
          </w:p>
        </w:tc>
      </w:tr>
      <w:tr w:rsidR="00F5389C" w14:paraId="68D41E62"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469A3367" w14:textId="77777777" w:rsidR="00F5389C" w:rsidRDefault="00F5389C">
            <w:pPr>
              <w:spacing w:line="240" w:lineRule="auto"/>
              <w:jc w:val="center"/>
              <w:rPr>
                <w:color w:val="FF0000"/>
                <w:sz w:val="24"/>
                <w:szCs w:val="24"/>
              </w:rPr>
            </w:pPr>
            <w:r>
              <w:rPr>
                <w:color w:val="FF0000"/>
                <w:sz w:val="24"/>
                <w:szCs w:val="24"/>
                <w:vertAlign w:val="superscript"/>
              </w:rPr>
              <w:t>$</w:t>
            </w:r>
            <w:r>
              <w:rPr>
                <w:color w:val="FF0000"/>
                <w:sz w:val="24"/>
                <w:szCs w:val="24"/>
              </w:rPr>
              <w:t>220</w:t>
            </w:r>
          </w:p>
        </w:tc>
        <w:tc>
          <w:tcPr>
            <w:tcW w:w="1194" w:type="dxa"/>
            <w:tcBorders>
              <w:top w:val="nil"/>
              <w:left w:val="nil"/>
              <w:bottom w:val="nil"/>
              <w:right w:val="nil"/>
            </w:tcBorders>
            <w:tcMar>
              <w:top w:w="56" w:type="dxa"/>
              <w:left w:w="56" w:type="dxa"/>
              <w:bottom w:w="56" w:type="dxa"/>
              <w:right w:w="56" w:type="dxa"/>
            </w:tcMar>
          </w:tcPr>
          <w:p w14:paraId="24B2D940" w14:textId="77777777" w:rsidR="00F5389C" w:rsidRDefault="00F5389C">
            <w:pPr>
              <w:spacing w:line="240" w:lineRule="auto"/>
              <w:jc w:val="center"/>
              <w:rPr>
                <w:color w:val="FF0000"/>
                <w:sz w:val="24"/>
                <w:szCs w:val="24"/>
              </w:rPr>
            </w:pPr>
          </w:p>
        </w:tc>
        <w:tc>
          <w:tcPr>
            <w:tcW w:w="907" w:type="dxa"/>
            <w:tcBorders>
              <w:top w:val="nil"/>
              <w:left w:val="nil"/>
              <w:bottom w:val="nil"/>
              <w:right w:val="nil"/>
            </w:tcBorders>
            <w:tcMar>
              <w:top w:w="56" w:type="dxa"/>
              <w:left w:w="56" w:type="dxa"/>
              <w:bottom w:w="56" w:type="dxa"/>
              <w:right w:w="56" w:type="dxa"/>
            </w:tcMar>
          </w:tcPr>
          <w:p w14:paraId="7C453620" w14:textId="77777777" w:rsidR="00F5389C" w:rsidRDefault="00F5389C">
            <w:pPr>
              <w:spacing w:line="240" w:lineRule="auto"/>
              <w:jc w:val="center"/>
              <w:rPr>
                <w:color w:val="FF0000"/>
                <w:sz w:val="24"/>
                <w:szCs w:val="24"/>
              </w:rPr>
            </w:pPr>
          </w:p>
        </w:tc>
        <w:tc>
          <w:tcPr>
            <w:tcW w:w="907" w:type="dxa"/>
            <w:tcBorders>
              <w:top w:val="nil"/>
              <w:left w:val="nil"/>
              <w:bottom w:val="nil"/>
              <w:right w:val="nil"/>
            </w:tcBorders>
            <w:tcMar>
              <w:top w:w="56" w:type="dxa"/>
              <w:left w:w="56" w:type="dxa"/>
              <w:bottom w:w="56" w:type="dxa"/>
              <w:right w:w="56" w:type="dxa"/>
            </w:tcMar>
          </w:tcPr>
          <w:p w14:paraId="063A6D94" w14:textId="77777777" w:rsidR="00F5389C" w:rsidRDefault="00F5389C">
            <w:pPr>
              <w:spacing w:line="240" w:lineRule="auto"/>
              <w:jc w:val="center"/>
              <w:rPr>
                <w:color w:val="FF0000"/>
                <w:sz w:val="24"/>
                <w:szCs w:val="24"/>
              </w:rPr>
            </w:pPr>
          </w:p>
        </w:tc>
        <w:tc>
          <w:tcPr>
            <w:tcW w:w="892" w:type="dxa"/>
            <w:tcBorders>
              <w:top w:val="nil"/>
              <w:left w:val="nil"/>
              <w:bottom w:val="nil"/>
              <w:right w:val="nil"/>
            </w:tcBorders>
            <w:tcMar>
              <w:top w:w="56" w:type="dxa"/>
              <w:left w:w="56" w:type="dxa"/>
              <w:bottom w:w="56" w:type="dxa"/>
              <w:right w:w="56" w:type="dxa"/>
            </w:tcMar>
          </w:tcPr>
          <w:p w14:paraId="0A8A754D" w14:textId="77777777" w:rsidR="00F5389C" w:rsidRDefault="00F5389C">
            <w:pPr>
              <w:spacing w:line="240" w:lineRule="auto"/>
              <w:jc w:val="center"/>
              <w:rPr>
                <w:color w:val="FF0000"/>
                <w:sz w:val="24"/>
                <w:szCs w:val="24"/>
              </w:rPr>
            </w:pPr>
          </w:p>
        </w:tc>
        <w:tc>
          <w:tcPr>
            <w:tcW w:w="1051" w:type="dxa"/>
            <w:tcBorders>
              <w:top w:val="nil"/>
              <w:left w:val="nil"/>
              <w:bottom w:val="nil"/>
              <w:right w:val="nil"/>
            </w:tcBorders>
            <w:tcMar>
              <w:top w:w="56" w:type="dxa"/>
              <w:left w:w="56" w:type="dxa"/>
              <w:bottom w:w="56" w:type="dxa"/>
              <w:right w:w="56" w:type="dxa"/>
            </w:tcMar>
            <w:hideMark/>
          </w:tcPr>
          <w:p w14:paraId="7CC2B6BA" w14:textId="77777777" w:rsidR="00F5389C" w:rsidRDefault="00F5389C">
            <w:pPr>
              <w:spacing w:line="240" w:lineRule="auto"/>
              <w:jc w:val="center"/>
              <w:rPr>
                <w:color w:val="FF0000"/>
                <w:sz w:val="24"/>
                <w:szCs w:val="24"/>
              </w:rPr>
            </w:pPr>
            <w:r>
              <w:rPr>
                <w:color w:val="FF0000"/>
                <w:sz w:val="24"/>
                <w:szCs w:val="24"/>
              </w:rPr>
              <w:t>NEG</w:t>
            </w:r>
          </w:p>
        </w:tc>
        <w:tc>
          <w:tcPr>
            <w:tcW w:w="700" w:type="dxa"/>
            <w:tcBorders>
              <w:top w:val="single" w:sz="8" w:space="0" w:color="FFFFFF"/>
              <w:left w:val="nil"/>
              <w:bottom w:val="nil"/>
              <w:right w:val="nil"/>
            </w:tcBorders>
            <w:tcMar>
              <w:top w:w="56" w:type="dxa"/>
              <w:left w:w="56" w:type="dxa"/>
              <w:bottom w:w="56" w:type="dxa"/>
              <w:right w:w="56" w:type="dxa"/>
            </w:tcMar>
          </w:tcPr>
          <w:p w14:paraId="54E900C5" w14:textId="77777777" w:rsidR="00F5389C" w:rsidRDefault="00F5389C">
            <w:pPr>
              <w:spacing w:line="240" w:lineRule="auto"/>
              <w:jc w:val="center"/>
              <w:rPr>
                <w:color w:val="FF0000"/>
                <w:sz w:val="24"/>
                <w:szCs w:val="24"/>
              </w:rPr>
            </w:pPr>
          </w:p>
        </w:tc>
        <w:tc>
          <w:tcPr>
            <w:tcW w:w="920" w:type="dxa"/>
            <w:tcBorders>
              <w:top w:val="single" w:sz="8" w:space="0" w:color="FFFFFF"/>
              <w:left w:val="nil"/>
              <w:bottom w:val="nil"/>
              <w:right w:val="nil"/>
            </w:tcBorders>
            <w:tcMar>
              <w:top w:w="56" w:type="dxa"/>
              <w:left w:w="56" w:type="dxa"/>
              <w:bottom w:w="56" w:type="dxa"/>
              <w:right w:w="56" w:type="dxa"/>
            </w:tcMar>
          </w:tcPr>
          <w:p w14:paraId="09CF6182" w14:textId="77777777" w:rsidR="00F5389C" w:rsidRDefault="00F5389C">
            <w:pPr>
              <w:spacing w:line="240" w:lineRule="auto"/>
              <w:jc w:val="center"/>
              <w:rPr>
                <w:sz w:val="24"/>
                <w:szCs w:val="24"/>
              </w:rPr>
            </w:pPr>
          </w:p>
        </w:tc>
        <w:tc>
          <w:tcPr>
            <w:tcW w:w="920" w:type="dxa"/>
            <w:tcBorders>
              <w:top w:val="single" w:sz="8" w:space="0" w:color="FFFFFF"/>
              <w:left w:val="nil"/>
              <w:bottom w:val="nil"/>
              <w:right w:val="nil"/>
            </w:tcBorders>
            <w:tcMar>
              <w:top w:w="56" w:type="dxa"/>
              <w:left w:w="56" w:type="dxa"/>
              <w:bottom w:w="56" w:type="dxa"/>
              <w:right w:w="56" w:type="dxa"/>
            </w:tcMar>
          </w:tcPr>
          <w:p w14:paraId="73DC66D4" w14:textId="77777777" w:rsidR="00F5389C" w:rsidRDefault="00F5389C">
            <w:pPr>
              <w:spacing w:line="240" w:lineRule="auto"/>
              <w:jc w:val="center"/>
              <w:rPr>
                <w:sz w:val="24"/>
                <w:szCs w:val="24"/>
              </w:rPr>
            </w:pPr>
          </w:p>
        </w:tc>
        <w:tc>
          <w:tcPr>
            <w:tcW w:w="975" w:type="dxa"/>
            <w:tcBorders>
              <w:top w:val="single" w:sz="8" w:space="0" w:color="FFFFFF"/>
              <w:left w:val="nil"/>
              <w:bottom w:val="nil"/>
              <w:right w:val="nil"/>
            </w:tcBorders>
            <w:tcMar>
              <w:top w:w="56" w:type="dxa"/>
              <w:left w:w="56" w:type="dxa"/>
              <w:bottom w:w="56" w:type="dxa"/>
              <w:right w:w="56" w:type="dxa"/>
            </w:tcMar>
          </w:tcPr>
          <w:p w14:paraId="6961D277" w14:textId="77777777" w:rsidR="00F5389C" w:rsidRDefault="00F5389C">
            <w:pPr>
              <w:spacing w:line="240" w:lineRule="auto"/>
              <w:jc w:val="center"/>
              <w:rPr>
                <w:sz w:val="24"/>
                <w:szCs w:val="24"/>
              </w:rPr>
            </w:pPr>
          </w:p>
        </w:tc>
      </w:tr>
      <w:tr w:rsidR="00F5389C" w14:paraId="2391B907" w14:textId="77777777" w:rsidTr="00F5389C">
        <w:trPr>
          <w:trHeight w:val="199"/>
        </w:trPr>
        <w:tc>
          <w:tcPr>
            <w:tcW w:w="1466" w:type="dxa"/>
            <w:tcBorders>
              <w:top w:val="single" w:sz="8" w:space="0" w:color="000000"/>
              <w:left w:val="nil"/>
              <w:bottom w:val="single" w:sz="8" w:space="0" w:color="FFFFFF"/>
              <w:right w:val="nil"/>
            </w:tcBorders>
            <w:tcMar>
              <w:top w:w="56" w:type="dxa"/>
              <w:left w:w="56" w:type="dxa"/>
              <w:bottom w:w="56" w:type="dxa"/>
              <w:right w:w="56" w:type="dxa"/>
            </w:tcMar>
            <w:hideMark/>
          </w:tcPr>
          <w:p w14:paraId="2C9E78CF" w14:textId="77777777" w:rsidR="00F5389C" w:rsidRDefault="00F5389C">
            <w:pPr>
              <w:spacing w:line="240" w:lineRule="auto"/>
              <w:jc w:val="center"/>
              <w:rPr>
                <w:color w:val="FF0000"/>
                <w:sz w:val="24"/>
                <w:szCs w:val="24"/>
                <w:vertAlign w:val="superscript"/>
              </w:rPr>
            </w:pPr>
            <w:r>
              <w:rPr>
                <w:color w:val="FF0000"/>
                <w:sz w:val="24"/>
                <w:szCs w:val="24"/>
                <w:vertAlign w:val="superscript"/>
              </w:rPr>
              <w:t>$</w:t>
            </w:r>
            <w:r>
              <w:rPr>
                <w:color w:val="FF0000"/>
                <w:sz w:val="24"/>
                <w:szCs w:val="24"/>
              </w:rPr>
              <w:t>236</w:t>
            </w:r>
          </w:p>
        </w:tc>
        <w:tc>
          <w:tcPr>
            <w:tcW w:w="1194" w:type="dxa"/>
            <w:tcBorders>
              <w:top w:val="single" w:sz="8" w:space="0" w:color="000000"/>
              <w:left w:val="nil"/>
              <w:bottom w:val="single" w:sz="8" w:space="0" w:color="FFFFFF"/>
              <w:right w:val="nil"/>
            </w:tcBorders>
            <w:tcMar>
              <w:top w:w="56" w:type="dxa"/>
              <w:left w:w="56" w:type="dxa"/>
              <w:bottom w:w="56" w:type="dxa"/>
              <w:right w:w="56" w:type="dxa"/>
            </w:tcMar>
            <w:hideMark/>
          </w:tcPr>
          <w:p w14:paraId="568D638E" w14:textId="77777777" w:rsidR="00F5389C" w:rsidRDefault="00F5389C">
            <w:pPr>
              <w:spacing w:line="240" w:lineRule="auto"/>
              <w:jc w:val="center"/>
              <w:rPr>
                <w:color w:val="FF0000"/>
                <w:sz w:val="24"/>
                <w:szCs w:val="24"/>
              </w:rPr>
            </w:pPr>
            <w:r>
              <w:rPr>
                <w:color w:val="FF0000"/>
                <w:sz w:val="24"/>
                <w:szCs w:val="24"/>
              </w:rPr>
              <w:t>2</w:t>
            </w:r>
          </w:p>
        </w:tc>
        <w:tc>
          <w:tcPr>
            <w:tcW w:w="907" w:type="dxa"/>
            <w:tcBorders>
              <w:top w:val="single" w:sz="8" w:space="0" w:color="000000"/>
              <w:left w:val="nil"/>
              <w:bottom w:val="single" w:sz="8" w:space="0" w:color="FFFFFF"/>
              <w:right w:val="nil"/>
            </w:tcBorders>
            <w:tcMar>
              <w:top w:w="56" w:type="dxa"/>
              <w:left w:w="56" w:type="dxa"/>
              <w:bottom w:w="56" w:type="dxa"/>
              <w:right w:w="56" w:type="dxa"/>
            </w:tcMar>
          </w:tcPr>
          <w:p w14:paraId="09312DEF" w14:textId="77777777" w:rsidR="00F5389C" w:rsidRDefault="00F5389C">
            <w:pPr>
              <w:spacing w:line="240" w:lineRule="auto"/>
              <w:jc w:val="center"/>
              <w:rPr>
                <w:color w:val="FF0000"/>
                <w:sz w:val="24"/>
                <w:szCs w:val="24"/>
              </w:rPr>
            </w:pPr>
          </w:p>
        </w:tc>
        <w:tc>
          <w:tcPr>
            <w:tcW w:w="907" w:type="dxa"/>
            <w:tcBorders>
              <w:top w:val="single" w:sz="8" w:space="0" w:color="000000"/>
              <w:left w:val="nil"/>
              <w:bottom w:val="single" w:sz="8" w:space="0" w:color="FFFFFF"/>
              <w:right w:val="nil"/>
            </w:tcBorders>
            <w:tcMar>
              <w:top w:w="56" w:type="dxa"/>
              <w:left w:w="56" w:type="dxa"/>
              <w:bottom w:w="56" w:type="dxa"/>
              <w:right w:w="56" w:type="dxa"/>
            </w:tcMar>
          </w:tcPr>
          <w:p w14:paraId="3EBBDA27" w14:textId="77777777" w:rsidR="00F5389C" w:rsidRDefault="00F5389C">
            <w:pPr>
              <w:spacing w:line="240" w:lineRule="auto"/>
              <w:jc w:val="center"/>
              <w:rPr>
                <w:color w:val="FF0000"/>
                <w:sz w:val="24"/>
                <w:szCs w:val="24"/>
              </w:rPr>
            </w:pPr>
          </w:p>
        </w:tc>
        <w:tc>
          <w:tcPr>
            <w:tcW w:w="892" w:type="dxa"/>
            <w:tcBorders>
              <w:top w:val="single" w:sz="8" w:space="0" w:color="000000"/>
              <w:left w:val="nil"/>
              <w:bottom w:val="single" w:sz="8" w:space="0" w:color="FFFFFF"/>
              <w:right w:val="nil"/>
            </w:tcBorders>
            <w:tcMar>
              <w:top w:w="56" w:type="dxa"/>
              <w:left w:w="56" w:type="dxa"/>
              <w:bottom w:w="56" w:type="dxa"/>
              <w:right w:w="56" w:type="dxa"/>
            </w:tcMar>
          </w:tcPr>
          <w:p w14:paraId="47ACEA13" w14:textId="77777777" w:rsidR="00F5389C" w:rsidRDefault="00F5389C">
            <w:pPr>
              <w:spacing w:line="240" w:lineRule="auto"/>
              <w:jc w:val="center"/>
              <w:rPr>
                <w:color w:val="FF0000"/>
                <w:sz w:val="24"/>
                <w:szCs w:val="24"/>
              </w:rPr>
            </w:pPr>
          </w:p>
        </w:tc>
        <w:tc>
          <w:tcPr>
            <w:tcW w:w="1051" w:type="dxa"/>
            <w:tcBorders>
              <w:top w:val="single" w:sz="8" w:space="0" w:color="000000"/>
              <w:left w:val="nil"/>
              <w:bottom w:val="single" w:sz="8" w:space="0" w:color="FFFFFF"/>
              <w:right w:val="nil"/>
            </w:tcBorders>
            <w:tcMar>
              <w:top w:w="56" w:type="dxa"/>
              <w:left w:w="56" w:type="dxa"/>
              <w:bottom w:w="56" w:type="dxa"/>
              <w:right w:w="56" w:type="dxa"/>
            </w:tcMar>
            <w:hideMark/>
          </w:tcPr>
          <w:p w14:paraId="4F9CC7EC" w14:textId="77777777" w:rsidR="00F5389C" w:rsidRDefault="00F5389C">
            <w:pPr>
              <w:spacing w:line="240" w:lineRule="auto"/>
              <w:jc w:val="center"/>
              <w:rPr>
                <w:color w:val="FF0000"/>
                <w:sz w:val="24"/>
                <w:szCs w:val="24"/>
              </w:rPr>
            </w:pPr>
            <w:r>
              <w:rPr>
                <w:color w:val="FF0000"/>
                <w:sz w:val="24"/>
                <w:szCs w:val="24"/>
              </w:rPr>
              <w:t>NEG</w:t>
            </w:r>
          </w:p>
        </w:tc>
        <w:tc>
          <w:tcPr>
            <w:tcW w:w="700" w:type="dxa"/>
            <w:tcBorders>
              <w:top w:val="single" w:sz="8" w:space="0" w:color="000000"/>
              <w:left w:val="nil"/>
              <w:bottom w:val="single" w:sz="8" w:space="0" w:color="FFFFFF"/>
              <w:right w:val="nil"/>
            </w:tcBorders>
            <w:tcMar>
              <w:top w:w="56" w:type="dxa"/>
              <w:left w:w="56" w:type="dxa"/>
              <w:bottom w:w="56" w:type="dxa"/>
              <w:right w:w="56" w:type="dxa"/>
            </w:tcMar>
          </w:tcPr>
          <w:p w14:paraId="4CAE8D96" w14:textId="77777777" w:rsidR="00F5389C" w:rsidRDefault="00F5389C">
            <w:pPr>
              <w:spacing w:line="240" w:lineRule="auto"/>
              <w:jc w:val="center"/>
              <w:rPr>
                <w:color w:val="FF0000"/>
                <w:sz w:val="24"/>
                <w:szCs w:val="24"/>
              </w:rPr>
            </w:pPr>
          </w:p>
        </w:tc>
        <w:tc>
          <w:tcPr>
            <w:tcW w:w="920" w:type="dxa"/>
            <w:tcBorders>
              <w:top w:val="single" w:sz="8" w:space="0" w:color="000000"/>
              <w:left w:val="nil"/>
              <w:bottom w:val="single" w:sz="8" w:space="0" w:color="FFFFFF"/>
              <w:right w:val="nil"/>
            </w:tcBorders>
            <w:tcMar>
              <w:top w:w="56" w:type="dxa"/>
              <w:left w:w="56" w:type="dxa"/>
              <w:bottom w:w="56" w:type="dxa"/>
              <w:right w:w="56" w:type="dxa"/>
            </w:tcMar>
          </w:tcPr>
          <w:p w14:paraId="5F7AA010" w14:textId="77777777" w:rsidR="00F5389C" w:rsidRDefault="00F5389C">
            <w:pPr>
              <w:spacing w:line="240" w:lineRule="auto"/>
              <w:jc w:val="center"/>
              <w:rPr>
                <w:sz w:val="24"/>
                <w:szCs w:val="24"/>
              </w:rPr>
            </w:pPr>
          </w:p>
        </w:tc>
        <w:tc>
          <w:tcPr>
            <w:tcW w:w="920" w:type="dxa"/>
            <w:tcBorders>
              <w:top w:val="single" w:sz="8" w:space="0" w:color="000000"/>
              <w:left w:val="nil"/>
              <w:bottom w:val="single" w:sz="8" w:space="0" w:color="FFFFFF"/>
              <w:right w:val="nil"/>
            </w:tcBorders>
            <w:tcMar>
              <w:top w:w="56" w:type="dxa"/>
              <w:left w:w="56" w:type="dxa"/>
              <w:bottom w:w="56" w:type="dxa"/>
              <w:right w:w="56" w:type="dxa"/>
            </w:tcMar>
          </w:tcPr>
          <w:p w14:paraId="7E5B6737" w14:textId="77777777" w:rsidR="00F5389C" w:rsidRDefault="00F5389C">
            <w:pPr>
              <w:spacing w:line="240" w:lineRule="auto"/>
              <w:jc w:val="center"/>
              <w:rPr>
                <w:sz w:val="24"/>
                <w:szCs w:val="24"/>
              </w:rPr>
            </w:pPr>
          </w:p>
        </w:tc>
        <w:tc>
          <w:tcPr>
            <w:tcW w:w="975" w:type="dxa"/>
            <w:tcBorders>
              <w:top w:val="single" w:sz="8" w:space="0" w:color="000000"/>
              <w:left w:val="nil"/>
              <w:bottom w:val="single" w:sz="8" w:space="0" w:color="FFFFFF"/>
              <w:right w:val="nil"/>
            </w:tcBorders>
            <w:tcMar>
              <w:top w:w="56" w:type="dxa"/>
              <w:left w:w="56" w:type="dxa"/>
              <w:bottom w:w="56" w:type="dxa"/>
              <w:right w:w="56" w:type="dxa"/>
            </w:tcMar>
          </w:tcPr>
          <w:p w14:paraId="1393AE48" w14:textId="77777777" w:rsidR="00F5389C" w:rsidRDefault="00F5389C">
            <w:pPr>
              <w:spacing w:line="240" w:lineRule="auto"/>
              <w:jc w:val="center"/>
              <w:rPr>
                <w:sz w:val="24"/>
                <w:szCs w:val="24"/>
              </w:rPr>
            </w:pPr>
          </w:p>
        </w:tc>
      </w:tr>
      <w:tr w:rsidR="00F5389C" w14:paraId="64AE4EC3"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28741637" w14:textId="77777777" w:rsidR="00F5389C" w:rsidRDefault="00F5389C">
            <w:pPr>
              <w:spacing w:line="240" w:lineRule="auto"/>
              <w:jc w:val="center"/>
              <w:rPr>
                <w:color w:val="FF0000"/>
                <w:sz w:val="24"/>
                <w:szCs w:val="24"/>
              </w:rPr>
            </w:pPr>
            <w:r>
              <w:rPr>
                <w:color w:val="FF0000"/>
                <w:sz w:val="24"/>
                <w:szCs w:val="24"/>
              </w:rPr>
              <w:t>237</w:t>
            </w:r>
          </w:p>
        </w:tc>
        <w:tc>
          <w:tcPr>
            <w:tcW w:w="1194" w:type="dxa"/>
            <w:tcBorders>
              <w:top w:val="nil"/>
              <w:left w:val="nil"/>
              <w:bottom w:val="nil"/>
              <w:right w:val="nil"/>
            </w:tcBorders>
            <w:tcMar>
              <w:top w:w="56" w:type="dxa"/>
              <w:left w:w="56" w:type="dxa"/>
              <w:bottom w:w="56" w:type="dxa"/>
              <w:right w:w="56" w:type="dxa"/>
            </w:tcMar>
            <w:hideMark/>
          </w:tcPr>
          <w:p w14:paraId="0884F933" w14:textId="77777777" w:rsidR="00F5389C" w:rsidRDefault="00F5389C">
            <w:pPr>
              <w:spacing w:line="240" w:lineRule="auto"/>
              <w:jc w:val="center"/>
              <w:rPr>
                <w:color w:val="FF0000"/>
                <w:sz w:val="24"/>
                <w:szCs w:val="24"/>
              </w:rPr>
            </w:pPr>
            <w:r>
              <w:rPr>
                <w:color w:val="FF0000"/>
                <w:sz w:val="24"/>
                <w:szCs w:val="24"/>
              </w:rPr>
              <w:t>3</w:t>
            </w:r>
          </w:p>
        </w:tc>
        <w:tc>
          <w:tcPr>
            <w:tcW w:w="907" w:type="dxa"/>
            <w:tcBorders>
              <w:top w:val="nil"/>
              <w:left w:val="nil"/>
              <w:bottom w:val="nil"/>
              <w:right w:val="nil"/>
            </w:tcBorders>
            <w:tcMar>
              <w:top w:w="56" w:type="dxa"/>
              <w:left w:w="56" w:type="dxa"/>
              <w:bottom w:w="56" w:type="dxa"/>
              <w:right w:w="56" w:type="dxa"/>
            </w:tcMar>
            <w:hideMark/>
          </w:tcPr>
          <w:p w14:paraId="7058DC5C" w14:textId="77777777" w:rsidR="00F5389C" w:rsidRDefault="00F5389C">
            <w:pPr>
              <w:spacing w:line="240" w:lineRule="auto"/>
              <w:jc w:val="center"/>
              <w:rPr>
                <w:color w:val="FF0000"/>
                <w:sz w:val="24"/>
                <w:szCs w:val="24"/>
              </w:rPr>
            </w:pPr>
            <w:r>
              <w:rPr>
                <w:color w:val="FF0000"/>
                <w:sz w:val="24"/>
                <w:szCs w:val="24"/>
              </w:rPr>
              <w:t>27.34</w:t>
            </w:r>
          </w:p>
        </w:tc>
        <w:tc>
          <w:tcPr>
            <w:tcW w:w="907" w:type="dxa"/>
            <w:tcBorders>
              <w:top w:val="nil"/>
              <w:left w:val="nil"/>
              <w:bottom w:val="nil"/>
              <w:right w:val="nil"/>
            </w:tcBorders>
            <w:tcMar>
              <w:top w:w="56" w:type="dxa"/>
              <w:left w:w="56" w:type="dxa"/>
              <w:bottom w:w="56" w:type="dxa"/>
              <w:right w:w="56" w:type="dxa"/>
            </w:tcMar>
            <w:hideMark/>
          </w:tcPr>
          <w:p w14:paraId="1C0AB687" w14:textId="77777777" w:rsidR="00F5389C" w:rsidRDefault="00F5389C">
            <w:pPr>
              <w:spacing w:line="240" w:lineRule="auto"/>
              <w:jc w:val="center"/>
              <w:rPr>
                <w:color w:val="FF0000"/>
                <w:sz w:val="24"/>
                <w:szCs w:val="24"/>
              </w:rPr>
            </w:pPr>
            <w:r>
              <w:rPr>
                <w:color w:val="FF0000"/>
                <w:sz w:val="24"/>
                <w:szCs w:val="24"/>
              </w:rPr>
              <w:t>27.15</w:t>
            </w:r>
          </w:p>
        </w:tc>
        <w:tc>
          <w:tcPr>
            <w:tcW w:w="892" w:type="dxa"/>
            <w:tcBorders>
              <w:top w:val="nil"/>
              <w:left w:val="nil"/>
              <w:bottom w:val="nil"/>
              <w:right w:val="nil"/>
            </w:tcBorders>
            <w:tcMar>
              <w:top w:w="56" w:type="dxa"/>
              <w:left w:w="56" w:type="dxa"/>
              <w:bottom w:w="56" w:type="dxa"/>
              <w:right w:w="56" w:type="dxa"/>
            </w:tcMar>
          </w:tcPr>
          <w:p w14:paraId="62090B51" w14:textId="77777777" w:rsidR="00F5389C" w:rsidRDefault="00F5389C">
            <w:pPr>
              <w:spacing w:line="240" w:lineRule="auto"/>
              <w:jc w:val="center"/>
              <w:rPr>
                <w:color w:val="FF0000"/>
                <w:sz w:val="24"/>
                <w:szCs w:val="24"/>
              </w:rPr>
            </w:pPr>
          </w:p>
        </w:tc>
        <w:tc>
          <w:tcPr>
            <w:tcW w:w="1051" w:type="dxa"/>
            <w:tcBorders>
              <w:top w:val="nil"/>
              <w:left w:val="nil"/>
              <w:bottom w:val="nil"/>
              <w:right w:val="nil"/>
            </w:tcBorders>
            <w:tcMar>
              <w:top w:w="56" w:type="dxa"/>
              <w:left w:w="56" w:type="dxa"/>
              <w:bottom w:w="56" w:type="dxa"/>
              <w:right w:w="56" w:type="dxa"/>
            </w:tcMar>
            <w:hideMark/>
          </w:tcPr>
          <w:p w14:paraId="10041E10" w14:textId="77777777" w:rsidR="00F5389C" w:rsidRDefault="00F5389C">
            <w:pPr>
              <w:spacing w:line="240" w:lineRule="auto"/>
              <w:jc w:val="center"/>
              <w:rPr>
                <w:color w:val="FF0000"/>
                <w:sz w:val="24"/>
                <w:szCs w:val="24"/>
              </w:rPr>
            </w:pPr>
            <w:r>
              <w:rPr>
                <w:color w:val="FF0000"/>
                <w:sz w:val="24"/>
                <w:szCs w:val="24"/>
              </w:rPr>
              <w:t>POS</w:t>
            </w:r>
          </w:p>
        </w:tc>
        <w:tc>
          <w:tcPr>
            <w:tcW w:w="700" w:type="dxa"/>
            <w:tcBorders>
              <w:top w:val="single" w:sz="8" w:space="0" w:color="FFFFFF"/>
              <w:left w:val="nil"/>
              <w:bottom w:val="nil"/>
              <w:right w:val="nil"/>
            </w:tcBorders>
            <w:tcMar>
              <w:top w:w="56" w:type="dxa"/>
              <w:left w:w="56" w:type="dxa"/>
              <w:bottom w:w="56" w:type="dxa"/>
              <w:right w:w="56" w:type="dxa"/>
            </w:tcMar>
          </w:tcPr>
          <w:p w14:paraId="0901F40D" w14:textId="77777777" w:rsidR="00F5389C" w:rsidRDefault="00F5389C">
            <w:pPr>
              <w:spacing w:line="240" w:lineRule="auto"/>
              <w:jc w:val="center"/>
              <w:rPr>
                <w:color w:val="FF0000"/>
                <w:sz w:val="24"/>
                <w:szCs w:val="24"/>
              </w:rPr>
            </w:pPr>
          </w:p>
        </w:tc>
        <w:tc>
          <w:tcPr>
            <w:tcW w:w="920" w:type="dxa"/>
            <w:tcBorders>
              <w:top w:val="single" w:sz="8" w:space="0" w:color="FFFFFF"/>
              <w:left w:val="nil"/>
              <w:bottom w:val="nil"/>
              <w:right w:val="nil"/>
            </w:tcBorders>
            <w:tcMar>
              <w:top w:w="56" w:type="dxa"/>
              <w:left w:w="56" w:type="dxa"/>
              <w:bottom w:w="56" w:type="dxa"/>
              <w:right w:w="56" w:type="dxa"/>
            </w:tcMar>
          </w:tcPr>
          <w:p w14:paraId="2AFC5EF5" w14:textId="77777777" w:rsidR="00F5389C" w:rsidRDefault="00F5389C">
            <w:pPr>
              <w:spacing w:line="240" w:lineRule="auto"/>
              <w:jc w:val="center"/>
              <w:rPr>
                <w:sz w:val="24"/>
                <w:szCs w:val="24"/>
              </w:rPr>
            </w:pPr>
          </w:p>
        </w:tc>
        <w:tc>
          <w:tcPr>
            <w:tcW w:w="920" w:type="dxa"/>
            <w:tcBorders>
              <w:top w:val="single" w:sz="8" w:space="0" w:color="FFFFFF"/>
              <w:left w:val="nil"/>
              <w:bottom w:val="nil"/>
              <w:right w:val="nil"/>
            </w:tcBorders>
            <w:tcMar>
              <w:top w:w="56" w:type="dxa"/>
              <w:left w:w="56" w:type="dxa"/>
              <w:bottom w:w="56" w:type="dxa"/>
              <w:right w:w="56" w:type="dxa"/>
            </w:tcMar>
          </w:tcPr>
          <w:p w14:paraId="2ED39461" w14:textId="77777777" w:rsidR="00F5389C" w:rsidRDefault="00F5389C">
            <w:pPr>
              <w:spacing w:line="240" w:lineRule="auto"/>
              <w:jc w:val="center"/>
              <w:rPr>
                <w:sz w:val="24"/>
                <w:szCs w:val="24"/>
              </w:rPr>
            </w:pPr>
          </w:p>
        </w:tc>
        <w:tc>
          <w:tcPr>
            <w:tcW w:w="975" w:type="dxa"/>
            <w:tcBorders>
              <w:top w:val="single" w:sz="8" w:space="0" w:color="FFFFFF"/>
              <w:left w:val="nil"/>
              <w:bottom w:val="nil"/>
              <w:right w:val="nil"/>
            </w:tcBorders>
            <w:tcMar>
              <w:top w:w="56" w:type="dxa"/>
              <w:left w:w="56" w:type="dxa"/>
              <w:bottom w:w="56" w:type="dxa"/>
              <w:right w:w="56" w:type="dxa"/>
            </w:tcMar>
          </w:tcPr>
          <w:p w14:paraId="05F009A2" w14:textId="77777777" w:rsidR="00F5389C" w:rsidRDefault="00F5389C">
            <w:pPr>
              <w:spacing w:line="240" w:lineRule="auto"/>
              <w:jc w:val="center"/>
              <w:rPr>
                <w:sz w:val="24"/>
                <w:szCs w:val="24"/>
              </w:rPr>
            </w:pPr>
          </w:p>
        </w:tc>
      </w:tr>
      <w:tr w:rsidR="00F5389C" w14:paraId="58B38641" w14:textId="77777777" w:rsidTr="00F5389C">
        <w:trPr>
          <w:trHeight w:val="199"/>
        </w:trPr>
        <w:tc>
          <w:tcPr>
            <w:tcW w:w="1466" w:type="dxa"/>
            <w:tcBorders>
              <w:top w:val="single" w:sz="8" w:space="0" w:color="FFFFFF"/>
              <w:left w:val="nil"/>
              <w:bottom w:val="nil"/>
              <w:right w:val="nil"/>
            </w:tcBorders>
            <w:tcMar>
              <w:top w:w="56" w:type="dxa"/>
              <w:left w:w="56" w:type="dxa"/>
              <w:bottom w:w="56" w:type="dxa"/>
              <w:right w:w="56" w:type="dxa"/>
            </w:tcMar>
            <w:hideMark/>
          </w:tcPr>
          <w:p w14:paraId="0E10708D" w14:textId="77777777" w:rsidR="00F5389C" w:rsidRDefault="00F5389C">
            <w:pPr>
              <w:spacing w:line="240" w:lineRule="auto"/>
              <w:jc w:val="center"/>
              <w:rPr>
                <w:sz w:val="24"/>
                <w:szCs w:val="24"/>
              </w:rPr>
            </w:pPr>
            <w:r>
              <w:rPr>
                <w:sz w:val="24"/>
                <w:szCs w:val="24"/>
              </w:rPr>
              <w:t>239</w:t>
            </w:r>
          </w:p>
        </w:tc>
        <w:tc>
          <w:tcPr>
            <w:tcW w:w="1194" w:type="dxa"/>
            <w:tcBorders>
              <w:top w:val="single" w:sz="8" w:space="0" w:color="FFFFFF"/>
              <w:left w:val="nil"/>
              <w:bottom w:val="nil"/>
              <w:right w:val="nil"/>
            </w:tcBorders>
            <w:tcMar>
              <w:top w:w="56" w:type="dxa"/>
              <w:left w:w="56" w:type="dxa"/>
              <w:bottom w:w="56" w:type="dxa"/>
              <w:right w:w="56" w:type="dxa"/>
            </w:tcMar>
            <w:hideMark/>
          </w:tcPr>
          <w:p w14:paraId="27BA7F4E" w14:textId="77777777" w:rsidR="00F5389C" w:rsidRDefault="00F5389C">
            <w:pPr>
              <w:spacing w:line="240" w:lineRule="auto"/>
              <w:jc w:val="center"/>
              <w:rPr>
                <w:sz w:val="24"/>
                <w:szCs w:val="24"/>
              </w:rPr>
            </w:pPr>
            <w:r>
              <w:rPr>
                <w:sz w:val="24"/>
                <w:szCs w:val="24"/>
              </w:rPr>
              <w:t>5</w:t>
            </w:r>
          </w:p>
        </w:tc>
        <w:tc>
          <w:tcPr>
            <w:tcW w:w="907" w:type="dxa"/>
            <w:tcBorders>
              <w:top w:val="single" w:sz="8" w:space="0" w:color="FFFFFF"/>
              <w:left w:val="nil"/>
              <w:bottom w:val="nil"/>
              <w:right w:val="nil"/>
            </w:tcBorders>
            <w:tcMar>
              <w:top w:w="56" w:type="dxa"/>
              <w:left w:w="56" w:type="dxa"/>
              <w:bottom w:w="56" w:type="dxa"/>
              <w:right w:w="56" w:type="dxa"/>
            </w:tcMar>
            <w:hideMark/>
          </w:tcPr>
          <w:p w14:paraId="38B2A203" w14:textId="77777777" w:rsidR="00F5389C" w:rsidRDefault="00F5389C">
            <w:pPr>
              <w:spacing w:line="240" w:lineRule="auto"/>
              <w:jc w:val="center"/>
              <w:rPr>
                <w:sz w:val="24"/>
                <w:szCs w:val="24"/>
              </w:rPr>
            </w:pPr>
            <w:r>
              <w:rPr>
                <w:sz w:val="24"/>
                <w:szCs w:val="24"/>
              </w:rPr>
              <w:t>34.2</w:t>
            </w:r>
          </w:p>
        </w:tc>
        <w:tc>
          <w:tcPr>
            <w:tcW w:w="907" w:type="dxa"/>
            <w:tcBorders>
              <w:top w:val="single" w:sz="8" w:space="0" w:color="FFFFFF"/>
              <w:left w:val="nil"/>
              <w:bottom w:val="nil"/>
              <w:right w:val="nil"/>
            </w:tcBorders>
            <w:tcMar>
              <w:top w:w="56" w:type="dxa"/>
              <w:left w:w="56" w:type="dxa"/>
              <w:bottom w:w="56" w:type="dxa"/>
              <w:right w:w="56" w:type="dxa"/>
            </w:tcMar>
            <w:hideMark/>
          </w:tcPr>
          <w:p w14:paraId="37FE1C4A" w14:textId="77777777" w:rsidR="00F5389C" w:rsidRDefault="00F5389C">
            <w:pPr>
              <w:spacing w:line="240" w:lineRule="auto"/>
              <w:jc w:val="center"/>
              <w:rPr>
                <w:sz w:val="24"/>
                <w:szCs w:val="24"/>
              </w:rPr>
            </w:pPr>
            <w:r>
              <w:rPr>
                <w:sz w:val="24"/>
                <w:szCs w:val="24"/>
              </w:rPr>
              <w:t>34.9</w:t>
            </w:r>
          </w:p>
        </w:tc>
        <w:tc>
          <w:tcPr>
            <w:tcW w:w="892" w:type="dxa"/>
            <w:tcBorders>
              <w:top w:val="single" w:sz="8" w:space="0" w:color="FFFFFF"/>
              <w:left w:val="nil"/>
              <w:bottom w:val="nil"/>
              <w:right w:val="nil"/>
            </w:tcBorders>
            <w:tcMar>
              <w:top w:w="56" w:type="dxa"/>
              <w:left w:w="56" w:type="dxa"/>
              <w:bottom w:w="56" w:type="dxa"/>
              <w:right w:w="56" w:type="dxa"/>
            </w:tcMar>
            <w:hideMark/>
          </w:tcPr>
          <w:p w14:paraId="2A901C80" w14:textId="77777777" w:rsidR="00F5389C" w:rsidRDefault="00F5389C">
            <w:pPr>
              <w:spacing w:line="240" w:lineRule="auto"/>
              <w:jc w:val="center"/>
              <w:rPr>
                <w:sz w:val="24"/>
                <w:szCs w:val="24"/>
              </w:rPr>
            </w:pPr>
            <w:r>
              <w:rPr>
                <w:sz w:val="24"/>
                <w:szCs w:val="24"/>
              </w:rPr>
              <w:t>27.6</w:t>
            </w:r>
          </w:p>
        </w:tc>
        <w:tc>
          <w:tcPr>
            <w:tcW w:w="1051" w:type="dxa"/>
            <w:tcBorders>
              <w:top w:val="single" w:sz="8" w:space="0" w:color="FFFFFF"/>
              <w:left w:val="nil"/>
              <w:bottom w:val="nil"/>
              <w:right w:val="nil"/>
            </w:tcBorders>
            <w:tcMar>
              <w:top w:w="56" w:type="dxa"/>
              <w:left w:w="56" w:type="dxa"/>
              <w:bottom w:w="56" w:type="dxa"/>
              <w:right w:w="56" w:type="dxa"/>
            </w:tcMar>
            <w:hideMark/>
          </w:tcPr>
          <w:p w14:paraId="75A21744" w14:textId="77777777" w:rsidR="00F5389C" w:rsidRDefault="00F5389C">
            <w:pPr>
              <w:spacing w:line="240" w:lineRule="auto"/>
              <w:jc w:val="center"/>
              <w:rPr>
                <w:sz w:val="24"/>
                <w:szCs w:val="24"/>
              </w:rPr>
            </w:pPr>
            <w:r>
              <w:rPr>
                <w:sz w:val="24"/>
                <w:szCs w:val="24"/>
              </w:rPr>
              <w:t>POS</w:t>
            </w:r>
          </w:p>
        </w:tc>
        <w:tc>
          <w:tcPr>
            <w:tcW w:w="700" w:type="dxa"/>
            <w:tcBorders>
              <w:top w:val="single" w:sz="8" w:space="0" w:color="FFFFFF"/>
              <w:left w:val="nil"/>
              <w:bottom w:val="nil"/>
              <w:right w:val="nil"/>
            </w:tcBorders>
            <w:tcMar>
              <w:top w:w="56" w:type="dxa"/>
              <w:left w:w="56" w:type="dxa"/>
              <w:bottom w:w="56" w:type="dxa"/>
              <w:right w:w="56" w:type="dxa"/>
            </w:tcMar>
            <w:hideMark/>
          </w:tcPr>
          <w:p w14:paraId="66637174" w14:textId="77777777" w:rsidR="00F5389C" w:rsidRDefault="00F5389C">
            <w:pPr>
              <w:spacing w:line="240" w:lineRule="auto"/>
              <w:jc w:val="center"/>
              <w:rPr>
                <w:sz w:val="24"/>
                <w:szCs w:val="24"/>
              </w:rPr>
            </w:pPr>
            <w:r>
              <w:rPr>
                <w:sz w:val="24"/>
                <w:szCs w:val="24"/>
              </w:rPr>
              <w:t>32.1</w:t>
            </w:r>
          </w:p>
        </w:tc>
        <w:tc>
          <w:tcPr>
            <w:tcW w:w="920" w:type="dxa"/>
            <w:tcBorders>
              <w:top w:val="single" w:sz="8" w:space="0" w:color="FFFFFF"/>
              <w:left w:val="nil"/>
              <w:bottom w:val="nil"/>
              <w:right w:val="nil"/>
            </w:tcBorders>
            <w:tcMar>
              <w:top w:w="56" w:type="dxa"/>
              <w:left w:w="56" w:type="dxa"/>
              <w:bottom w:w="56" w:type="dxa"/>
              <w:right w:w="56" w:type="dxa"/>
            </w:tcMar>
            <w:hideMark/>
          </w:tcPr>
          <w:p w14:paraId="100462C2" w14:textId="77777777" w:rsidR="00F5389C" w:rsidRDefault="00F5389C">
            <w:pPr>
              <w:spacing w:line="240" w:lineRule="auto"/>
              <w:jc w:val="center"/>
              <w:rPr>
                <w:sz w:val="24"/>
                <w:szCs w:val="24"/>
              </w:rPr>
            </w:pPr>
            <w:r>
              <w:rPr>
                <w:sz w:val="24"/>
                <w:szCs w:val="24"/>
              </w:rPr>
              <w:t>32.7</w:t>
            </w:r>
          </w:p>
        </w:tc>
        <w:tc>
          <w:tcPr>
            <w:tcW w:w="920" w:type="dxa"/>
            <w:tcBorders>
              <w:top w:val="single" w:sz="8" w:space="0" w:color="FFFFFF"/>
              <w:left w:val="nil"/>
              <w:bottom w:val="nil"/>
              <w:right w:val="nil"/>
            </w:tcBorders>
            <w:tcMar>
              <w:top w:w="56" w:type="dxa"/>
              <w:left w:w="56" w:type="dxa"/>
              <w:bottom w:w="56" w:type="dxa"/>
              <w:right w:w="56" w:type="dxa"/>
            </w:tcMar>
            <w:hideMark/>
          </w:tcPr>
          <w:p w14:paraId="134D6A5F" w14:textId="77777777" w:rsidR="00F5389C" w:rsidRDefault="00F5389C">
            <w:pPr>
              <w:spacing w:line="240" w:lineRule="auto"/>
              <w:jc w:val="center"/>
              <w:rPr>
                <w:sz w:val="24"/>
                <w:szCs w:val="24"/>
              </w:rPr>
            </w:pPr>
            <w:r>
              <w:rPr>
                <w:sz w:val="24"/>
                <w:szCs w:val="24"/>
              </w:rPr>
              <w:t>27.1</w:t>
            </w:r>
          </w:p>
        </w:tc>
        <w:tc>
          <w:tcPr>
            <w:tcW w:w="975" w:type="dxa"/>
            <w:tcBorders>
              <w:top w:val="single" w:sz="8" w:space="0" w:color="FFFFFF"/>
              <w:left w:val="nil"/>
              <w:bottom w:val="nil"/>
              <w:right w:val="nil"/>
            </w:tcBorders>
            <w:tcMar>
              <w:top w:w="56" w:type="dxa"/>
              <w:left w:w="56" w:type="dxa"/>
              <w:bottom w:w="56" w:type="dxa"/>
              <w:right w:w="56" w:type="dxa"/>
            </w:tcMar>
            <w:hideMark/>
          </w:tcPr>
          <w:p w14:paraId="1BF67357" w14:textId="77777777" w:rsidR="00F5389C" w:rsidRDefault="00F5389C">
            <w:pPr>
              <w:spacing w:line="240" w:lineRule="auto"/>
              <w:jc w:val="center"/>
              <w:rPr>
                <w:sz w:val="24"/>
                <w:szCs w:val="24"/>
              </w:rPr>
            </w:pPr>
            <w:r>
              <w:rPr>
                <w:sz w:val="24"/>
                <w:szCs w:val="24"/>
              </w:rPr>
              <w:t>POS</w:t>
            </w:r>
          </w:p>
        </w:tc>
      </w:tr>
      <w:tr w:rsidR="00F5389C" w14:paraId="19AC8971"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7A32478C" w14:textId="77777777" w:rsidR="00F5389C" w:rsidRDefault="00F5389C">
            <w:pPr>
              <w:spacing w:line="240" w:lineRule="auto"/>
              <w:jc w:val="center"/>
              <w:rPr>
                <w:sz w:val="24"/>
                <w:szCs w:val="24"/>
              </w:rPr>
            </w:pPr>
            <w:r>
              <w:rPr>
                <w:sz w:val="24"/>
                <w:szCs w:val="24"/>
              </w:rPr>
              <w:t>241</w:t>
            </w:r>
          </w:p>
        </w:tc>
        <w:tc>
          <w:tcPr>
            <w:tcW w:w="1194" w:type="dxa"/>
            <w:tcBorders>
              <w:top w:val="nil"/>
              <w:left w:val="nil"/>
              <w:bottom w:val="nil"/>
              <w:right w:val="nil"/>
            </w:tcBorders>
            <w:tcMar>
              <w:top w:w="56" w:type="dxa"/>
              <w:left w:w="56" w:type="dxa"/>
              <w:bottom w:w="56" w:type="dxa"/>
              <w:right w:w="56" w:type="dxa"/>
            </w:tcMar>
            <w:hideMark/>
          </w:tcPr>
          <w:p w14:paraId="75EFC130" w14:textId="77777777" w:rsidR="00F5389C" w:rsidRDefault="00F5389C">
            <w:pPr>
              <w:spacing w:line="240" w:lineRule="auto"/>
              <w:jc w:val="center"/>
              <w:rPr>
                <w:sz w:val="24"/>
                <w:szCs w:val="24"/>
              </w:rPr>
            </w:pPr>
            <w:r>
              <w:rPr>
                <w:sz w:val="24"/>
                <w:szCs w:val="24"/>
              </w:rPr>
              <w:t>7</w:t>
            </w:r>
          </w:p>
        </w:tc>
        <w:tc>
          <w:tcPr>
            <w:tcW w:w="907" w:type="dxa"/>
            <w:tcBorders>
              <w:top w:val="nil"/>
              <w:left w:val="nil"/>
              <w:bottom w:val="nil"/>
              <w:right w:val="nil"/>
            </w:tcBorders>
            <w:tcMar>
              <w:top w:w="56" w:type="dxa"/>
              <w:left w:w="56" w:type="dxa"/>
              <w:bottom w:w="56" w:type="dxa"/>
              <w:right w:w="56" w:type="dxa"/>
            </w:tcMar>
            <w:hideMark/>
          </w:tcPr>
          <w:p w14:paraId="09D34E0B" w14:textId="77777777" w:rsidR="00F5389C" w:rsidRDefault="00F5389C">
            <w:pPr>
              <w:spacing w:line="240" w:lineRule="auto"/>
              <w:jc w:val="center"/>
              <w:rPr>
                <w:sz w:val="24"/>
                <w:szCs w:val="24"/>
              </w:rPr>
            </w:pPr>
            <w:r>
              <w:rPr>
                <w:sz w:val="24"/>
                <w:szCs w:val="24"/>
              </w:rPr>
              <w:t>25.4</w:t>
            </w:r>
          </w:p>
        </w:tc>
        <w:tc>
          <w:tcPr>
            <w:tcW w:w="907" w:type="dxa"/>
            <w:tcBorders>
              <w:top w:val="nil"/>
              <w:left w:val="nil"/>
              <w:bottom w:val="nil"/>
              <w:right w:val="nil"/>
            </w:tcBorders>
            <w:tcMar>
              <w:top w:w="56" w:type="dxa"/>
              <w:left w:w="56" w:type="dxa"/>
              <w:bottom w:w="56" w:type="dxa"/>
              <w:right w:w="56" w:type="dxa"/>
            </w:tcMar>
            <w:hideMark/>
          </w:tcPr>
          <w:p w14:paraId="0A65BC5D" w14:textId="77777777" w:rsidR="00F5389C" w:rsidRDefault="00F5389C">
            <w:pPr>
              <w:spacing w:line="240" w:lineRule="auto"/>
              <w:jc w:val="center"/>
              <w:rPr>
                <w:sz w:val="24"/>
                <w:szCs w:val="24"/>
              </w:rPr>
            </w:pPr>
            <w:r>
              <w:rPr>
                <w:sz w:val="24"/>
                <w:szCs w:val="24"/>
              </w:rPr>
              <w:t>25.3</w:t>
            </w:r>
          </w:p>
        </w:tc>
        <w:tc>
          <w:tcPr>
            <w:tcW w:w="892" w:type="dxa"/>
            <w:tcBorders>
              <w:top w:val="nil"/>
              <w:left w:val="nil"/>
              <w:bottom w:val="nil"/>
              <w:right w:val="nil"/>
            </w:tcBorders>
            <w:tcMar>
              <w:top w:w="56" w:type="dxa"/>
              <w:left w:w="56" w:type="dxa"/>
              <w:bottom w:w="56" w:type="dxa"/>
              <w:right w:w="56" w:type="dxa"/>
            </w:tcMar>
            <w:hideMark/>
          </w:tcPr>
          <w:p w14:paraId="7BF7F062" w14:textId="77777777" w:rsidR="00F5389C" w:rsidRDefault="00F5389C">
            <w:pPr>
              <w:spacing w:line="240" w:lineRule="auto"/>
              <w:jc w:val="center"/>
              <w:rPr>
                <w:sz w:val="24"/>
                <w:szCs w:val="24"/>
              </w:rPr>
            </w:pPr>
            <w:r>
              <w:rPr>
                <w:sz w:val="24"/>
                <w:szCs w:val="24"/>
              </w:rPr>
              <w:t>26.3</w:t>
            </w:r>
          </w:p>
        </w:tc>
        <w:tc>
          <w:tcPr>
            <w:tcW w:w="1051" w:type="dxa"/>
            <w:tcBorders>
              <w:top w:val="nil"/>
              <w:left w:val="nil"/>
              <w:bottom w:val="nil"/>
              <w:right w:val="nil"/>
            </w:tcBorders>
            <w:tcMar>
              <w:top w:w="56" w:type="dxa"/>
              <w:left w:w="56" w:type="dxa"/>
              <w:bottom w:w="56" w:type="dxa"/>
              <w:right w:w="56" w:type="dxa"/>
            </w:tcMar>
            <w:hideMark/>
          </w:tcPr>
          <w:p w14:paraId="71CDCD12" w14:textId="77777777" w:rsidR="00F5389C" w:rsidRDefault="00F5389C">
            <w:pPr>
              <w:spacing w:line="240" w:lineRule="auto"/>
              <w:jc w:val="center"/>
              <w:rPr>
                <w:sz w:val="24"/>
                <w:szCs w:val="24"/>
              </w:rPr>
            </w:pPr>
            <w:r>
              <w:rPr>
                <w:sz w:val="24"/>
                <w:szCs w:val="24"/>
              </w:rPr>
              <w:t>POS</w:t>
            </w:r>
          </w:p>
        </w:tc>
        <w:tc>
          <w:tcPr>
            <w:tcW w:w="700" w:type="dxa"/>
            <w:tcBorders>
              <w:top w:val="nil"/>
              <w:left w:val="nil"/>
              <w:bottom w:val="nil"/>
              <w:right w:val="nil"/>
            </w:tcBorders>
            <w:tcMar>
              <w:top w:w="56" w:type="dxa"/>
              <w:left w:w="56" w:type="dxa"/>
              <w:bottom w:w="56" w:type="dxa"/>
              <w:right w:w="56" w:type="dxa"/>
            </w:tcMar>
            <w:hideMark/>
          </w:tcPr>
          <w:p w14:paraId="7F4113E9" w14:textId="77777777" w:rsidR="00F5389C" w:rsidRDefault="00F5389C">
            <w:pPr>
              <w:spacing w:line="240" w:lineRule="auto"/>
              <w:jc w:val="center"/>
              <w:rPr>
                <w:sz w:val="24"/>
                <w:szCs w:val="24"/>
              </w:rPr>
            </w:pPr>
            <w:r>
              <w:rPr>
                <w:sz w:val="24"/>
                <w:szCs w:val="24"/>
              </w:rPr>
              <w:t>38.3</w:t>
            </w:r>
          </w:p>
        </w:tc>
        <w:tc>
          <w:tcPr>
            <w:tcW w:w="920" w:type="dxa"/>
            <w:tcBorders>
              <w:top w:val="nil"/>
              <w:left w:val="nil"/>
              <w:bottom w:val="nil"/>
              <w:right w:val="nil"/>
            </w:tcBorders>
            <w:tcMar>
              <w:top w:w="56" w:type="dxa"/>
              <w:left w:w="56" w:type="dxa"/>
              <w:bottom w:w="56" w:type="dxa"/>
              <w:right w:w="56" w:type="dxa"/>
            </w:tcMar>
            <w:hideMark/>
          </w:tcPr>
          <w:p w14:paraId="7EA5D2E4" w14:textId="77777777" w:rsidR="00F5389C" w:rsidRDefault="00F5389C">
            <w:pPr>
              <w:spacing w:line="240" w:lineRule="auto"/>
              <w:jc w:val="center"/>
              <w:rPr>
                <w:sz w:val="24"/>
                <w:szCs w:val="24"/>
              </w:rPr>
            </w:pPr>
            <w:r>
              <w:rPr>
                <w:sz w:val="24"/>
                <w:szCs w:val="24"/>
              </w:rPr>
              <w:t>ND</w:t>
            </w:r>
          </w:p>
        </w:tc>
        <w:tc>
          <w:tcPr>
            <w:tcW w:w="920" w:type="dxa"/>
            <w:tcBorders>
              <w:top w:val="nil"/>
              <w:left w:val="nil"/>
              <w:bottom w:val="nil"/>
              <w:right w:val="nil"/>
            </w:tcBorders>
            <w:tcMar>
              <w:top w:w="56" w:type="dxa"/>
              <w:left w:w="56" w:type="dxa"/>
              <w:bottom w:w="56" w:type="dxa"/>
              <w:right w:w="56" w:type="dxa"/>
            </w:tcMar>
            <w:hideMark/>
          </w:tcPr>
          <w:p w14:paraId="3A9881C5" w14:textId="77777777" w:rsidR="00F5389C" w:rsidRDefault="00F5389C">
            <w:pPr>
              <w:spacing w:line="240" w:lineRule="auto"/>
              <w:jc w:val="center"/>
              <w:rPr>
                <w:sz w:val="24"/>
                <w:szCs w:val="24"/>
              </w:rPr>
            </w:pPr>
            <w:r>
              <w:rPr>
                <w:sz w:val="24"/>
                <w:szCs w:val="24"/>
              </w:rPr>
              <w:t>24.8</w:t>
            </w:r>
          </w:p>
        </w:tc>
        <w:tc>
          <w:tcPr>
            <w:tcW w:w="975" w:type="dxa"/>
            <w:tcBorders>
              <w:top w:val="nil"/>
              <w:left w:val="nil"/>
              <w:bottom w:val="nil"/>
              <w:right w:val="nil"/>
            </w:tcBorders>
            <w:tcMar>
              <w:top w:w="56" w:type="dxa"/>
              <w:left w:w="56" w:type="dxa"/>
              <w:bottom w:w="56" w:type="dxa"/>
              <w:right w:w="56" w:type="dxa"/>
            </w:tcMar>
            <w:hideMark/>
          </w:tcPr>
          <w:p w14:paraId="07B72FAC" w14:textId="77777777" w:rsidR="00F5389C" w:rsidRDefault="00F5389C">
            <w:pPr>
              <w:spacing w:line="240" w:lineRule="auto"/>
              <w:jc w:val="center"/>
              <w:rPr>
                <w:sz w:val="24"/>
                <w:szCs w:val="24"/>
              </w:rPr>
            </w:pPr>
            <w:r>
              <w:rPr>
                <w:sz w:val="24"/>
                <w:szCs w:val="24"/>
              </w:rPr>
              <w:t>NEG</w:t>
            </w:r>
          </w:p>
        </w:tc>
      </w:tr>
      <w:tr w:rsidR="00F5389C" w14:paraId="7DD6A9E6"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0B21711F" w14:textId="77777777" w:rsidR="00F5389C" w:rsidRDefault="00F5389C">
            <w:pPr>
              <w:spacing w:line="240" w:lineRule="auto"/>
              <w:jc w:val="center"/>
              <w:rPr>
                <w:color w:val="FF0000"/>
                <w:sz w:val="24"/>
                <w:szCs w:val="24"/>
              </w:rPr>
            </w:pPr>
            <w:r>
              <w:rPr>
                <w:color w:val="FF0000"/>
                <w:sz w:val="24"/>
                <w:szCs w:val="24"/>
                <w:vertAlign w:val="superscript"/>
              </w:rPr>
              <w:t>$</w:t>
            </w:r>
            <w:r>
              <w:rPr>
                <w:color w:val="FF0000"/>
                <w:sz w:val="24"/>
                <w:szCs w:val="24"/>
              </w:rPr>
              <w:t>242</w:t>
            </w:r>
          </w:p>
        </w:tc>
        <w:tc>
          <w:tcPr>
            <w:tcW w:w="1194" w:type="dxa"/>
            <w:tcBorders>
              <w:top w:val="nil"/>
              <w:left w:val="nil"/>
              <w:bottom w:val="nil"/>
              <w:right w:val="nil"/>
            </w:tcBorders>
            <w:tcMar>
              <w:top w:w="56" w:type="dxa"/>
              <w:left w:w="56" w:type="dxa"/>
              <w:bottom w:w="56" w:type="dxa"/>
              <w:right w:w="56" w:type="dxa"/>
            </w:tcMar>
            <w:hideMark/>
          </w:tcPr>
          <w:p w14:paraId="1CFD672A" w14:textId="77777777" w:rsidR="00F5389C" w:rsidRDefault="00F5389C">
            <w:pPr>
              <w:spacing w:line="240" w:lineRule="auto"/>
              <w:jc w:val="center"/>
              <w:rPr>
                <w:color w:val="FF0000"/>
                <w:sz w:val="24"/>
                <w:szCs w:val="24"/>
              </w:rPr>
            </w:pPr>
            <w:r>
              <w:rPr>
                <w:color w:val="FF0000"/>
                <w:sz w:val="24"/>
                <w:szCs w:val="24"/>
              </w:rPr>
              <w:t>8</w:t>
            </w:r>
          </w:p>
        </w:tc>
        <w:tc>
          <w:tcPr>
            <w:tcW w:w="907" w:type="dxa"/>
            <w:tcBorders>
              <w:top w:val="nil"/>
              <w:left w:val="nil"/>
              <w:bottom w:val="nil"/>
              <w:right w:val="nil"/>
            </w:tcBorders>
            <w:tcMar>
              <w:top w:w="56" w:type="dxa"/>
              <w:left w:w="56" w:type="dxa"/>
              <w:bottom w:w="56" w:type="dxa"/>
              <w:right w:w="56" w:type="dxa"/>
            </w:tcMar>
          </w:tcPr>
          <w:p w14:paraId="406B72E0" w14:textId="77777777" w:rsidR="00F5389C" w:rsidRDefault="00F5389C">
            <w:pPr>
              <w:spacing w:line="240" w:lineRule="auto"/>
              <w:jc w:val="center"/>
              <w:rPr>
                <w:color w:val="FF0000"/>
                <w:sz w:val="24"/>
                <w:szCs w:val="24"/>
              </w:rPr>
            </w:pPr>
          </w:p>
        </w:tc>
        <w:tc>
          <w:tcPr>
            <w:tcW w:w="907" w:type="dxa"/>
            <w:tcBorders>
              <w:top w:val="nil"/>
              <w:left w:val="nil"/>
              <w:bottom w:val="nil"/>
              <w:right w:val="nil"/>
            </w:tcBorders>
            <w:tcMar>
              <w:top w:w="56" w:type="dxa"/>
              <w:left w:w="56" w:type="dxa"/>
              <w:bottom w:w="56" w:type="dxa"/>
              <w:right w:w="56" w:type="dxa"/>
            </w:tcMar>
          </w:tcPr>
          <w:p w14:paraId="7522D330" w14:textId="77777777" w:rsidR="00F5389C" w:rsidRDefault="00F5389C">
            <w:pPr>
              <w:spacing w:line="240" w:lineRule="auto"/>
              <w:jc w:val="center"/>
              <w:rPr>
                <w:color w:val="FF0000"/>
                <w:sz w:val="24"/>
                <w:szCs w:val="24"/>
              </w:rPr>
            </w:pPr>
          </w:p>
        </w:tc>
        <w:tc>
          <w:tcPr>
            <w:tcW w:w="892" w:type="dxa"/>
            <w:tcBorders>
              <w:top w:val="nil"/>
              <w:left w:val="nil"/>
              <w:bottom w:val="nil"/>
              <w:right w:val="nil"/>
            </w:tcBorders>
            <w:tcMar>
              <w:top w:w="56" w:type="dxa"/>
              <w:left w:w="56" w:type="dxa"/>
              <w:bottom w:w="56" w:type="dxa"/>
              <w:right w:w="56" w:type="dxa"/>
            </w:tcMar>
          </w:tcPr>
          <w:p w14:paraId="540CD425" w14:textId="77777777" w:rsidR="00F5389C" w:rsidRDefault="00F5389C">
            <w:pPr>
              <w:spacing w:line="240" w:lineRule="auto"/>
              <w:jc w:val="center"/>
              <w:rPr>
                <w:color w:val="FF0000"/>
                <w:sz w:val="24"/>
                <w:szCs w:val="24"/>
              </w:rPr>
            </w:pPr>
          </w:p>
        </w:tc>
        <w:tc>
          <w:tcPr>
            <w:tcW w:w="1051" w:type="dxa"/>
            <w:tcBorders>
              <w:top w:val="nil"/>
              <w:left w:val="nil"/>
              <w:bottom w:val="nil"/>
              <w:right w:val="nil"/>
            </w:tcBorders>
            <w:tcMar>
              <w:top w:w="56" w:type="dxa"/>
              <w:left w:w="56" w:type="dxa"/>
              <w:bottom w:w="56" w:type="dxa"/>
              <w:right w:w="56" w:type="dxa"/>
            </w:tcMar>
            <w:hideMark/>
          </w:tcPr>
          <w:p w14:paraId="0B336517" w14:textId="77777777" w:rsidR="00F5389C" w:rsidRDefault="00F5389C">
            <w:pPr>
              <w:spacing w:line="240" w:lineRule="auto"/>
              <w:jc w:val="center"/>
              <w:rPr>
                <w:color w:val="FF0000"/>
                <w:sz w:val="24"/>
                <w:szCs w:val="24"/>
              </w:rPr>
            </w:pPr>
            <w:r>
              <w:rPr>
                <w:color w:val="FF0000"/>
                <w:sz w:val="24"/>
                <w:szCs w:val="24"/>
              </w:rPr>
              <w:t>POS</w:t>
            </w:r>
          </w:p>
        </w:tc>
        <w:tc>
          <w:tcPr>
            <w:tcW w:w="700" w:type="dxa"/>
            <w:tcBorders>
              <w:top w:val="nil"/>
              <w:left w:val="nil"/>
              <w:bottom w:val="nil"/>
              <w:right w:val="nil"/>
            </w:tcBorders>
            <w:tcMar>
              <w:top w:w="56" w:type="dxa"/>
              <w:left w:w="56" w:type="dxa"/>
              <w:bottom w:w="56" w:type="dxa"/>
              <w:right w:w="56" w:type="dxa"/>
            </w:tcMar>
          </w:tcPr>
          <w:p w14:paraId="4DB9C812" w14:textId="77777777" w:rsidR="00F5389C" w:rsidRDefault="00F5389C">
            <w:pPr>
              <w:spacing w:line="240" w:lineRule="auto"/>
              <w:jc w:val="center"/>
              <w:rPr>
                <w:color w:val="FF0000"/>
                <w:sz w:val="24"/>
                <w:szCs w:val="24"/>
              </w:rPr>
            </w:pPr>
          </w:p>
        </w:tc>
        <w:tc>
          <w:tcPr>
            <w:tcW w:w="920" w:type="dxa"/>
            <w:tcBorders>
              <w:top w:val="nil"/>
              <w:left w:val="nil"/>
              <w:bottom w:val="nil"/>
              <w:right w:val="nil"/>
            </w:tcBorders>
            <w:tcMar>
              <w:top w:w="56" w:type="dxa"/>
              <w:left w:w="56" w:type="dxa"/>
              <w:bottom w:w="56" w:type="dxa"/>
              <w:right w:w="56" w:type="dxa"/>
            </w:tcMar>
          </w:tcPr>
          <w:p w14:paraId="6B3D3487" w14:textId="77777777" w:rsidR="00F5389C" w:rsidRDefault="00F5389C">
            <w:pPr>
              <w:spacing w:line="240" w:lineRule="auto"/>
              <w:jc w:val="center"/>
              <w:rPr>
                <w:sz w:val="24"/>
                <w:szCs w:val="24"/>
              </w:rPr>
            </w:pPr>
          </w:p>
        </w:tc>
        <w:tc>
          <w:tcPr>
            <w:tcW w:w="920" w:type="dxa"/>
            <w:tcBorders>
              <w:top w:val="nil"/>
              <w:left w:val="nil"/>
              <w:bottom w:val="nil"/>
              <w:right w:val="nil"/>
            </w:tcBorders>
            <w:tcMar>
              <w:top w:w="56" w:type="dxa"/>
              <w:left w:w="56" w:type="dxa"/>
              <w:bottom w:w="56" w:type="dxa"/>
              <w:right w:w="56" w:type="dxa"/>
            </w:tcMar>
          </w:tcPr>
          <w:p w14:paraId="2614FEA7" w14:textId="77777777" w:rsidR="00F5389C" w:rsidRDefault="00F5389C">
            <w:pPr>
              <w:spacing w:line="240" w:lineRule="auto"/>
              <w:jc w:val="center"/>
              <w:rPr>
                <w:sz w:val="24"/>
                <w:szCs w:val="24"/>
              </w:rPr>
            </w:pPr>
          </w:p>
        </w:tc>
        <w:tc>
          <w:tcPr>
            <w:tcW w:w="975" w:type="dxa"/>
            <w:tcBorders>
              <w:top w:val="nil"/>
              <w:left w:val="nil"/>
              <w:bottom w:val="nil"/>
              <w:right w:val="nil"/>
            </w:tcBorders>
            <w:tcMar>
              <w:top w:w="56" w:type="dxa"/>
              <w:left w:w="56" w:type="dxa"/>
              <w:bottom w:w="56" w:type="dxa"/>
              <w:right w:w="56" w:type="dxa"/>
            </w:tcMar>
          </w:tcPr>
          <w:p w14:paraId="0E7A1DD2" w14:textId="77777777" w:rsidR="00F5389C" w:rsidRDefault="00F5389C">
            <w:pPr>
              <w:spacing w:line="240" w:lineRule="auto"/>
              <w:jc w:val="center"/>
              <w:rPr>
                <w:sz w:val="24"/>
                <w:szCs w:val="24"/>
              </w:rPr>
            </w:pPr>
          </w:p>
        </w:tc>
      </w:tr>
      <w:tr w:rsidR="00F5389C" w14:paraId="748F06E9" w14:textId="77777777" w:rsidTr="00F5389C">
        <w:trPr>
          <w:trHeight w:val="199"/>
        </w:trPr>
        <w:tc>
          <w:tcPr>
            <w:tcW w:w="1466" w:type="dxa"/>
            <w:tcBorders>
              <w:top w:val="nil"/>
              <w:left w:val="nil"/>
              <w:bottom w:val="nil"/>
              <w:right w:val="nil"/>
            </w:tcBorders>
            <w:tcMar>
              <w:top w:w="56" w:type="dxa"/>
              <w:left w:w="56" w:type="dxa"/>
              <w:bottom w:w="56" w:type="dxa"/>
              <w:right w:w="56" w:type="dxa"/>
            </w:tcMar>
            <w:hideMark/>
          </w:tcPr>
          <w:p w14:paraId="2F40C7A1" w14:textId="77777777" w:rsidR="00F5389C" w:rsidRDefault="00F5389C">
            <w:pPr>
              <w:spacing w:line="240" w:lineRule="auto"/>
              <w:jc w:val="center"/>
              <w:rPr>
                <w:sz w:val="24"/>
                <w:szCs w:val="24"/>
              </w:rPr>
            </w:pPr>
            <w:r>
              <w:rPr>
                <w:sz w:val="24"/>
                <w:szCs w:val="24"/>
              </w:rPr>
              <w:t>243</w:t>
            </w:r>
          </w:p>
        </w:tc>
        <w:tc>
          <w:tcPr>
            <w:tcW w:w="1194" w:type="dxa"/>
            <w:tcBorders>
              <w:top w:val="nil"/>
              <w:left w:val="nil"/>
              <w:bottom w:val="nil"/>
              <w:right w:val="nil"/>
            </w:tcBorders>
            <w:tcMar>
              <w:top w:w="56" w:type="dxa"/>
              <w:left w:w="56" w:type="dxa"/>
              <w:bottom w:w="56" w:type="dxa"/>
              <w:right w:w="56" w:type="dxa"/>
            </w:tcMar>
            <w:hideMark/>
          </w:tcPr>
          <w:p w14:paraId="633734B1" w14:textId="77777777" w:rsidR="00F5389C" w:rsidRDefault="00F5389C">
            <w:pPr>
              <w:spacing w:line="240" w:lineRule="auto"/>
              <w:jc w:val="center"/>
              <w:rPr>
                <w:sz w:val="24"/>
                <w:szCs w:val="24"/>
              </w:rPr>
            </w:pPr>
            <w:r>
              <w:rPr>
                <w:sz w:val="24"/>
                <w:szCs w:val="24"/>
              </w:rPr>
              <w:t>9</w:t>
            </w:r>
          </w:p>
        </w:tc>
        <w:tc>
          <w:tcPr>
            <w:tcW w:w="907" w:type="dxa"/>
            <w:tcBorders>
              <w:top w:val="nil"/>
              <w:left w:val="nil"/>
              <w:bottom w:val="nil"/>
              <w:right w:val="nil"/>
            </w:tcBorders>
            <w:tcMar>
              <w:top w:w="56" w:type="dxa"/>
              <w:left w:w="56" w:type="dxa"/>
              <w:bottom w:w="56" w:type="dxa"/>
              <w:right w:w="56" w:type="dxa"/>
            </w:tcMar>
            <w:hideMark/>
          </w:tcPr>
          <w:p w14:paraId="57ED55E6" w14:textId="77777777" w:rsidR="00F5389C" w:rsidRDefault="00F5389C">
            <w:pPr>
              <w:spacing w:line="240" w:lineRule="auto"/>
              <w:jc w:val="center"/>
              <w:rPr>
                <w:sz w:val="24"/>
                <w:szCs w:val="24"/>
              </w:rPr>
            </w:pPr>
            <w:r>
              <w:rPr>
                <w:sz w:val="24"/>
                <w:szCs w:val="24"/>
              </w:rPr>
              <w:t>36.0</w:t>
            </w:r>
          </w:p>
        </w:tc>
        <w:tc>
          <w:tcPr>
            <w:tcW w:w="907" w:type="dxa"/>
            <w:tcBorders>
              <w:top w:val="nil"/>
              <w:left w:val="nil"/>
              <w:bottom w:val="nil"/>
              <w:right w:val="nil"/>
            </w:tcBorders>
            <w:tcMar>
              <w:top w:w="56" w:type="dxa"/>
              <w:left w:w="56" w:type="dxa"/>
              <w:bottom w:w="56" w:type="dxa"/>
              <w:right w:w="56" w:type="dxa"/>
            </w:tcMar>
            <w:hideMark/>
          </w:tcPr>
          <w:p w14:paraId="47052C1A" w14:textId="77777777" w:rsidR="00F5389C" w:rsidRDefault="00F5389C">
            <w:pPr>
              <w:spacing w:line="240" w:lineRule="auto"/>
              <w:jc w:val="center"/>
              <w:rPr>
                <w:sz w:val="24"/>
                <w:szCs w:val="24"/>
              </w:rPr>
            </w:pPr>
            <w:r>
              <w:rPr>
                <w:sz w:val="24"/>
                <w:szCs w:val="24"/>
              </w:rPr>
              <w:t>36.1</w:t>
            </w:r>
          </w:p>
        </w:tc>
        <w:tc>
          <w:tcPr>
            <w:tcW w:w="892" w:type="dxa"/>
            <w:tcBorders>
              <w:top w:val="nil"/>
              <w:left w:val="nil"/>
              <w:bottom w:val="nil"/>
              <w:right w:val="nil"/>
            </w:tcBorders>
            <w:tcMar>
              <w:top w:w="56" w:type="dxa"/>
              <w:left w:w="56" w:type="dxa"/>
              <w:bottom w:w="56" w:type="dxa"/>
              <w:right w:w="56" w:type="dxa"/>
            </w:tcMar>
            <w:hideMark/>
          </w:tcPr>
          <w:p w14:paraId="2C79A93A" w14:textId="77777777" w:rsidR="00F5389C" w:rsidRDefault="00F5389C">
            <w:pPr>
              <w:spacing w:line="240" w:lineRule="auto"/>
              <w:jc w:val="center"/>
              <w:rPr>
                <w:sz w:val="24"/>
                <w:szCs w:val="24"/>
              </w:rPr>
            </w:pPr>
            <w:r>
              <w:rPr>
                <w:sz w:val="24"/>
                <w:szCs w:val="24"/>
              </w:rPr>
              <w:t>32.3</w:t>
            </w:r>
          </w:p>
        </w:tc>
        <w:tc>
          <w:tcPr>
            <w:tcW w:w="1051" w:type="dxa"/>
            <w:tcBorders>
              <w:top w:val="nil"/>
              <w:left w:val="nil"/>
              <w:bottom w:val="nil"/>
              <w:right w:val="nil"/>
            </w:tcBorders>
            <w:tcMar>
              <w:top w:w="56" w:type="dxa"/>
              <w:left w:w="56" w:type="dxa"/>
              <w:bottom w:w="56" w:type="dxa"/>
              <w:right w:w="56" w:type="dxa"/>
            </w:tcMar>
            <w:hideMark/>
          </w:tcPr>
          <w:p w14:paraId="525DF05C" w14:textId="77777777" w:rsidR="00F5389C" w:rsidRDefault="00F5389C">
            <w:pPr>
              <w:spacing w:line="240" w:lineRule="auto"/>
              <w:jc w:val="center"/>
              <w:rPr>
                <w:sz w:val="24"/>
                <w:szCs w:val="24"/>
              </w:rPr>
            </w:pPr>
            <w:r>
              <w:rPr>
                <w:sz w:val="24"/>
                <w:szCs w:val="24"/>
              </w:rPr>
              <w:t>POS</w:t>
            </w:r>
          </w:p>
        </w:tc>
        <w:tc>
          <w:tcPr>
            <w:tcW w:w="700" w:type="dxa"/>
            <w:tcBorders>
              <w:top w:val="nil"/>
              <w:left w:val="nil"/>
              <w:bottom w:val="nil"/>
              <w:right w:val="nil"/>
            </w:tcBorders>
            <w:tcMar>
              <w:top w:w="56" w:type="dxa"/>
              <w:left w:w="56" w:type="dxa"/>
              <w:bottom w:w="56" w:type="dxa"/>
              <w:right w:w="56" w:type="dxa"/>
            </w:tcMar>
            <w:hideMark/>
          </w:tcPr>
          <w:p w14:paraId="78DACE8A" w14:textId="77777777" w:rsidR="00F5389C" w:rsidRDefault="00F5389C">
            <w:pPr>
              <w:spacing w:line="240" w:lineRule="auto"/>
              <w:jc w:val="center"/>
              <w:rPr>
                <w:sz w:val="24"/>
                <w:szCs w:val="24"/>
              </w:rPr>
            </w:pPr>
            <w:r>
              <w:rPr>
                <w:sz w:val="24"/>
                <w:szCs w:val="24"/>
              </w:rPr>
              <w:t>ND</w:t>
            </w:r>
          </w:p>
        </w:tc>
        <w:tc>
          <w:tcPr>
            <w:tcW w:w="920" w:type="dxa"/>
            <w:tcBorders>
              <w:top w:val="nil"/>
              <w:left w:val="nil"/>
              <w:bottom w:val="nil"/>
              <w:right w:val="nil"/>
            </w:tcBorders>
            <w:tcMar>
              <w:top w:w="56" w:type="dxa"/>
              <w:left w:w="56" w:type="dxa"/>
              <w:bottom w:w="56" w:type="dxa"/>
              <w:right w:w="56" w:type="dxa"/>
            </w:tcMar>
            <w:hideMark/>
          </w:tcPr>
          <w:p w14:paraId="7D326B28" w14:textId="77777777" w:rsidR="00F5389C" w:rsidRDefault="00F5389C">
            <w:pPr>
              <w:spacing w:line="240" w:lineRule="auto"/>
              <w:jc w:val="center"/>
              <w:rPr>
                <w:sz w:val="24"/>
                <w:szCs w:val="24"/>
              </w:rPr>
            </w:pPr>
            <w:r>
              <w:rPr>
                <w:sz w:val="24"/>
                <w:szCs w:val="24"/>
              </w:rPr>
              <w:t>ND</w:t>
            </w:r>
          </w:p>
        </w:tc>
        <w:tc>
          <w:tcPr>
            <w:tcW w:w="920" w:type="dxa"/>
            <w:tcBorders>
              <w:top w:val="nil"/>
              <w:left w:val="nil"/>
              <w:bottom w:val="nil"/>
              <w:right w:val="nil"/>
            </w:tcBorders>
            <w:tcMar>
              <w:top w:w="56" w:type="dxa"/>
              <w:left w:w="56" w:type="dxa"/>
              <w:bottom w:w="56" w:type="dxa"/>
              <w:right w:w="56" w:type="dxa"/>
            </w:tcMar>
            <w:hideMark/>
          </w:tcPr>
          <w:p w14:paraId="1245D472" w14:textId="77777777" w:rsidR="00F5389C" w:rsidRDefault="00F5389C">
            <w:pPr>
              <w:spacing w:line="240" w:lineRule="auto"/>
              <w:jc w:val="center"/>
              <w:rPr>
                <w:sz w:val="24"/>
                <w:szCs w:val="24"/>
              </w:rPr>
            </w:pPr>
            <w:r>
              <w:rPr>
                <w:sz w:val="24"/>
                <w:szCs w:val="24"/>
              </w:rPr>
              <w:t>23.4</w:t>
            </w:r>
          </w:p>
        </w:tc>
        <w:tc>
          <w:tcPr>
            <w:tcW w:w="975" w:type="dxa"/>
            <w:tcBorders>
              <w:top w:val="nil"/>
              <w:left w:val="nil"/>
              <w:bottom w:val="nil"/>
              <w:right w:val="nil"/>
            </w:tcBorders>
            <w:tcMar>
              <w:top w:w="56" w:type="dxa"/>
              <w:left w:w="56" w:type="dxa"/>
              <w:bottom w:w="56" w:type="dxa"/>
              <w:right w:w="56" w:type="dxa"/>
            </w:tcMar>
            <w:hideMark/>
          </w:tcPr>
          <w:p w14:paraId="1BF3D715" w14:textId="77777777" w:rsidR="00F5389C" w:rsidRDefault="00F5389C">
            <w:pPr>
              <w:spacing w:line="240" w:lineRule="auto"/>
              <w:jc w:val="center"/>
              <w:rPr>
                <w:sz w:val="24"/>
                <w:szCs w:val="24"/>
              </w:rPr>
            </w:pPr>
            <w:r>
              <w:rPr>
                <w:sz w:val="24"/>
                <w:szCs w:val="24"/>
              </w:rPr>
              <w:t>NEG</w:t>
            </w:r>
          </w:p>
        </w:tc>
      </w:tr>
      <w:tr w:rsidR="00F5389C" w14:paraId="2DF47385" w14:textId="77777777" w:rsidTr="00F5389C">
        <w:trPr>
          <w:trHeight w:val="199"/>
        </w:trPr>
        <w:tc>
          <w:tcPr>
            <w:tcW w:w="1466" w:type="dxa"/>
            <w:tcBorders>
              <w:top w:val="nil"/>
              <w:left w:val="nil"/>
              <w:bottom w:val="single" w:sz="8" w:space="0" w:color="000000"/>
              <w:right w:val="nil"/>
            </w:tcBorders>
            <w:tcMar>
              <w:top w:w="56" w:type="dxa"/>
              <w:left w:w="56" w:type="dxa"/>
              <w:bottom w:w="56" w:type="dxa"/>
              <w:right w:w="56" w:type="dxa"/>
            </w:tcMar>
            <w:hideMark/>
          </w:tcPr>
          <w:p w14:paraId="2E090105" w14:textId="77777777" w:rsidR="00F5389C" w:rsidRDefault="00F5389C">
            <w:pPr>
              <w:spacing w:line="240" w:lineRule="auto"/>
              <w:jc w:val="center"/>
              <w:rPr>
                <w:sz w:val="24"/>
                <w:szCs w:val="24"/>
              </w:rPr>
            </w:pPr>
            <w:r>
              <w:rPr>
                <w:sz w:val="24"/>
                <w:szCs w:val="24"/>
              </w:rPr>
              <w:t>245</w:t>
            </w:r>
          </w:p>
        </w:tc>
        <w:tc>
          <w:tcPr>
            <w:tcW w:w="1194" w:type="dxa"/>
            <w:tcBorders>
              <w:top w:val="nil"/>
              <w:left w:val="nil"/>
              <w:bottom w:val="single" w:sz="8" w:space="0" w:color="000000"/>
              <w:right w:val="nil"/>
            </w:tcBorders>
            <w:tcMar>
              <w:top w:w="56" w:type="dxa"/>
              <w:left w:w="56" w:type="dxa"/>
              <w:bottom w:w="56" w:type="dxa"/>
              <w:right w:w="56" w:type="dxa"/>
            </w:tcMar>
            <w:hideMark/>
          </w:tcPr>
          <w:p w14:paraId="2A78F7B5" w14:textId="77777777" w:rsidR="00F5389C" w:rsidRDefault="00F5389C">
            <w:pPr>
              <w:spacing w:line="240" w:lineRule="auto"/>
              <w:jc w:val="center"/>
              <w:rPr>
                <w:sz w:val="24"/>
                <w:szCs w:val="24"/>
              </w:rPr>
            </w:pPr>
            <w:r>
              <w:rPr>
                <w:sz w:val="24"/>
                <w:szCs w:val="24"/>
              </w:rPr>
              <w:t>11</w:t>
            </w:r>
          </w:p>
        </w:tc>
        <w:tc>
          <w:tcPr>
            <w:tcW w:w="907" w:type="dxa"/>
            <w:tcBorders>
              <w:top w:val="nil"/>
              <w:left w:val="nil"/>
              <w:bottom w:val="single" w:sz="8" w:space="0" w:color="000000"/>
              <w:right w:val="nil"/>
            </w:tcBorders>
            <w:tcMar>
              <w:top w:w="56" w:type="dxa"/>
              <w:left w:w="56" w:type="dxa"/>
              <w:bottom w:w="56" w:type="dxa"/>
              <w:right w:w="56" w:type="dxa"/>
            </w:tcMar>
            <w:hideMark/>
          </w:tcPr>
          <w:p w14:paraId="7DC39AE4" w14:textId="77777777" w:rsidR="00F5389C" w:rsidRDefault="00F5389C">
            <w:pPr>
              <w:spacing w:line="240" w:lineRule="auto"/>
              <w:jc w:val="center"/>
              <w:rPr>
                <w:sz w:val="24"/>
                <w:szCs w:val="24"/>
              </w:rPr>
            </w:pPr>
            <w:r>
              <w:rPr>
                <w:sz w:val="24"/>
                <w:szCs w:val="24"/>
              </w:rPr>
              <w:t>31.7</w:t>
            </w:r>
          </w:p>
        </w:tc>
        <w:tc>
          <w:tcPr>
            <w:tcW w:w="907" w:type="dxa"/>
            <w:tcBorders>
              <w:top w:val="nil"/>
              <w:left w:val="nil"/>
              <w:bottom w:val="single" w:sz="8" w:space="0" w:color="000000"/>
              <w:right w:val="nil"/>
            </w:tcBorders>
            <w:tcMar>
              <w:top w:w="56" w:type="dxa"/>
              <w:left w:w="56" w:type="dxa"/>
              <w:bottom w:w="56" w:type="dxa"/>
              <w:right w:w="56" w:type="dxa"/>
            </w:tcMar>
            <w:hideMark/>
          </w:tcPr>
          <w:p w14:paraId="541A0940" w14:textId="77777777" w:rsidR="00F5389C" w:rsidRDefault="00F5389C">
            <w:pPr>
              <w:spacing w:line="240" w:lineRule="auto"/>
              <w:jc w:val="center"/>
              <w:rPr>
                <w:sz w:val="24"/>
                <w:szCs w:val="24"/>
              </w:rPr>
            </w:pPr>
            <w:r>
              <w:rPr>
                <w:sz w:val="24"/>
                <w:szCs w:val="24"/>
              </w:rPr>
              <w:t>31.8</w:t>
            </w:r>
          </w:p>
        </w:tc>
        <w:tc>
          <w:tcPr>
            <w:tcW w:w="892" w:type="dxa"/>
            <w:tcBorders>
              <w:top w:val="nil"/>
              <w:left w:val="nil"/>
              <w:bottom w:val="single" w:sz="8" w:space="0" w:color="000000"/>
              <w:right w:val="nil"/>
            </w:tcBorders>
            <w:tcMar>
              <w:top w:w="56" w:type="dxa"/>
              <w:left w:w="56" w:type="dxa"/>
              <w:bottom w:w="56" w:type="dxa"/>
              <w:right w:w="56" w:type="dxa"/>
            </w:tcMar>
            <w:hideMark/>
          </w:tcPr>
          <w:p w14:paraId="05E1AFCD" w14:textId="77777777" w:rsidR="00F5389C" w:rsidRDefault="00F5389C">
            <w:pPr>
              <w:spacing w:line="240" w:lineRule="auto"/>
              <w:jc w:val="center"/>
              <w:rPr>
                <w:sz w:val="24"/>
                <w:szCs w:val="24"/>
              </w:rPr>
            </w:pPr>
            <w:r>
              <w:rPr>
                <w:sz w:val="24"/>
                <w:szCs w:val="24"/>
              </w:rPr>
              <w:t>31.9</w:t>
            </w:r>
          </w:p>
        </w:tc>
        <w:tc>
          <w:tcPr>
            <w:tcW w:w="1051" w:type="dxa"/>
            <w:tcBorders>
              <w:top w:val="nil"/>
              <w:left w:val="nil"/>
              <w:bottom w:val="single" w:sz="8" w:space="0" w:color="000000"/>
              <w:right w:val="nil"/>
            </w:tcBorders>
            <w:tcMar>
              <w:top w:w="56" w:type="dxa"/>
              <w:left w:w="56" w:type="dxa"/>
              <w:bottom w:w="56" w:type="dxa"/>
              <w:right w:w="56" w:type="dxa"/>
            </w:tcMar>
            <w:hideMark/>
          </w:tcPr>
          <w:p w14:paraId="3E21ECE4" w14:textId="77777777" w:rsidR="00F5389C" w:rsidRDefault="00F5389C">
            <w:pPr>
              <w:spacing w:line="240" w:lineRule="auto"/>
              <w:jc w:val="center"/>
              <w:rPr>
                <w:sz w:val="24"/>
                <w:szCs w:val="24"/>
              </w:rPr>
            </w:pPr>
            <w:r>
              <w:rPr>
                <w:sz w:val="24"/>
                <w:szCs w:val="24"/>
              </w:rPr>
              <w:t>POS</w:t>
            </w:r>
          </w:p>
        </w:tc>
        <w:tc>
          <w:tcPr>
            <w:tcW w:w="700" w:type="dxa"/>
            <w:tcBorders>
              <w:top w:val="nil"/>
              <w:left w:val="nil"/>
              <w:bottom w:val="single" w:sz="8" w:space="0" w:color="000000"/>
              <w:right w:val="nil"/>
            </w:tcBorders>
            <w:tcMar>
              <w:top w:w="56" w:type="dxa"/>
              <w:left w:w="56" w:type="dxa"/>
              <w:bottom w:w="56" w:type="dxa"/>
              <w:right w:w="56" w:type="dxa"/>
            </w:tcMar>
            <w:hideMark/>
          </w:tcPr>
          <w:p w14:paraId="3689C11E" w14:textId="77777777" w:rsidR="00F5389C" w:rsidRDefault="00F5389C">
            <w:pPr>
              <w:spacing w:line="240" w:lineRule="auto"/>
              <w:jc w:val="center"/>
              <w:rPr>
                <w:sz w:val="24"/>
                <w:szCs w:val="24"/>
              </w:rPr>
            </w:pPr>
            <w:r>
              <w:rPr>
                <w:sz w:val="24"/>
                <w:szCs w:val="24"/>
              </w:rPr>
              <w:t>ND</w:t>
            </w:r>
          </w:p>
        </w:tc>
        <w:tc>
          <w:tcPr>
            <w:tcW w:w="920" w:type="dxa"/>
            <w:tcBorders>
              <w:top w:val="nil"/>
              <w:left w:val="nil"/>
              <w:bottom w:val="single" w:sz="8" w:space="0" w:color="000000"/>
              <w:right w:val="nil"/>
            </w:tcBorders>
            <w:tcMar>
              <w:top w:w="56" w:type="dxa"/>
              <w:left w:w="56" w:type="dxa"/>
              <w:bottom w:w="56" w:type="dxa"/>
              <w:right w:w="56" w:type="dxa"/>
            </w:tcMar>
            <w:hideMark/>
          </w:tcPr>
          <w:p w14:paraId="5DC27104" w14:textId="77777777" w:rsidR="00F5389C" w:rsidRDefault="00F5389C">
            <w:pPr>
              <w:spacing w:line="240" w:lineRule="auto"/>
              <w:jc w:val="center"/>
              <w:rPr>
                <w:sz w:val="24"/>
                <w:szCs w:val="24"/>
              </w:rPr>
            </w:pPr>
            <w:r>
              <w:rPr>
                <w:sz w:val="24"/>
                <w:szCs w:val="24"/>
              </w:rPr>
              <w:t>ND</w:t>
            </w:r>
          </w:p>
        </w:tc>
        <w:tc>
          <w:tcPr>
            <w:tcW w:w="920" w:type="dxa"/>
            <w:tcBorders>
              <w:top w:val="nil"/>
              <w:left w:val="nil"/>
              <w:bottom w:val="single" w:sz="8" w:space="0" w:color="000000"/>
              <w:right w:val="nil"/>
            </w:tcBorders>
            <w:tcMar>
              <w:top w:w="56" w:type="dxa"/>
              <w:left w:w="56" w:type="dxa"/>
              <w:bottom w:w="56" w:type="dxa"/>
              <w:right w:w="56" w:type="dxa"/>
            </w:tcMar>
            <w:hideMark/>
          </w:tcPr>
          <w:p w14:paraId="07768D7C" w14:textId="77777777" w:rsidR="00F5389C" w:rsidRDefault="00F5389C">
            <w:pPr>
              <w:spacing w:line="240" w:lineRule="auto"/>
              <w:jc w:val="center"/>
              <w:rPr>
                <w:sz w:val="24"/>
                <w:szCs w:val="24"/>
              </w:rPr>
            </w:pPr>
            <w:r>
              <w:rPr>
                <w:sz w:val="24"/>
                <w:szCs w:val="24"/>
              </w:rPr>
              <w:t>24.8</w:t>
            </w:r>
          </w:p>
        </w:tc>
        <w:tc>
          <w:tcPr>
            <w:tcW w:w="975" w:type="dxa"/>
            <w:tcBorders>
              <w:top w:val="nil"/>
              <w:left w:val="nil"/>
              <w:bottom w:val="single" w:sz="8" w:space="0" w:color="000000"/>
              <w:right w:val="nil"/>
            </w:tcBorders>
            <w:tcMar>
              <w:top w:w="56" w:type="dxa"/>
              <w:left w:w="56" w:type="dxa"/>
              <w:bottom w:w="56" w:type="dxa"/>
              <w:right w:w="56" w:type="dxa"/>
            </w:tcMar>
            <w:hideMark/>
          </w:tcPr>
          <w:p w14:paraId="6A1E7828" w14:textId="77777777" w:rsidR="00F5389C" w:rsidRDefault="00F5389C">
            <w:pPr>
              <w:spacing w:line="240" w:lineRule="auto"/>
              <w:jc w:val="center"/>
              <w:rPr>
                <w:sz w:val="24"/>
                <w:szCs w:val="24"/>
              </w:rPr>
            </w:pPr>
            <w:r>
              <w:rPr>
                <w:sz w:val="24"/>
                <w:szCs w:val="24"/>
              </w:rPr>
              <w:t>NEG</w:t>
            </w:r>
          </w:p>
        </w:tc>
      </w:tr>
    </w:tbl>
    <w:p w14:paraId="160078C1" w14:textId="77777777" w:rsidR="00F5389C" w:rsidRDefault="00F5389C" w:rsidP="00F5389C">
      <w:pPr>
        <w:rPr>
          <w:b/>
          <w:sz w:val="24"/>
          <w:szCs w:val="24"/>
        </w:rPr>
      </w:pPr>
    </w:p>
    <w:p w14:paraId="2B2549E0" w14:textId="77777777" w:rsidR="00F5389C" w:rsidRDefault="00F5389C" w:rsidP="00F5389C">
      <w:pPr>
        <w:rPr>
          <w:sz w:val="24"/>
          <w:szCs w:val="24"/>
        </w:rPr>
      </w:pPr>
      <w:r>
        <w:rPr>
          <w:b/>
          <w:sz w:val="24"/>
          <w:szCs w:val="24"/>
        </w:rPr>
        <w:t xml:space="preserve">Extended Data Table 2: </w:t>
      </w:r>
      <w:r>
        <w:rPr>
          <w:b/>
          <w:bCs/>
          <w:sz w:val="24"/>
          <w:szCs w:val="24"/>
        </w:rPr>
        <w:t>RT-qPCR results for nasopharyngeal swabs and saliva specimens</w:t>
      </w:r>
      <w:r>
        <w:rPr>
          <w:sz w:val="24"/>
          <w:szCs w:val="24"/>
        </w:rPr>
        <w:t xml:space="preserve">. </w:t>
      </w:r>
      <w:proofErr w:type="spellStart"/>
      <w:r>
        <w:rPr>
          <w:sz w:val="24"/>
          <w:szCs w:val="24"/>
        </w:rPr>
        <w:t>DFSO</w:t>
      </w:r>
      <w:proofErr w:type="spellEnd"/>
      <w:r>
        <w:rPr>
          <w:sz w:val="24"/>
          <w:szCs w:val="24"/>
        </w:rPr>
        <w:t xml:space="preserve"> corresponds to days from symptom onset during the patient’s primary SARS-CoV-2 infection, whereas </w:t>
      </w:r>
      <w:proofErr w:type="spellStart"/>
      <w:r>
        <w:rPr>
          <w:sz w:val="24"/>
          <w:szCs w:val="24"/>
        </w:rPr>
        <w:t>DFSO</w:t>
      </w:r>
      <w:proofErr w:type="spellEnd"/>
      <w:r>
        <w:rPr>
          <w:sz w:val="24"/>
          <w:szCs w:val="24"/>
        </w:rPr>
        <w:t xml:space="preserve">* corresponds to days from symptom onset relative to the SARS-CoV-2 reinfection. Results of nucleic acid testing from each day and for each sample type are reported in consecutive rows ordered by </w:t>
      </w:r>
      <w:proofErr w:type="spellStart"/>
      <w:r>
        <w:rPr>
          <w:sz w:val="24"/>
          <w:szCs w:val="24"/>
        </w:rPr>
        <w:t>DFSO</w:t>
      </w:r>
      <w:proofErr w:type="spellEnd"/>
      <w:r>
        <w:rPr>
          <w:sz w:val="24"/>
          <w:szCs w:val="24"/>
        </w:rPr>
        <w:t xml:space="preserve">. </w:t>
      </w:r>
      <w:proofErr w:type="spellStart"/>
      <w:r>
        <w:rPr>
          <w:sz w:val="24"/>
          <w:szCs w:val="24"/>
        </w:rPr>
        <w:t>N1</w:t>
      </w:r>
      <w:proofErr w:type="spellEnd"/>
      <w:r>
        <w:rPr>
          <w:sz w:val="24"/>
          <w:szCs w:val="24"/>
        </w:rPr>
        <w:t xml:space="preserve"> and </w:t>
      </w:r>
      <w:proofErr w:type="spellStart"/>
      <w:r>
        <w:rPr>
          <w:sz w:val="24"/>
          <w:szCs w:val="24"/>
        </w:rPr>
        <w:t>N2</w:t>
      </w:r>
      <w:proofErr w:type="spellEnd"/>
      <w:r>
        <w:rPr>
          <w:sz w:val="24"/>
          <w:szCs w:val="24"/>
        </w:rPr>
        <w:t xml:space="preserve"> columns correspond to CDC-</w:t>
      </w:r>
      <w:proofErr w:type="spellStart"/>
      <w:r>
        <w:rPr>
          <w:sz w:val="24"/>
          <w:szCs w:val="24"/>
        </w:rPr>
        <w:t>N1</w:t>
      </w:r>
      <w:proofErr w:type="spellEnd"/>
      <w:r>
        <w:rPr>
          <w:sz w:val="24"/>
          <w:szCs w:val="24"/>
        </w:rPr>
        <w:t xml:space="preserve"> and CDC-</w:t>
      </w:r>
      <w:proofErr w:type="spellStart"/>
      <w:r>
        <w:rPr>
          <w:sz w:val="24"/>
          <w:szCs w:val="24"/>
        </w:rPr>
        <w:t>N2</w:t>
      </w:r>
      <w:proofErr w:type="spellEnd"/>
      <w:r>
        <w:rPr>
          <w:sz w:val="24"/>
          <w:szCs w:val="24"/>
        </w:rPr>
        <w:t xml:space="preserve"> primer sets for the detection of SARS-CoV-2 nucleic acids. RT-qPCR cycle threshold (CT) values are reported for various samples, with “ND” indicating SARS-CoV-2 nucleic acids were not detected. As previously </w:t>
      </w:r>
      <w:proofErr w:type="spellStart"/>
      <w:r>
        <w:rPr>
          <w:sz w:val="24"/>
          <w:szCs w:val="24"/>
        </w:rPr>
        <w:t>described</w:t>
      </w:r>
      <w:r>
        <w:rPr>
          <w:sz w:val="24"/>
          <w:szCs w:val="24"/>
        </w:rPr>
        <w:fldChar w:fldCharType="begin" w:fldLock="1"/>
      </w:r>
      <w:r>
        <w:rPr>
          <w:sz w:val="24"/>
          <w:szCs w:val="24"/>
        </w:rPr>
        <w:instrText>ADDIN CSL_CITATION {"citationItems":[{"id":"ITEM-1","itemData":{"DOI":"10.1038/s41564-020-0761-6","ISSN":"20585276","PMID":"32651556","abstract":"The recent spread of severe acute respiratory syndrome coronavirus 2 (SARS-CoV-2) exemplifies the critical need for accurate and rapid diagnostic assays to prompt clinical and public health interventions. Currently, several quantitative reverse transcription–PCR (RT–qPCR) assays are being used by clinical, research and public health laboratories. However, it is currently unclear whether results from different tests are comparable. Our goal was to make independent evaluations of primer–probe sets used in four common SARS-CoV-2 diagnostic assays. From our comparisons of RT–qPCR analytical efficiency and sensitivity, we show that all primer–probe sets can be used to detect SARS-CoV-2 at 500 viral RNA copies per reaction. The exception for this is the RdRp-SARSr (Charité) confirmatory primer–probe set which has low sensitivity, probably due to a mismatch to circulating SARS-CoV-2 in the reverse primer. We did not find evidence for background amplification with pre-COVID-19 samples or recent SARS-CoV-2 evolution decreasing sensitivity. Our recommendation for SARS-CoV-2 diagnostic testing is to select an assay with high sensitivity and that is regionally used, to ease comparability between outcomes.","author":[{"dropping-particle":"","family":"Vogels","given":"Chantal B.F.","non-dropping-particle":"","parse-names":false,"suffix":""},{"dropping-particle":"","family":"Brito","given":"Anderson F.","non-dropping-particle":"","parse-names":false,"suffix":""},{"dropping-particle":"","family":"Wyllie","given":"Anne L.","non-dropping-particle":"","parse-names":false,"suffix":""},{"dropping-particle":"","family":"Fauver","given":"Joseph R.","non-dropping-particle":"","parse-names":false,"suffix":""},{"dropping-particle":"","family":"Ott","given":"Isabel M.","non-dropping-particle":"","parse-names":false,"suffix":""},{"dropping-particle":"","family":"Kalinich","given":"Chaney C.","non-dropping-particle":"","parse-names":false,"suffix":""},{"dropping-particle":"","family":"Petrone","given":"Mary E.","non-dropping-particle":"","parse-names":false,"suffix":""},{"dropping-particle":"","family":"Casanovas-Massana","given":"Arnau","non-dropping-particle":"","parse-names":false,"suffix":""},{"dropping-particle":"","family":"Catherine Muenker","given":"M.","non-dropping-particle":"","parse-names":false,"suffix":""},{"dropping-particle":"","family":"Moore","given":"Adam J.","non-dropping-particle":"","parse-names":false,"suffix":""},{"dropping-particle":"","family":"Klein","given":"Jonathan","non-dropping-particle":"","parse-names":false,"suffix":""},{"dropping-particle":"","family":"Lu","given":"Peiwen","non-dropping-particle":"","parse-names":false,"suffix":""},{"dropping-particle":"","family":"Lu-Culligan","given":"Alice","non-dropping-particle":"","parse-names":false,"suffix":""},{"dropping-particle":"","family":"Jiang","given":"Xiaodong","non-dropping-particle":"","parse-names":false,"suffix":""},{"dropping-particle":"","family":"Kim","given":"Daniel J.","non-dropping-particle":"","parse-names":false,"suffix":""},{"dropping-particle":"","family":"Kudo","given":"Eriko","non-dropping-particle":"","parse-names":false,"suffix":""},{"dropping-particle":"","family":"Mao","given":"Tianyang","non-dropping-particle":"","parse-names":false,"suffix":""},{"dropping-particle":"","family":"Moriyama","given":"Miyu","non-dropping-particle":"","parse-names":false,"suffix":""},{"dropping-particle":"","family":"Oh","given":"Ji Eun","non-dropping-particle":"","parse-names":false,"suffix":""},{"dropping-particle":"","family":"Park","given":"Annsea","non-dropping-particle":"","parse-names":false,"suffix":""},{"dropping-particle":"","family":"Silva","given":"Julio","non-dropping-particle":"","parse-names":false,"suffix":""},{"dropping-particle":"","family":"Song","given":"Eric","non-dropping-particle":"","parse-names":false,"suffix":""},{"dropping-particle":"","family":"Takahashi","given":"Takehiro","non-dropping-particle":"","parse-names":false,"suffix":""},{"dropping-particle":"","family":"Taura","given":"Manabu","non-dropping-particle":"","parse-names":false,"suffix":""},{"dropping-particle":"","family":"Tokuyama","given":"Maria","non-dropping-particle":"","parse-names":false,"suffix":""},{"dropping-particle":"","family":"Venkataraman","given":"Arvind","non-dropping-particle":"","parse-names":false,"suffix":""},{"dropping-particle":"El","family":"Weizman","given":"Orr","non-dropping-particle":"","parse-names":false,"suffix":""},{"dropping-particle":"","family":"Wong","given":"Patrick","non-dropping-particle":"","parse-names":false,"suffix":""},{"dropping-particle":"","family":"Yang","given":"Yexin","non-dropping-particle":"","parse-names":false,"suffix":""},{"dropping-particle":"","family":"Cheemarla","given":"Nagarjuna R.","non-dropping-particle":"","parse-names":false,"suffix":""},{"dropping-particle":"","family":"White","given":"Elizabeth B.","non-dropping-particle":"","parse-names":false,"suffix":""},{"dropping-particle":"","family":"Lapidus","given":"Sarah","non-dropping-particle":"","parse-names":false,"suffix":""},{"dropping-particle":"","family":"Earnest","given":"Rebecca","non-dropping-particle":"","parse-names":false,"suffix":""},{"dropping-particle":"","family":"Geng","given":"Bertie","non-dropping-particle":"","parse-names":false,"suffix":""},{"dropping-particle":"","family":"Vijayakumar","given":"Pavithra","non-dropping-particle":"","parse-names":false,"suffix":""},{"dropping-particle":"","family":"Odio","given":"Camila","non-dropping-particle":"","parse-names":false,"suffix":""},{"dropping-particle":"","family":"Fournier","given":"John","non-dropping-particle":"","parse-names":false,"suffix":""},{"dropping-particle":"","family":"Bermejo","given":"Santos","non-dropping-particle":"","parse-names":false,"suffix":""},{"dropping-particle":"","family":"Farhadian","given":"Shelli","non-dropping-particle":"","parse-names":false,"suffix":""},{"dropping-particle":"","family":"Cruz","given":"Charles S.","non-dropping-particle":"Dela","parse-names":false,"suffix":""},{"dropping-particle":"","family":"Iwasaki","given":"Akiko","non-dropping-particle":"","parse-names":false,"suffix":""},{"dropping-particle":"","family":"Ko","given":"Albert I.","non-dropping-particle":"","parse-names":false,"suffix":""},{"dropping-particle":"","family":"Landry","given":"Marie L.","non-dropping-particle":"","parse-names":false,"suffix":""},{"dropping-particle":"","family":"Foxman","given":"Ellen F.","non-dropping-particle":"","parse-names":false,"suffix":""},{"dropping-particle":"","family":"Grubaugh","given":"Nathan D.","non-dropping-particle":"","parse-names":false,"suffix":""}],"container-title":"Nature Microbiology","id":"ITEM-1","issue":"10","issued":{"date-parts":[["2020"]]},"page":"1299-1305","publisher":"Springer US","title":"Analytical sensitivity and efficiency comparisons of SARS-CoV-2 RT–qPCR primer–probe sets","type":"article-journal","volume":"5"},"uris":["http://www.mendeley.com/documents/?uuid=2cb4361f-c5c9-4dcb-a7c5-79217b2dfdb5"]}],"mendeley":{"formattedCitation":"&lt;sup&gt;50&lt;/sup&gt;","plainTextFormattedCitation":"50","previouslyFormattedCitation":"&lt;sup&gt;50&lt;/sup&gt;"},"properties":{"noteIndex":0},"schema":"https://github.com/citation-style-language/schema/raw/master/csl-citation.json"}</w:instrText>
      </w:r>
      <w:r>
        <w:rPr>
          <w:sz w:val="24"/>
          <w:szCs w:val="24"/>
        </w:rPr>
        <w:fldChar w:fldCharType="separate"/>
      </w:r>
      <w:r>
        <w:rPr>
          <w:noProof/>
          <w:sz w:val="24"/>
          <w:szCs w:val="24"/>
          <w:vertAlign w:val="superscript"/>
        </w:rPr>
        <w:t>50</w:t>
      </w:r>
      <w:proofErr w:type="spellEnd"/>
      <w:r>
        <w:rPr>
          <w:sz w:val="24"/>
          <w:szCs w:val="24"/>
        </w:rPr>
        <w:fldChar w:fldCharType="end"/>
      </w:r>
      <w:r>
        <w:rPr>
          <w:sz w:val="24"/>
          <w:szCs w:val="24"/>
        </w:rPr>
        <w:t>, summary test results are stratified by CDC-</w:t>
      </w:r>
      <w:proofErr w:type="spellStart"/>
      <w:r>
        <w:rPr>
          <w:sz w:val="24"/>
          <w:szCs w:val="24"/>
        </w:rPr>
        <w:t>N1</w:t>
      </w:r>
      <w:proofErr w:type="spellEnd"/>
      <w:r>
        <w:rPr>
          <w:sz w:val="24"/>
          <w:szCs w:val="24"/>
        </w:rPr>
        <w:t xml:space="preserve"> CT values according to the following scheme: positive (“POS”) = CT ≤ 38, negative (“NEG”) = CT </w:t>
      </w:r>
      <w:r>
        <w:rPr>
          <w:rFonts w:ascii="Calibri" w:hAnsi="Calibri" w:cs="Calibri"/>
          <w:sz w:val="24"/>
          <w:szCs w:val="24"/>
        </w:rPr>
        <w:t>≥</w:t>
      </w:r>
      <w:r>
        <w:rPr>
          <w:sz w:val="24"/>
          <w:szCs w:val="24"/>
        </w:rPr>
        <w:t xml:space="preserve"> 40, or Inconclusive (“INC”) = CT ≥ 38 and CT ≤ 40. Black text indicates samples processed by research lab. Red text indicates samples processed by clinical lab. ND= not detected. # run on Cepheid platform. $ run on Panther platform.</w:t>
      </w:r>
    </w:p>
    <w:p w14:paraId="508FCDF9" w14:textId="77777777" w:rsidR="00F5389C" w:rsidRDefault="00F5389C" w:rsidP="00F5389C">
      <w:bookmarkStart w:id="1" w:name="_i3xoqjvnjn3b"/>
      <w:bookmarkEnd w:id="1"/>
    </w:p>
    <w:p w14:paraId="37DD9AC1" w14:textId="77777777" w:rsidR="00F5389C" w:rsidRDefault="00F5389C" w:rsidP="00F5389C">
      <w:pPr>
        <w:pStyle w:val="Title"/>
        <w:rPr>
          <w:b/>
          <w:bCs/>
          <w:sz w:val="22"/>
          <w:szCs w:val="22"/>
        </w:rPr>
      </w:pPr>
    </w:p>
    <w:p w14:paraId="4B86BB06" w14:textId="77777777" w:rsidR="00F5389C" w:rsidRDefault="00F5389C" w:rsidP="00F5389C">
      <w:pPr>
        <w:pStyle w:val="Title"/>
        <w:rPr>
          <w:b/>
          <w:bCs/>
          <w:sz w:val="22"/>
          <w:szCs w:val="22"/>
        </w:rPr>
      </w:pPr>
    </w:p>
    <w:p w14:paraId="0AC1B804" w14:textId="77777777" w:rsidR="00F5389C" w:rsidRDefault="00F5389C" w:rsidP="00F5389C">
      <w:pPr>
        <w:pStyle w:val="Title"/>
        <w:rPr>
          <w:b/>
          <w:bCs/>
          <w:sz w:val="22"/>
          <w:szCs w:val="22"/>
        </w:rPr>
      </w:pPr>
    </w:p>
    <w:p w14:paraId="44BD14F8" w14:textId="77777777" w:rsidR="00F5389C" w:rsidRDefault="00F5389C" w:rsidP="00F5389C">
      <w:pPr>
        <w:pStyle w:val="Title"/>
        <w:rPr>
          <w:b/>
          <w:bCs/>
          <w:sz w:val="22"/>
          <w:szCs w:val="22"/>
        </w:rPr>
      </w:pPr>
    </w:p>
    <w:p w14:paraId="24DA4BAE" w14:textId="77777777" w:rsidR="00F5389C" w:rsidRDefault="00F5389C" w:rsidP="00F5389C">
      <w:pPr>
        <w:pStyle w:val="Title"/>
        <w:rPr>
          <w:b/>
          <w:bCs/>
          <w:sz w:val="22"/>
          <w:szCs w:val="22"/>
        </w:rPr>
      </w:pPr>
    </w:p>
    <w:p w14:paraId="65962707" w14:textId="77777777" w:rsidR="00F5389C" w:rsidRDefault="00F5389C" w:rsidP="00F5389C"/>
    <w:p w14:paraId="4C64290F" w14:textId="77777777" w:rsidR="00F5389C" w:rsidRDefault="00F5389C" w:rsidP="00F5389C"/>
    <w:p w14:paraId="39880568" w14:textId="77777777" w:rsidR="00F5389C" w:rsidRDefault="00F5389C" w:rsidP="00F5389C"/>
    <w:p w14:paraId="32444245" w14:textId="77777777" w:rsidR="00F5389C" w:rsidRDefault="00F5389C" w:rsidP="00F5389C">
      <w:pPr>
        <w:pStyle w:val="Title"/>
        <w:rPr>
          <w:b/>
          <w:bCs/>
          <w:sz w:val="22"/>
          <w:szCs w:val="22"/>
        </w:rPr>
      </w:pPr>
    </w:p>
    <w:p w14:paraId="7FAF2296" w14:textId="77777777" w:rsidR="00F5389C" w:rsidRDefault="00F5389C" w:rsidP="00F5389C">
      <w:pPr>
        <w:pStyle w:val="Title"/>
        <w:rPr>
          <w:b/>
          <w:bCs/>
          <w:sz w:val="22"/>
          <w:szCs w:val="22"/>
        </w:rPr>
      </w:pPr>
      <w:r>
        <w:rPr>
          <w:b/>
          <w:bCs/>
          <w:sz w:val="22"/>
          <w:szCs w:val="22"/>
        </w:rPr>
        <w:t xml:space="preserve">Extended Data Figure </w:t>
      </w:r>
      <w:proofErr w:type="spellStart"/>
      <w:r>
        <w:rPr>
          <w:b/>
          <w:bCs/>
          <w:sz w:val="22"/>
          <w:szCs w:val="22"/>
        </w:rPr>
        <w:t>S1</w:t>
      </w:r>
      <w:proofErr w:type="spellEnd"/>
    </w:p>
    <w:p w14:paraId="7CCEC64E" w14:textId="3A9BC510" w:rsidR="00F5389C" w:rsidRDefault="00F5389C" w:rsidP="00F5389C">
      <w:pPr>
        <w:rPr>
          <w:b/>
          <w:sz w:val="24"/>
          <w:szCs w:val="24"/>
        </w:rPr>
      </w:pPr>
      <w:r>
        <w:rPr>
          <w:b/>
          <w:noProof/>
          <w:sz w:val="24"/>
          <w:szCs w:val="24"/>
        </w:rPr>
        <w:drawing>
          <wp:inline distT="0" distB="0" distL="0" distR="0" wp14:anchorId="5C22B1F7" wp14:editId="03A06051">
            <wp:extent cx="5943600" cy="4914900"/>
            <wp:effectExtent l="0" t="0" r="0" b="0"/>
            <wp:docPr id="6" name="Picture 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catter ch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914900"/>
                    </a:xfrm>
                    <a:prstGeom prst="rect">
                      <a:avLst/>
                    </a:prstGeom>
                    <a:noFill/>
                    <a:ln>
                      <a:noFill/>
                    </a:ln>
                  </pic:spPr>
                </pic:pic>
              </a:graphicData>
            </a:graphic>
          </wp:inline>
        </w:drawing>
      </w:r>
    </w:p>
    <w:p w14:paraId="239A9B3E" w14:textId="77777777" w:rsidR="00F5389C" w:rsidRDefault="00F5389C" w:rsidP="00F5389C">
      <w:pPr>
        <w:rPr>
          <w:sz w:val="24"/>
          <w:szCs w:val="24"/>
        </w:rPr>
      </w:pPr>
      <w:r>
        <w:rPr>
          <w:b/>
          <w:sz w:val="24"/>
          <w:szCs w:val="24"/>
        </w:rPr>
        <w:t xml:space="preserve">Extended Data Figure </w:t>
      </w:r>
      <w:proofErr w:type="spellStart"/>
      <w:r>
        <w:rPr>
          <w:b/>
          <w:sz w:val="24"/>
          <w:szCs w:val="24"/>
        </w:rPr>
        <w:t>S1</w:t>
      </w:r>
      <w:proofErr w:type="spellEnd"/>
      <w:r>
        <w:rPr>
          <w:b/>
          <w:sz w:val="24"/>
          <w:szCs w:val="24"/>
        </w:rPr>
        <w:t>.</w:t>
      </w:r>
      <w:r>
        <w:rPr>
          <w:sz w:val="24"/>
          <w:szCs w:val="24"/>
        </w:rPr>
        <w:t xml:space="preserve"> </w:t>
      </w:r>
      <w:r>
        <w:rPr>
          <w:b/>
          <w:bCs/>
          <w:sz w:val="24"/>
          <w:szCs w:val="24"/>
        </w:rPr>
        <w:t>Large phylogeny of SARS-CoV-2 whole genomes</w:t>
      </w:r>
      <w:r>
        <w:rPr>
          <w:sz w:val="24"/>
          <w:szCs w:val="24"/>
        </w:rPr>
        <w:t xml:space="preserve">. </w:t>
      </w:r>
      <w:r>
        <w:rPr>
          <w:b/>
          <w:sz w:val="24"/>
          <w:szCs w:val="24"/>
        </w:rPr>
        <w:t>(A)</w:t>
      </w:r>
      <w:r>
        <w:rPr>
          <w:sz w:val="24"/>
          <w:szCs w:val="24"/>
        </w:rPr>
        <w:t xml:space="preserve"> Maximum likelihood tree reconstructed with 3,068 global viral genomes from </w:t>
      </w:r>
      <w:proofErr w:type="spellStart"/>
      <w:r>
        <w:rPr>
          <w:sz w:val="24"/>
          <w:szCs w:val="24"/>
        </w:rPr>
        <w:t>GISAID</w:t>
      </w:r>
      <w:proofErr w:type="spellEnd"/>
      <w:r>
        <w:rPr>
          <w:sz w:val="24"/>
          <w:szCs w:val="24"/>
        </w:rPr>
        <w:t xml:space="preserve">, sampled to represent the diversity of viruses in circulation since the beginning of the COVID-19 pandemic. This phylogeny revealed the placement of the viruses infecting the patient in distinct lineages/sub-lineages of SARS-CoV-2. </w:t>
      </w:r>
      <w:r>
        <w:rPr>
          <w:b/>
          <w:sz w:val="24"/>
          <w:szCs w:val="24"/>
        </w:rPr>
        <w:t>(B)</w:t>
      </w:r>
      <w:r>
        <w:rPr>
          <w:sz w:val="24"/>
          <w:szCs w:val="24"/>
        </w:rPr>
        <w:t xml:space="preserve"> The virus causing the primary infection was isolated in March 2020 and belongs to lineage </w:t>
      </w:r>
      <w:proofErr w:type="spellStart"/>
      <w:r>
        <w:rPr>
          <w:sz w:val="24"/>
          <w:szCs w:val="24"/>
        </w:rPr>
        <w:t>B.1</w:t>
      </w:r>
      <w:proofErr w:type="spellEnd"/>
      <w:r>
        <w:rPr>
          <w:sz w:val="24"/>
          <w:szCs w:val="24"/>
        </w:rPr>
        <w:t xml:space="preserve">. </w:t>
      </w:r>
      <w:r>
        <w:rPr>
          <w:b/>
          <w:sz w:val="24"/>
          <w:szCs w:val="24"/>
        </w:rPr>
        <w:t>(C)</w:t>
      </w:r>
      <w:r>
        <w:rPr>
          <w:sz w:val="24"/>
          <w:szCs w:val="24"/>
        </w:rPr>
        <w:t xml:space="preserve"> The virus causing the reinfection was collected in November 2020 and is found in the </w:t>
      </w:r>
      <w:proofErr w:type="spellStart"/>
      <w:r>
        <w:rPr>
          <w:sz w:val="24"/>
          <w:szCs w:val="24"/>
        </w:rPr>
        <w:t>sublineages</w:t>
      </w:r>
      <w:proofErr w:type="spellEnd"/>
      <w:r>
        <w:rPr>
          <w:sz w:val="24"/>
          <w:szCs w:val="24"/>
        </w:rPr>
        <w:t xml:space="preserve"> </w:t>
      </w:r>
      <w:proofErr w:type="spellStart"/>
      <w:r>
        <w:rPr>
          <w:sz w:val="24"/>
          <w:szCs w:val="24"/>
        </w:rPr>
        <w:t>B.1.208</w:t>
      </w:r>
      <w:proofErr w:type="spellEnd"/>
      <w:r>
        <w:rPr>
          <w:sz w:val="24"/>
          <w:szCs w:val="24"/>
        </w:rPr>
        <w:t xml:space="preserve">. Phylogenetic plots were done using </w:t>
      </w:r>
      <w:proofErr w:type="spellStart"/>
      <w:r>
        <w:rPr>
          <w:sz w:val="24"/>
          <w:szCs w:val="24"/>
        </w:rPr>
        <w:t>baltic</w:t>
      </w:r>
      <w:proofErr w:type="spellEnd"/>
      <w:r>
        <w:rPr>
          <w:sz w:val="24"/>
          <w:szCs w:val="24"/>
        </w:rPr>
        <w:t xml:space="preserve"> 0.1.0.</w:t>
      </w:r>
    </w:p>
    <w:p w14:paraId="7D426B91" w14:textId="77777777" w:rsidR="00F5389C" w:rsidRDefault="00F5389C" w:rsidP="00F5389C">
      <w:pPr>
        <w:rPr>
          <w:sz w:val="24"/>
          <w:szCs w:val="24"/>
        </w:rPr>
      </w:pPr>
    </w:p>
    <w:p w14:paraId="782595E7" w14:textId="77777777" w:rsidR="00F5389C" w:rsidRDefault="00F5389C" w:rsidP="00F5389C">
      <w:pPr>
        <w:rPr>
          <w:sz w:val="24"/>
          <w:szCs w:val="24"/>
        </w:rPr>
      </w:pPr>
    </w:p>
    <w:p w14:paraId="54F4C56A" w14:textId="77777777" w:rsidR="00F5389C" w:rsidRDefault="00F5389C" w:rsidP="00F5389C">
      <w:pPr>
        <w:rPr>
          <w:sz w:val="24"/>
          <w:szCs w:val="24"/>
        </w:rPr>
      </w:pPr>
    </w:p>
    <w:p w14:paraId="4D464F25" w14:textId="77777777" w:rsidR="00F5389C" w:rsidRDefault="00F5389C" w:rsidP="00F5389C">
      <w:pPr>
        <w:rPr>
          <w:sz w:val="24"/>
          <w:szCs w:val="24"/>
        </w:rPr>
      </w:pPr>
    </w:p>
    <w:p w14:paraId="1D571DE7" w14:textId="77777777" w:rsidR="00F5389C" w:rsidRDefault="00F5389C" w:rsidP="00F5389C">
      <w:pPr>
        <w:rPr>
          <w:sz w:val="24"/>
          <w:szCs w:val="24"/>
        </w:rPr>
      </w:pPr>
    </w:p>
    <w:p w14:paraId="3222EA21" w14:textId="77777777" w:rsidR="00F5389C" w:rsidRDefault="00F5389C" w:rsidP="00F5389C">
      <w:pPr>
        <w:rPr>
          <w:sz w:val="24"/>
          <w:szCs w:val="24"/>
        </w:rPr>
      </w:pPr>
    </w:p>
    <w:p w14:paraId="007CCB36" w14:textId="77777777" w:rsidR="00F5389C" w:rsidRDefault="00F5389C" w:rsidP="00F5389C">
      <w:pPr>
        <w:rPr>
          <w:sz w:val="24"/>
          <w:szCs w:val="24"/>
        </w:rPr>
      </w:pPr>
    </w:p>
    <w:p w14:paraId="4E8C7437" w14:textId="77777777" w:rsidR="00F5389C" w:rsidRDefault="00F5389C" w:rsidP="00F5389C">
      <w:pPr>
        <w:pStyle w:val="Title"/>
        <w:rPr>
          <w:b/>
          <w:bCs/>
          <w:sz w:val="22"/>
          <w:szCs w:val="22"/>
        </w:rPr>
      </w:pPr>
      <w:bookmarkStart w:id="2" w:name="_k80qfe7t4k5j"/>
      <w:bookmarkEnd w:id="2"/>
      <w:r>
        <w:rPr>
          <w:b/>
          <w:bCs/>
          <w:sz w:val="22"/>
          <w:szCs w:val="22"/>
        </w:rPr>
        <w:t xml:space="preserve">Extended Data Figure </w:t>
      </w:r>
      <w:proofErr w:type="spellStart"/>
      <w:r>
        <w:rPr>
          <w:b/>
          <w:bCs/>
          <w:sz w:val="22"/>
          <w:szCs w:val="22"/>
        </w:rPr>
        <w:t>S2</w:t>
      </w:r>
      <w:proofErr w:type="spellEnd"/>
    </w:p>
    <w:p w14:paraId="7D533227" w14:textId="68B6785B" w:rsidR="00F5389C" w:rsidRDefault="00F5389C" w:rsidP="00F5389C">
      <w:pPr>
        <w:rPr>
          <w:sz w:val="24"/>
          <w:szCs w:val="24"/>
        </w:rPr>
      </w:pPr>
      <w:r>
        <w:rPr>
          <w:b/>
          <w:noProof/>
          <w:sz w:val="24"/>
          <w:szCs w:val="24"/>
        </w:rPr>
        <w:drawing>
          <wp:inline distT="0" distB="0" distL="0" distR="0" wp14:anchorId="3A123942" wp14:editId="23B4C356">
            <wp:extent cx="5943600" cy="5943600"/>
            <wp:effectExtent l="0" t="0" r="0" b="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r>
        <w:rPr>
          <w:b/>
          <w:sz w:val="24"/>
          <w:szCs w:val="24"/>
        </w:rPr>
        <w:t xml:space="preserve">Extended Data Figure </w:t>
      </w:r>
      <w:proofErr w:type="spellStart"/>
      <w:r>
        <w:rPr>
          <w:b/>
          <w:sz w:val="24"/>
          <w:szCs w:val="24"/>
        </w:rPr>
        <w:t>S2</w:t>
      </w:r>
      <w:proofErr w:type="spellEnd"/>
      <w:r>
        <w:rPr>
          <w:b/>
          <w:sz w:val="24"/>
          <w:szCs w:val="24"/>
        </w:rPr>
        <w:t xml:space="preserve">. </w:t>
      </w:r>
      <w:r>
        <w:rPr>
          <w:b/>
          <w:bCs/>
          <w:sz w:val="24"/>
          <w:szCs w:val="24"/>
        </w:rPr>
        <w:t>A non-synonymous amino acid change in the genome of the SARS-CoV-2 reinfection variant</w:t>
      </w:r>
      <w:r>
        <w:rPr>
          <w:sz w:val="24"/>
          <w:szCs w:val="24"/>
        </w:rPr>
        <w:t>. An</w:t>
      </w:r>
      <w:r>
        <w:rPr>
          <w:b/>
          <w:sz w:val="24"/>
          <w:szCs w:val="24"/>
        </w:rPr>
        <w:t xml:space="preserve"> </w:t>
      </w:r>
      <w:r>
        <w:rPr>
          <w:sz w:val="24"/>
          <w:szCs w:val="24"/>
        </w:rPr>
        <w:t>amino acid change from alanine to serine (</w:t>
      </w:r>
      <w:proofErr w:type="spellStart"/>
      <w:r>
        <w:rPr>
          <w:sz w:val="24"/>
          <w:szCs w:val="24"/>
        </w:rPr>
        <w:t>A1078S</w:t>
      </w:r>
      <w:proofErr w:type="spellEnd"/>
      <w:r>
        <w:rPr>
          <w:sz w:val="24"/>
          <w:szCs w:val="24"/>
        </w:rPr>
        <w:t xml:space="preserve">) was discovered in the </w:t>
      </w:r>
      <w:proofErr w:type="spellStart"/>
      <w:r>
        <w:rPr>
          <w:sz w:val="24"/>
          <w:szCs w:val="24"/>
        </w:rPr>
        <w:t>S2</w:t>
      </w:r>
      <w:proofErr w:type="spellEnd"/>
      <w:r>
        <w:rPr>
          <w:sz w:val="24"/>
          <w:szCs w:val="24"/>
        </w:rPr>
        <w:t xml:space="preserve"> subunit of spike protein in the SARS-CoV-2 variant that caused the reinfection (green marker). Antibody binding site identified by linear epitope mapping that was generated during primary infection (red). Protein structure: </w:t>
      </w:r>
      <w:proofErr w:type="spellStart"/>
      <w:r>
        <w:rPr>
          <w:sz w:val="24"/>
          <w:szCs w:val="24"/>
        </w:rPr>
        <w:t>PDB</w:t>
      </w:r>
      <w:proofErr w:type="spellEnd"/>
      <w:r>
        <w:rPr>
          <w:sz w:val="24"/>
          <w:szCs w:val="24"/>
        </w:rPr>
        <w:t xml:space="preserve"> </w:t>
      </w:r>
      <w:proofErr w:type="spellStart"/>
      <w:r>
        <w:rPr>
          <w:sz w:val="24"/>
          <w:szCs w:val="24"/>
        </w:rPr>
        <w:t>6VXX</w:t>
      </w:r>
      <w:r>
        <w:rPr>
          <w:sz w:val="24"/>
          <w:szCs w:val="24"/>
        </w:rPr>
        <w:fldChar w:fldCharType="begin" w:fldLock="1"/>
      </w:r>
      <w:r>
        <w:rPr>
          <w:sz w:val="24"/>
          <w:szCs w:val="24"/>
        </w:rPr>
        <w:instrText>ADDIN CSL_CITATION {"citationItems":[{"id":"ITEM-1","itemData":{"DOI":"10.1016/j.cell.2020.02.058","ISSN":"10974172","PMID":"32155444","abstract":"The emergence of SARS-CoV-2 has resulted in &gt;90,000 infections and &gt;3,000 deaths. Coronavirus spike (S) glycoproteins promote entry into cells and are the main target of antibodies. We show that SARS-CoV-2 S uses ACE2 to enter cells and that the receptor-binding domains of SARS-CoV-2 S and SARS-CoV S bind with similar affinities to human ACE2, correlating with the efficient spread of SARS-CoV-2 among humans. We found that the SARS-CoV-2 S glycoprotein harbors a furin cleavage site at the boundary between the S1/S2 subunits, which is processed during biogenesis and sets this virus apart from SARS-CoV and SARS-related CoVs. We determined cryo-EM structures of the SARS-CoV-2 S ectodomain trimer, providing a blueprint for the design of vaccines and inhibitors of viral entry. Finally, we demonstrate that SARS-CoV S murine polyclonal antibodies potently inhibited SARS-CoV-2 S mediated entry into cells, indicating that cross-neutralizing antibodies targeting conserved S epitopes can be elicited upon vaccination.","author":[{"dropping-particle":"","family":"Walls","given":"Alexandra C.","non-dropping-particle":"","parse-names":false,"suffix":""},{"dropping-particle":"","family":"Park","given":"Young Jun","non-dropping-particle":"","parse-names":false,"suffix":""},{"dropping-particle":"","family":"Tortorici","given":"M. Alejandra","non-dropping-particle":"","parse-names":false,"suffix":""},{"dropping-particle":"","family":"Wall","given":"Abigail","non-dropping-particle":"","parse-names":false,"suffix":""},{"dropping-particle":"","family":"McGuire","given":"Andrew T.","non-dropping-particle":"","parse-names":false,"suffix":""},{"dropping-particle":"","family":"Veesler","given":"David","non-dropping-particle":"","parse-names":false,"suffix":""}],"container-title":"Cell","id":"ITEM-1","issue":"2","issued":{"date-parts":[["2020"]]},"page":"281-292.e6","publisher":"Elsevier","title":"Structure, Function, and Antigenicity of the SARS-CoV-2 Spike Glycoprotein","type":"article-journal","volume":"181"},"uris":["http://www.mendeley.com/documents/?uuid=f35bd86f-70f0-450c-be58-c6e3f2ee366b"]}],"mendeley":{"formattedCitation":"&lt;sup&gt;51&lt;/sup&gt;","plainTextFormattedCitation":"51","previouslyFormattedCitation":"&lt;sup&gt;51&lt;/sup&gt;"},"properties":{"noteIndex":0},"schema":"https://github.com/citation-style-language/schema/raw/master/csl-citation.json"}</w:instrText>
      </w:r>
      <w:r>
        <w:rPr>
          <w:sz w:val="24"/>
          <w:szCs w:val="24"/>
        </w:rPr>
        <w:fldChar w:fldCharType="separate"/>
      </w:r>
      <w:r>
        <w:rPr>
          <w:noProof/>
          <w:sz w:val="24"/>
          <w:szCs w:val="24"/>
          <w:vertAlign w:val="superscript"/>
        </w:rPr>
        <w:t>51</w:t>
      </w:r>
      <w:proofErr w:type="spellEnd"/>
      <w:r>
        <w:rPr>
          <w:sz w:val="24"/>
          <w:szCs w:val="24"/>
        </w:rPr>
        <w:fldChar w:fldCharType="end"/>
      </w:r>
    </w:p>
    <w:p w14:paraId="7BB7F51B" w14:textId="77777777" w:rsidR="00F5389C" w:rsidRDefault="00F5389C" w:rsidP="00F5389C">
      <w:pPr>
        <w:rPr>
          <w:sz w:val="24"/>
          <w:szCs w:val="24"/>
        </w:rPr>
      </w:pPr>
    </w:p>
    <w:p w14:paraId="5B42FF39" w14:textId="77777777" w:rsidR="00F5389C" w:rsidRDefault="00F5389C" w:rsidP="00F5389C">
      <w:pPr>
        <w:rPr>
          <w:sz w:val="24"/>
          <w:szCs w:val="24"/>
        </w:rPr>
      </w:pPr>
    </w:p>
    <w:p w14:paraId="344615A2" w14:textId="77777777" w:rsidR="00F5389C" w:rsidRDefault="00F5389C" w:rsidP="00F5389C">
      <w:pPr>
        <w:rPr>
          <w:sz w:val="24"/>
          <w:szCs w:val="24"/>
        </w:rPr>
      </w:pPr>
    </w:p>
    <w:p w14:paraId="7FB8BF37" w14:textId="77777777" w:rsidR="00F5389C" w:rsidRDefault="00F5389C" w:rsidP="00F5389C">
      <w:pPr>
        <w:pStyle w:val="Title"/>
        <w:rPr>
          <w:b/>
          <w:bCs/>
          <w:sz w:val="22"/>
          <w:szCs w:val="22"/>
        </w:rPr>
      </w:pPr>
      <w:bookmarkStart w:id="3" w:name="_jlf2m6y16aq4"/>
      <w:bookmarkEnd w:id="3"/>
      <w:r>
        <w:rPr>
          <w:b/>
          <w:bCs/>
          <w:sz w:val="22"/>
          <w:szCs w:val="22"/>
        </w:rPr>
        <w:t xml:space="preserve">Extended Data Figure </w:t>
      </w:r>
      <w:proofErr w:type="spellStart"/>
      <w:r>
        <w:rPr>
          <w:b/>
          <w:bCs/>
          <w:sz w:val="22"/>
          <w:szCs w:val="22"/>
        </w:rPr>
        <w:t>S3</w:t>
      </w:r>
      <w:proofErr w:type="spellEnd"/>
    </w:p>
    <w:p w14:paraId="6D8C993D" w14:textId="77777777" w:rsidR="00F5389C" w:rsidRDefault="00F5389C" w:rsidP="00F5389C">
      <w:pPr>
        <w:rPr>
          <w:sz w:val="24"/>
          <w:szCs w:val="24"/>
        </w:rPr>
      </w:pPr>
    </w:p>
    <w:p w14:paraId="45DFA788" w14:textId="4269335D" w:rsidR="00F5389C" w:rsidRDefault="00F5389C" w:rsidP="00F5389C">
      <w:pPr>
        <w:rPr>
          <w:sz w:val="24"/>
          <w:szCs w:val="24"/>
        </w:rPr>
      </w:pPr>
      <w:r>
        <w:rPr>
          <w:b/>
          <w:noProof/>
          <w:sz w:val="24"/>
          <w:szCs w:val="24"/>
        </w:rPr>
        <w:drawing>
          <wp:inline distT="0" distB="0" distL="0" distR="0" wp14:anchorId="682B5B5C" wp14:editId="193C893A">
            <wp:extent cx="5943600" cy="7620000"/>
            <wp:effectExtent l="0" t="0" r="0" b="0"/>
            <wp:docPr id="4" name="Picture 4"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7620000"/>
                    </a:xfrm>
                    <a:prstGeom prst="rect">
                      <a:avLst/>
                    </a:prstGeom>
                    <a:noFill/>
                    <a:ln>
                      <a:noFill/>
                    </a:ln>
                  </pic:spPr>
                </pic:pic>
              </a:graphicData>
            </a:graphic>
          </wp:inline>
        </w:drawing>
      </w:r>
    </w:p>
    <w:p w14:paraId="302AD550" w14:textId="77777777" w:rsidR="00F5389C" w:rsidRDefault="00F5389C" w:rsidP="00F5389C">
      <w:pPr>
        <w:rPr>
          <w:sz w:val="24"/>
          <w:szCs w:val="24"/>
        </w:rPr>
      </w:pPr>
    </w:p>
    <w:p w14:paraId="76462DC9" w14:textId="77777777" w:rsidR="00F5389C" w:rsidRDefault="00F5389C" w:rsidP="00F5389C">
      <w:pPr>
        <w:rPr>
          <w:sz w:val="24"/>
          <w:szCs w:val="24"/>
        </w:rPr>
      </w:pPr>
      <w:r>
        <w:rPr>
          <w:b/>
          <w:sz w:val="24"/>
          <w:szCs w:val="24"/>
        </w:rPr>
        <w:t xml:space="preserve">Extended Data Figure </w:t>
      </w:r>
      <w:proofErr w:type="spellStart"/>
      <w:r>
        <w:rPr>
          <w:b/>
          <w:sz w:val="24"/>
          <w:szCs w:val="24"/>
        </w:rPr>
        <w:t>S3</w:t>
      </w:r>
      <w:proofErr w:type="spellEnd"/>
      <w:r>
        <w:rPr>
          <w:sz w:val="24"/>
          <w:szCs w:val="24"/>
        </w:rPr>
        <w:t xml:space="preserve">. </w:t>
      </w:r>
      <w:r>
        <w:rPr>
          <w:b/>
          <w:bCs/>
          <w:sz w:val="24"/>
          <w:szCs w:val="24"/>
        </w:rPr>
        <w:t>Broad PBMC profiling of SARS-CoV-2 primary and reinfection</w:t>
      </w:r>
      <w:r>
        <w:rPr>
          <w:sz w:val="24"/>
          <w:szCs w:val="24"/>
        </w:rPr>
        <w:t>. For all graphs, blue linear least squares regression lines and corresponding shading represent the average trend and error bars, respectively, for patients with moderate COVID-19. Red linear least squares regression lines and corresponding shading represent the average trend and error bars, respectively, for patients with severe COVID-19. The dashed green line represents the average value of healthy, uninfected healthcare workers (</w:t>
      </w:r>
      <w:proofErr w:type="spellStart"/>
      <w:r>
        <w:rPr>
          <w:sz w:val="24"/>
          <w:szCs w:val="24"/>
        </w:rPr>
        <w:t>HCW</w:t>
      </w:r>
      <w:proofErr w:type="spellEnd"/>
      <w:r>
        <w:rPr>
          <w:sz w:val="24"/>
          <w:szCs w:val="24"/>
        </w:rPr>
        <w:t xml:space="preserve">) plotted as a constant value across all days for reference. Individual scatter points represent the values for the patient during the primary SARS-CoV-2 infection (green) and the reinfection (orange). </w:t>
      </w:r>
      <w:r>
        <w:rPr>
          <w:b/>
          <w:bCs/>
          <w:sz w:val="24"/>
          <w:szCs w:val="24"/>
        </w:rPr>
        <w:t>(A)</w:t>
      </w:r>
      <w:r>
        <w:rPr>
          <w:sz w:val="24"/>
          <w:szCs w:val="24"/>
        </w:rPr>
        <w:t xml:space="preserve"> Scatter plots of various patient peripheral NK and granulocyte cell populations isolated from whole blood. Top rows are absolute counts, bottom rows are percentage of relative parent populations. </w:t>
      </w:r>
      <w:r>
        <w:rPr>
          <w:b/>
          <w:bCs/>
          <w:sz w:val="24"/>
          <w:szCs w:val="24"/>
        </w:rPr>
        <w:t>(B)</w:t>
      </w:r>
      <w:r>
        <w:rPr>
          <w:sz w:val="24"/>
          <w:szCs w:val="24"/>
        </w:rPr>
        <w:t xml:space="preserve"> Scatter plots of various patient peripheral monocyte and dendritic cell (DC) sub-populations isolated from whole blood. Top rows are absolute counts, bottom rows are percentage of relative parent populations.  </w:t>
      </w:r>
      <w:r>
        <w:rPr>
          <w:b/>
          <w:sz w:val="24"/>
          <w:szCs w:val="24"/>
        </w:rPr>
        <w:t xml:space="preserve">(C) </w:t>
      </w:r>
      <w:proofErr w:type="spellStart"/>
      <w:r>
        <w:rPr>
          <w:sz w:val="24"/>
          <w:szCs w:val="24"/>
        </w:rPr>
        <w:t>CD4</w:t>
      </w:r>
      <w:proofErr w:type="spellEnd"/>
      <w:r>
        <w:rPr>
          <w:sz w:val="24"/>
          <w:szCs w:val="24"/>
          <w:vertAlign w:val="superscript"/>
        </w:rPr>
        <w:t>+</w:t>
      </w:r>
      <w:r>
        <w:rPr>
          <w:sz w:val="24"/>
          <w:szCs w:val="24"/>
        </w:rPr>
        <w:t>/</w:t>
      </w:r>
      <w:proofErr w:type="spellStart"/>
      <w:r>
        <w:rPr>
          <w:sz w:val="24"/>
          <w:szCs w:val="24"/>
        </w:rPr>
        <w:t>CD8</w:t>
      </w:r>
      <w:proofErr w:type="spellEnd"/>
      <w:r>
        <w:rPr>
          <w:sz w:val="24"/>
          <w:szCs w:val="24"/>
          <w:vertAlign w:val="superscript"/>
        </w:rPr>
        <w:t xml:space="preserve">+ </w:t>
      </w:r>
      <w:r>
        <w:rPr>
          <w:sz w:val="24"/>
          <w:szCs w:val="24"/>
        </w:rPr>
        <w:t xml:space="preserve">ratios plotted as percentage of </w:t>
      </w:r>
      <w:proofErr w:type="spellStart"/>
      <w:r>
        <w:rPr>
          <w:sz w:val="24"/>
          <w:szCs w:val="24"/>
        </w:rPr>
        <w:t>CD3</w:t>
      </w:r>
      <w:proofErr w:type="spellEnd"/>
      <w:r>
        <w:rPr>
          <w:sz w:val="24"/>
          <w:szCs w:val="24"/>
          <w:vertAlign w:val="superscript"/>
        </w:rPr>
        <w:t>+</w:t>
      </w:r>
      <w:r>
        <w:rPr>
          <w:sz w:val="24"/>
          <w:szCs w:val="24"/>
        </w:rPr>
        <w:t xml:space="preserve"> </w:t>
      </w:r>
      <w:proofErr w:type="spellStart"/>
      <w:r>
        <w:rPr>
          <w:sz w:val="24"/>
          <w:szCs w:val="24"/>
        </w:rPr>
        <w:t>PMBC</w:t>
      </w:r>
      <w:proofErr w:type="spellEnd"/>
      <w:r>
        <w:rPr>
          <w:sz w:val="24"/>
          <w:szCs w:val="24"/>
        </w:rPr>
        <w:t xml:space="preserve"> cells (left) or as a ratio of absolute counts (right).</w:t>
      </w:r>
    </w:p>
    <w:p w14:paraId="7D575C0C" w14:textId="77777777" w:rsidR="00F5389C" w:rsidRDefault="00F5389C" w:rsidP="00F5389C">
      <w:pPr>
        <w:rPr>
          <w:b/>
          <w:sz w:val="24"/>
          <w:szCs w:val="24"/>
        </w:rPr>
      </w:pPr>
    </w:p>
    <w:p w14:paraId="1B732515" w14:textId="77777777" w:rsidR="00F5389C" w:rsidRDefault="00F5389C" w:rsidP="00F5389C">
      <w:pPr>
        <w:rPr>
          <w:b/>
          <w:sz w:val="24"/>
          <w:szCs w:val="24"/>
        </w:rPr>
      </w:pPr>
    </w:p>
    <w:p w14:paraId="2B625FB0" w14:textId="77777777" w:rsidR="00F5389C" w:rsidRDefault="00F5389C" w:rsidP="00F5389C">
      <w:pPr>
        <w:rPr>
          <w:b/>
          <w:sz w:val="24"/>
          <w:szCs w:val="24"/>
        </w:rPr>
      </w:pPr>
    </w:p>
    <w:p w14:paraId="77FD9A3B" w14:textId="77777777" w:rsidR="00F5389C" w:rsidRDefault="00F5389C" w:rsidP="00F5389C">
      <w:pPr>
        <w:rPr>
          <w:b/>
          <w:sz w:val="24"/>
          <w:szCs w:val="24"/>
        </w:rPr>
      </w:pPr>
    </w:p>
    <w:p w14:paraId="5712CB95" w14:textId="77777777" w:rsidR="00F5389C" w:rsidRDefault="00F5389C" w:rsidP="00F5389C">
      <w:pPr>
        <w:rPr>
          <w:b/>
          <w:sz w:val="24"/>
          <w:szCs w:val="24"/>
        </w:rPr>
      </w:pPr>
    </w:p>
    <w:p w14:paraId="0719009A" w14:textId="77777777" w:rsidR="00F5389C" w:rsidRDefault="00F5389C" w:rsidP="00F5389C">
      <w:pPr>
        <w:rPr>
          <w:b/>
          <w:sz w:val="24"/>
          <w:szCs w:val="24"/>
        </w:rPr>
      </w:pPr>
    </w:p>
    <w:p w14:paraId="6538D5E1" w14:textId="77777777" w:rsidR="00F5389C" w:rsidRDefault="00F5389C" w:rsidP="00F5389C">
      <w:pPr>
        <w:rPr>
          <w:b/>
          <w:sz w:val="24"/>
          <w:szCs w:val="24"/>
        </w:rPr>
      </w:pPr>
    </w:p>
    <w:p w14:paraId="507212F2" w14:textId="77777777" w:rsidR="00F5389C" w:rsidRDefault="00F5389C" w:rsidP="00F5389C">
      <w:pPr>
        <w:rPr>
          <w:b/>
          <w:sz w:val="24"/>
          <w:szCs w:val="24"/>
        </w:rPr>
      </w:pPr>
    </w:p>
    <w:p w14:paraId="434DB192" w14:textId="77777777" w:rsidR="00F5389C" w:rsidRDefault="00F5389C" w:rsidP="00F5389C">
      <w:pPr>
        <w:rPr>
          <w:b/>
          <w:sz w:val="24"/>
          <w:szCs w:val="24"/>
        </w:rPr>
      </w:pPr>
    </w:p>
    <w:p w14:paraId="16A1F7D9" w14:textId="77777777" w:rsidR="00F5389C" w:rsidRDefault="00F5389C" w:rsidP="00F5389C">
      <w:pPr>
        <w:rPr>
          <w:b/>
          <w:sz w:val="24"/>
          <w:szCs w:val="24"/>
        </w:rPr>
      </w:pPr>
    </w:p>
    <w:p w14:paraId="5EADF016" w14:textId="77777777" w:rsidR="00F5389C" w:rsidRDefault="00F5389C" w:rsidP="00F5389C">
      <w:pPr>
        <w:rPr>
          <w:b/>
          <w:sz w:val="24"/>
          <w:szCs w:val="24"/>
        </w:rPr>
      </w:pPr>
    </w:p>
    <w:p w14:paraId="51E054EE" w14:textId="77777777" w:rsidR="00F5389C" w:rsidRDefault="00F5389C" w:rsidP="00F5389C">
      <w:pPr>
        <w:rPr>
          <w:b/>
          <w:sz w:val="24"/>
          <w:szCs w:val="24"/>
        </w:rPr>
      </w:pPr>
    </w:p>
    <w:p w14:paraId="26271F9B" w14:textId="77777777" w:rsidR="00F5389C" w:rsidRDefault="00F5389C" w:rsidP="00F5389C">
      <w:pPr>
        <w:rPr>
          <w:b/>
          <w:sz w:val="24"/>
          <w:szCs w:val="24"/>
        </w:rPr>
      </w:pPr>
    </w:p>
    <w:p w14:paraId="45F43B6D" w14:textId="77777777" w:rsidR="00F5389C" w:rsidRDefault="00F5389C" w:rsidP="00F5389C">
      <w:pPr>
        <w:rPr>
          <w:b/>
          <w:sz w:val="24"/>
          <w:szCs w:val="24"/>
        </w:rPr>
      </w:pPr>
    </w:p>
    <w:p w14:paraId="45988E54" w14:textId="77777777" w:rsidR="00F5389C" w:rsidRDefault="00F5389C" w:rsidP="00F5389C">
      <w:pPr>
        <w:rPr>
          <w:b/>
          <w:sz w:val="24"/>
          <w:szCs w:val="24"/>
        </w:rPr>
      </w:pPr>
    </w:p>
    <w:p w14:paraId="0898FC2B" w14:textId="77777777" w:rsidR="00F5389C" w:rsidRDefault="00F5389C" w:rsidP="00F5389C">
      <w:pPr>
        <w:rPr>
          <w:b/>
          <w:sz w:val="24"/>
          <w:szCs w:val="24"/>
        </w:rPr>
      </w:pPr>
    </w:p>
    <w:p w14:paraId="700EB451" w14:textId="77777777" w:rsidR="00F5389C" w:rsidRDefault="00F5389C" w:rsidP="00F5389C">
      <w:pPr>
        <w:rPr>
          <w:b/>
          <w:sz w:val="24"/>
          <w:szCs w:val="24"/>
        </w:rPr>
      </w:pPr>
    </w:p>
    <w:p w14:paraId="7F287830" w14:textId="77777777" w:rsidR="00F5389C" w:rsidRDefault="00F5389C" w:rsidP="00F5389C">
      <w:pPr>
        <w:rPr>
          <w:b/>
          <w:sz w:val="24"/>
          <w:szCs w:val="24"/>
        </w:rPr>
      </w:pPr>
    </w:p>
    <w:p w14:paraId="4E97D7E0" w14:textId="77777777" w:rsidR="00F5389C" w:rsidRDefault="00F5389C" w:rsidP="00F5389C">
      <w:pPr>
        <w:rPr>
          <w:b/>
          <w:sz w:val="24"/>
          <w:szCs w:val="24"/>
        </w:rPr>
      </w:pPr>
    </w:p>
    <w:p w14:paraId="324191C1" w14:textId="77777777" w:rsidR="00F5389C" w:rsidRDefault="00F5389C" w:rsidP="00F5389C">
      <w:pPr>
        <w:pStyle w:val="Title"/>
        <w:rPr>
          <w:b/>
          <w:bCs/>
          <w:sz w:val="22"/>
          <w:szCs w:val="22"/>
        </w:rPr>
      </w:pPr>
      <w:bookmarkStart w:id="4" w:name="_84tuh1nvnqo3"/>
      <w:bookmarkEnd w:id="4"/>
      <w:r>
        <w:rPr>
          <w:b/>
          <w:bCs/>
          <w:sz w:val="22"/>
          <w:szCs w:val="22"/>
        </w:rPr>
        <w:t xml:space="preserve">Extended Data Figure </w:t>
      </w:r>
      <w:proofErr w:type="spellStart"/>
      <w:r>
        <w:rPr>
          <w:b/>
          <w:bCs/>
          <w:sz w:val="22"/>
          <w:szCs w:val="22"/>
        </w:rPr>
        <w:t>S4</w:t>
      </w:r>
      <w:proofErr w:type="spellEnd"/>
    </w:p>
    <w:p w14:paraId="188169BD" w14:textId="4329A5C2" w:rsidR="00F5389C" w:rsidRDefault="00F5389C" w:rsidP="00F5389C">
      <w:pPr>
        <w:rPr>
          <w:b/>
          <w:sz w:val="24"/>
          <w:szCs w:val="24"/>
        </w:rPr>
      </w:pPr>
      <w:r>
        <w:rPr>
          <w:noProof/>
          <w:sz w:val="24"/>
          <w:szCs w:val="24"/>
        </w:rPr>
        <w:drawing>
          <wp:inline distT="0" distB="0" distL="0" distR="0" wp14:anchorId="625CD613" wp14:editId="3274BAA9">
            <wp:extent cx="5943600" cy="7772400"/>
            <wp:effectExtent l="0" t="0" r="0" b="0"/>
            <wp:docPr id="3" name="Picture 3"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7772400"/>
                    </a:xfrm>
                    <a:prstGeom prst="rect">
                      <a:avLst/>
                    </a:prstGeom>
                    <a:noFill/>
                    <a:ln>
                      <a:noFill/>
                    </a:ln>
                  </pic:spPr>
                </pic:pic>
              </a:graphicData>
            </a:graphic>
          </wp:inline>
        </w:drawing>
      </w:r>
    </w:p>
    <w:p w14:paraId="37C23C38" w14:textId="77777777" w:rsidR="00F5389C" w:rsidRDefault="00F5389C" w:rsidP="00F5389C">
      <w:pPr>
        <w:rPr>
          <w:b/>
          <w:sz w:val="24"/>
          <w:szCs w:val="24"/>
        </w:rPr>
      </w:pPr>
    </w:p>
    <w:p w14:paraId="318D11E7" w14:textId="77777777" w:rsidR="00F5389C" w:rsidRDefault="00F5389C" w:rsidP="00F5389C">
      <w:pPr>
        <w:rPr>
          <w:sz w:val="24"/>
          <w:szCs w:val="24"/>
        </w:rPr>
      </w:pPr>
      <w:r>
        <w:rPr>
          <w:b/>
          <w:sz w:val="24"/>
          <w:szCs w:val="24"/>
        </w:rPr>
        <w:t xml:space="preserve">Extended Data Figure </w:t>
      </w:r>
      <w:proofErr w:type="spellStart"/>
      <w:r>
        <w:rPr>
          <w:b/>
          <w:sz w:val="24"/>
          <w:szCs w:val="24"/>
        </w:rPr>
        <w:t>S4</w:t>
      </w:r>
      <w:proofErr w:type="spellEnd"/>
      <w:r>
        <w:rPr>
          <w:sz w:val="24"/>
          <w:szCs w:val="24"/>
        </w:rPr>
        <w:t xml:space="preserve">. </w:t>
      </w:r>
      <w:r>
        <w:rPr>
          <w:b/>
          <w:bCs/>
          <w:sz w:val="24"/>
          <w:szCs w:val="24"/>
        </w:rPr>
        <w:t>Broad plasma cytokine profiling of SARS-CoV-2 primary infection</w:t>
      </w:r>
      <w:r>
        <w:rPr>
          <w:sz w:val="24"/>
          <w:szCs w:val="24"/>
        </w:rPr>
        <w:t>. For all graphs, blue linear least squares regression lines and corresponding shading represent the average trend and error bars, respectively, for patients with moderate COVID-19. Red linear least squares regression lines and corresponding shading represent the average trend and error bars, respectively, for patients with severe COVID-19. The dashed green line represents the average value of healthy, uninfected healthcare workers (</w:t>
      </w:r>
      <w:proofErr w:type="spellStart"/>
      <w:r>
        <w:rPr>
          <w:sz w:val="24"/>
          <w:szCs w:val="24"/>
        </w:rPr>
        <w:t>HCW</w:t>
      </w:r>
      <w:proofErr w:type="spellEnd"/>
      <w:r>
        <w:rPr>
          <w:sz w:val="24"/>
          <w:szCs w:val="24"/>
        </w:rPr>
        <w:t>) plotted as a constant value across all days for reference. Individual scatter points represent the values for our patient during the primary SARS-CoV-2 infection (green).</w:t>
      </w:r>
    </w:p>
    <w:p w14:paraId="0BF4916E" w14:textId="77777777" w:rsidR="00F5389C" w:rsidRDefault="00F5389C" w:rsidP="00F5389C">
      <w:pPr>
        <w:rPr>
          <w:sz w:val="24"/>
          <w:szCs w:val="24"/>
        </w:rPr>
      </w:pPr>
    </w:p>
    <w:p w14:paraId="407BD984" w14:textId="77777777" w:rsidR="00F5389C" w:rsidRDefault="00F5389C" w:rsidP="00F5389C">
      <w:pPr>
        <w:rPr>
          <w:sz w:val="24"/>
          <w:szCs w:val="24"/>
        </w:rPr>
      </w:pPr>
    </w:p>
    <w:p w14:paraId="6A546B67" w14:textId="77777777" w:rsidR="00F5389C" w:rsidRDefault="00F5389C" w:rsidP="00F5389C">
      <w:pPr>
        <w:rPr>
          <w:sz w:val="24"/>
          <w:szCs w:val="24"/>
        </w:rPr>
      </w:pPr>
    </w:p>
    <w:p w14:paraId="43A92F13" w14:textId="77777777" w:rsidR="00F5389C" w:rsidRDefault="00F5389C" w:rsidP="00F5389C">
      <w:pPr>
        <w:rPr>
          <w:sz w:val="24"/>
          <w:szCs w:val="24"/>
        </w:rPr>
      </w:pPr>
    </w:p>
    <w:p w14:paraId="4C7FD1E1" w14:textId="77777777" w:rsidR="00F5389C" w:rsidRDefault="00F5389C" w:rsidP="00F5389C">
      <w:pPr>
        <w:rPr>
          <w:sz w:val="24"/>
          <w:szCs w:val="24"/>
        </w:rPr>
      </w:pPr>
    </w:p>
    <w:p w14:paraId="5EA386BE" w14:textId="77777777" w:rsidR="00F5389C" w:rsidRDefault="00F5389C" w:rsidP="00F5389C">
      <w:pPr>
        <w:rPr>
          <w:sz w:val="24"/>
          <w:szCs w:val="24"/>
        </w:rPr>
      </w:pPr>
    </w:p>
    <w:p w14:paraId="42751757" w14:textId="77777777" w:rsidR="00F5389C" w:rsidRDefault="00F5389C" w:rsidP="00F5389C">
      <w:pPr>
        <w:rPr>
          <w:sz w:val="24"/>
          <w:szCs w:val="24"/>
        </w:rPr>
      </w:pPr>
    </w:p>
    <w:p w14:paraId="210D4929" w14:textId="77777777" w:rsidR="00F5389C" w:rsidRDefault="00F5389C" w:rsidP="00F5389C">
      <w:pPr>
        <w:rPr>
          <w:sz w:val="24"/>
          <w:szCs w:val="24"/>
        </w:rPr>
      </w:pPr>
    </w:p>
    <w:p w14:paraId="15BC7A98" w14:textId="77777777" w:rsidR="00F5389C" w:rsidRDefault="00F5389C" w:rsidP="00F5389C">
      <w:pPr>
        <w:rPr>
          <w:sz w:val="24"/>
          <w:szCs w:val="24"/>
        </w:rPr>
      </w:pPr>
    </w:p>
    <w:p w14:paraId="7AB7E4BE" w14:textId="77777777" w:rsidR="00F5389C" w:rsidRDefault="00F5389C" w:rsidP="00F5389C">
      <w:pPr>
        <w:rPr>
          <w:sz w:val="24"/>
          <w:szCs w:val="24"/>
        </w:rPr>
      </w:pPr>
    </w:p>
    <w:p w14:paraId="7BCF50D2" w14:textId="77777777" w:rsidR="00F5389C" w:rsidRDefault="00F5389C" w:rsidP="00F5389C">
      <w:pPr>
        <w:rPr>
          <w:sz w:val="24"/>
          <w:szCs w:val="24"/>
        </w:rPr>
      </w:pPr>
    </w:p>
    <w:p w14:paraId="5B5C759C" w14:textId="77777777" w:rsidR="00F5389C" w:rsidRDefault="00F5389C" w:rsidP="00F5389C">
      <w:pPr>
        <w:rPr>
          <w:sz w:val="24"/>
          <w:szCs w:val="24"/>
        </w:rPr>
      </w:pPr>
    </w:p>
    <w:p w14:paraId="0518BC1D" w14:textId="77777777" w:rsidR="00F5389C" w:rsidRDefault="00F5389C" w:rsidP="00F5389C">
      <w:pPr>
        <w:rPr>
          <w:sz w:val="24"/>
          <w:szCs w:val="24"/>
        </w:rPr>
      </w:pPr>
    </w:p>
    <w:p w14:paraId="20F5613B" w14:textId="77777777" w:rsidR="00F5389C" w:rsidRDefault="00F5389C" w:rsidP="00F5389C">
      <w:pPr>
        <w:rPr>
          <w:sz w:val="24"/>
          <w:szCs w:val="24"/>
        </w:rPr>
      </w:pPr>
    </w:p>
    <w:p w14:paraId="009FCCDC" w14:textId="77777777" w:rsidR="00F5389C" w:rsidRDefault="00F5389C" w:rsidP="00F5389C">
      <w:pPr>
        <w:rPr>
          <w:sz w:val="24"/>
          <w:szCs w:val="24"/>
        </w:rPr>
      </w:pPr>
    </w:p>
    <w:p w14:paraId="0D82BEC9" w14:textId="77777777" w:rsidR="00F5389C" w:rsidRDefault="00F5389C" w:rsidP="00F5389C">
      <w:pPr>
        <w:rPr>
          <w:sz w:val="24"/>
          <w:szCs w:val="24"/>
        </w:rPr>
      </w:pPr>
    </w:p>
    <w:p w14:paraId="6BDDD499" w14:textId="77777777" w:rsidR="00F5389C" w:rsidRDefault="00F5389C" w:rsidP="00F5389C">
      <w:pPr>
        <w:rPr>
          <w:sz w:val="24"/>
          <w:szCs w:val="24"/>
        </w:rPr>
      </w:pPr>
    </w:p>
    <w:p w14:paraId="3831E409" w14:textId="77777777" w:rsidR="00F5389C" w:rsidRDefault="00F5389C" w:rsidP="00F5389C">
      <w:pPr>
        <w:rPr>
          <w:sz w:val="24"/>
          <w:szCs w:val="24"/>
        </w:rPr>
      </w:pPr>
    </w:p>
    <w:p w14:paraId="6D060575" w14:textId="77777777" w:rsidR="00F5389C" w:rsidRDefault="00F5389C" w:rsidP="00F5389C">
      <w:pPr>
        <w:rPr>
          <w:sz w:val="24"/>
          <w:szCs w:val="24"/>
        </w:rPr>
      </w:pPr>
    </w:p>
    <w:p w14:paraId="1B0C51B1" w14:textId="77777777" w:rsidR="00F5389C" w:rsidRDefault="00F5389C" w:rsidP="00F5389C">
      <w:pPr>
        <w:rPr>
          <w:sz w:val="24"/>
          <w:szCs w:val="24"/>
        </w:rPr>
      </w:pPr>
    </w:p>
    <w:p w14:paraId="42A6B444" w14:textId="77777777" w:rsidR="00F5389C" w:rsidRDefault="00F5389C" w:rsidP="00F5389C">
      <w:pPr>
        <w:rPr>
          <w:sz w:val="24"/>
          <w:szCs w:val="24"/>
        </w:rPr>
      </w:pPr>
    </w:p>
    <w:p w14:paraId="105E5AB0" w14:textId="77777777" w:rsidR="00F5389C" w:rsidRDefault="00F5389C" w:rsidP="00F5389C">
      <w:pPr>
        <w:rPr>
          <w:sz w:val="24"/>
          <w:szCs w:val="24"/>
        </w:rPr>
      </w:pPr>
    </w:p>
    <w:p w14:paraId="0EC9DE71" w14:textId="77777777" w:rsidR="00F5389C" w:rsidRDefault="00F5389C" w:rsidP="00F5389C">
      <w:pPr>
        <w:rPr>
          <w:sz w:val="24"/>
          <w:szCs w:val="24"/>
        </w:rPr>
      </w:pPr>
    </w:p>
    <w:p w14:paraId="716759FB" w14:textId="77777777" w:rsidR="00F5389C" w:rsidRDefault="00F5389C" w:rsidP="00F5389C">
      <w:pPr>
        <w:rPr>
          <w:sz w:val="24"/>
          <w:szCs w:val="24"/>
        </w:rPr>
      </w:pPr>
    </w:p>
    <w:p w14:paraId="24F3F695" w14:textId="77777777" w:rsidR="00F5389C" w:rsidRDefault="00F5389C" w:rsidP="00F5389C">
      <w:pPr>
        <w:rPr>
          <w:sz w:val="24"/>
          <w:szCs w:val="24"/>
        </w:rPr>
      </w:pPr>
    </w:p>
    <w:p w14:paraId="3E478A78" w14:textId="77777777" w:rsidR="00F5389C" w:rsidRDefault="00F5389C" w:rsidP="00F5389C">
      <w:pPr>
        <w:rPr>
          <w:sz w:val="24"/>
          <w:szCs w:val="24"/>
        </w:rPr>
      </w:pPr>
    </w:p>
    <w:p w14:paraId="5997FD5A" w14:textId="77777777" w:rsidR="00F5389C" w:rsidRDefault="00F5389C" w:rsidP="00F5389C">
      <w:pPr>
        <w:rPr>
          <w:sz w:val="24"/>
          <w:szCs w:val="24"/>
        </w:rPr>
      </w:pPr>
    </w:p>
    <w:p w14:paraId="36DF44C8" w14:textId="77777777" w:rsidR="00F5389C" w:rsidRDefault="00F5389C" w:rsidP="00F5389C">
      <w:pPr>
        <w:rPr>
          <w:sz w:val="24"/>
          <w:szCs w:val="24"/>
        </w:rPr>
      </w:pPr>
    </w:p>
    <w:p w14:paraId="2E5E7364" w14:textId="77777777" w:rsidR="00F5389C" w:rsidRDefault="00F5389C" w:rsidP="00F5389C">
      <w:pPr>
        <w:rPr>
          <w:sz w:val="24"/>
          <w:szCs w:val="24"/>
        </w:rPr>
      </w:pPr>
    </w:p>
    <w:p w14:paraId="787D88C9" w14:textId="77777777" w:rsidR="00F5389C" w:rsidRDefault="00F5389C" w:rsidP="00F5389C">
      <w:pPr>
        <w:rPr>
          <w:sz w:val="24"/>
          <w:szCs w:val="24"/>
        </w:rPr>
      </w:pPr>
    </w:p>
    <w:p w14:paraId="02F56F79" w14:textId="77777777" w:rsidR="00F5389C" w:rsidRDefault="00F5389C" w:rsidP="00F5389C">
      <w:pPr>
        <w:pStyle w:val="Title"/>
        <w:rPr>
          <w:b/>
          <w:bCs/>
          <w:sz w:val="22"/>
          <w:szCs w:val="22"/>
        </w:rPr>
      </w:pPr>
      <w:bookmarkStart w:id="5" w:name="_1nba1ehqr1b9"/>
      <w:bookmarkEnd w:id="5"/>
      <w:r>
        <w:rPr>
          <w:b/>
          <w:bCs/>
          <w:sz w:val="22"/>
          <w:szCs w:val="22"/>
        </w:rPr>
        <w:t xml:space="preserve">Extended Data Figure </w:t>
      </w:r>
      <w:proofErr w:type="spellStart"/>
      <w:r>
        <w:rPr>
          <w:b/>
          <w:bCs/>
          <w:sz w:val="22"/>
          <w:szCs w:val="22"/>
        </w:rPr>
        <w:t>S5</w:t>
      </w:r>
      <w:proofErr w:type="spellEnd"/>
    </w:p>
    <w:p w14:paraId="1CC23087" w14:textId="77777777" w:rsidR="00F5389C" w:rsidRDefault="00F5389C" w:rsidP="00F5389C">
      <w:pPr>
        <w:rPr>
          <w:b/>
          <w:sz w:val="24"/>
          <w:szCs w:val="24"/>
        </w:rPr>
      </w:pPr>
    </w:p>
    <w:p w14:paraId="60CC6E08" w14:textId="4270FF02" w:rsidR="00F5389C" w:rsidRDefault="00F5389C" w:rsidP="00F5389C">
      <w:pPr>
        <w:rPr>
          <w:sz w:val="24"/>
          <w:szCs w:val="24"/>
        </w:rPr>
      </w:pPr>
      <w:r>
        <w:rPr>
          <w:noProof/>
          <w:sz w:val="24"/>
          <w:szCs w:val="24"/>
        </w:rPr>
        <w:drawing>
          <wp:inline distT="0" distB="0" distL="0" distR="0" wp14:anchorId="1E8D8832" wp14:editId="45B4C186">
            <wp:extent cx="5783580" cy="6896100"/>
            <wp:effectExtent l="0" t="0" r="762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83580" cy="6896100"/>
                    </a:xfrm>
                    <a:prstGeom prst="rect">
                      <a:avLst/>
                    </a:prstGeom>
                    <a:noFill/>
                    <a:ln>
                      <a:noFill/>
                    </a:ln>
                  </pic:spPr>
                </pic:pic>
              </a:graphicData>
            </a:graphic>
          </wp:inline>
        </w:drawing>
      </w:r>
    </w:p>
    <w:p w14:paraId="1DA60239" w14:textId="77777777" w:rsidR="00F5389C" w:rsidRDefault="00F5389C" w:rsidP="00F5389C">
      <w:pPr>
        <w:rPr>
          <w:sz w:val="24"/>
          <w:szCs w:val="24"/>
        </w:rPr>
      </w:pPr>
      <w:r>
        <w:rPr>
          <w:b/>
          <w:sz w:val="24"/>
          <w:szCs w:val="24"/>
        </w:rPr>
        <w:t xml:space="preserve">Extended Data Figure </w:t>
      </w:r>
      <w:proofErr w:type="spellStart"/>
      <w:r>
        <w:rPr>
          <w:b/>
          <w:sz w:val="24"/>
          <w:szCs w:val="24"/>
        </w:rPr>
        <w:t>S5</w:t>
      </w:r>
      <w:proofErr w:type="spellEnd"/>
      <w:r>
        <w:rPr>
          <w:sz w:val="24"/>
          <w:szCs w:val="24"/>
        </w:rPr>
        <w:t xml:space="preserve">. </w:t>
      </w:r>
      <w:r>
        <w:rPr>
          <w:b/>
          <w:bCs/>
          <w:sz w:val="24"/>
          <w:szCs w:val="24"/>
        </w:rPr>
        <w:t>Patient’s suboptimal humoral responses as compared to a cohort of COVID-19 patients</w:t>
      </w:r>
      <w:r>
        <w:rPr>
          <w:sz w:val="24"/>
          <w:szCs w:val="24"/>
        </w:rPr>
        <w:t xml:space="preserve">. </w:t>
      </w:r>
      <w:r>
        <w:rPr>
          <w:b/>
          <w:sz w:val="24"/>
          <w:szCs w:val="24"/>
        </w:rPr>
        <w:t xml:space="preserve">(A) </w:t>
      </w:r>
      <w:r>
        <w:rPr>
          <w:sz w:val="24"/>
          <w:szCs w:val="24"/>
        </w:rPr>
        <w:t xml:space="preserve">Primary infection (green) and reinfection (orange) reciprocal </w:t>
      </w:r>
      <w:proofErr w:type="spellStart"/>
      <w:r>
        <w:rPr>
          <w:sz w:val="24"/>
          <w:szCs w:val="24"/>
        </w:rPr>
        <w:t>IC</w:t>
      </w:r>
      <w:r>
        <w:rPr>
          <w:sz w:val="24"/>
          <w:szCs w:val="24"/>
          <w:vertAlign w:val="subscript"/>
        </w:rPr>
        <w:t>50</w:t>
      </w:r>
      <w:proofErr w:type="spellEnd"/>
      <w:r>
        <w:rPr>
          <w:sz w:val="24"/>
          <w:szCs w:val="24"/>
        </w:rPr>
        <w:t xml:space="preserve"> serum dilutions plotted against control COVID-19 patients and stratified by COVID-19 disease severity. Grey points indicate the average reciprocal serum dilution for an individual patient. Dashed line represents the 25</w:t>
      </w:r>
      <w:r>
        <w:rPr>
          <w:sz w:val="24"/>
          <w:szCs w:val="24"/>
          <w:vertAlign w:val="superscript"/>
        </w:rPr>
        <w:t>th</w:t>
      </w:r>
      <w:r>
        <w:rPr>
          <w:sz w:val="24"/>
          <w:szCs w:val="24"/>
        </w:rPr>
        <w:t xml:space="preserve"> percentile value among patients with COVID-19 who mounted a neutralizing antibody response. </w:t>
      </w:r>
      <w:r>
        <w:rPr>
          <w:b/>
          <w:sz w:val="24"/>
          <w:szCs w:val="24"/>
        </w:rPr>
        <w:t xml:space="preserve">(B) </w:t>
      </w:r>
      <w:r>
        <w:rPr>
          <w:sz w:val="24"/>
          <w:szCs w:val="24"/>
        </w:rPr>
        <w:t xml:space="preserve">Reciprocal serum dilution values plotted against corresponding </w:t>
      </w:r>
      <w:proofErr w:type="spellStart"/>
      <w:r>
        <w:rPr>
          <w:sz w:val="24"/>
          <w:szCs w:val="24"/>
        </w:rPr>
        <w:t>S1</w:t>
      </w:r>
      <w:proofErr w:type="spellEnd"/>
      <w:r>
        <w:rPr>
          <w:sz w:val="24"/>
          <w:szCs w:val="24"/>
        </w:rPr>
        <w:t xml:space="preserve"> IgG values for each sample collected. Scatter size is scaled against days from symptom onset for each patient. Dashed line indicates the 50</w:t>
      </w:r>
      <w:r>
        <w:rPr>
          <w:sz w:val="24"/>
          <w:szCs w:val="24"/>
          <w:vertAlign w:val="superscript"/>
        </w:rPr>
        <w:t xml:space="preserve">th </w:t>
      </w:r>
      <w:r>
        <w:rPr>
          <w:sz w:val="24"/>
          <w:szCs w:val="24"/>
        </w:rPr>
        <w:t>percentile value of IgG response, whereas the solid line represents the 25</w:t>
      </w:r>
      <w:r>
        <w:rPr>
          <w:sz w:val="24"/>
          <w:szCs w:val="24"/>
          <w:vertAlign w:val="superscript"/>
        </w:rPr>
        <w:t>th</w:t>
      </w:r>
      <w:r>
        <w:rPr>
          <w:sz w:val="24"/>
          <w:szCs w:val="24"/>
        </w:rPr>
        <w:t xml:space="preserve"> percentile reciprocal serum dilution </w:t>
      </w:r>
      <w:proofErr w:type="spellStart"/>
      <w:r>
        <w:rPr>
          <w:sz w:val="24"/>
          <w:szCs w:val="24"/>
        </w:rPr>
        <w:t>IC</w:t>
      </w:r>
      <w:r>
        <w:rPr>
          <w:sz w:val="24"/>
          <w:szCs w:val="24"/>
          <w:vertAlign w:val="subscript"/>
        </w:rPr>
        <w:t>50</w:t>
      </w:r>
      <w:proofErr w:type="spellEnd"/>
      <w:r>
        <w:rPr>
          <w:sz w:val="24"/>
          <w:szCs w:val="24"/>
        </w:rPr>
        <w:t xml:space="preserve"> value among patients that mounted a neutralizing antibody response. Green arrows indicate the temporal progression from sequential samples during the primary infection. Orange arrows indicate the temporal progression from sequential samples during the reinfection. Black arrow represents the average trajectory of humoral responses for a control COVID-19 cohort. </w:t>
      </w:r>
    </w:p>
    <w:p w14:paraId="04B00BF8" w14:textId="77777777" w:rsidR="00F5389C" w:rsidRDefault="00F5389C" w:rsidP="00F5389C">
      <w:pPr>
        <w:rPr>
          <w:sz w:val="24"/>
          <w:szCs w:val="24"/>
        </w:rPr>
      </w:pPr>
    </w:p>
    <w:p w14:paraId="70C7D29A" w14:textId="77777777" w:rsidR="00F5389C" w:rsidRDefault="00F5389C" w:rsidP="00F5389C">
      <w:pPr>
        <w:rPr>
          <w:sz w:val="24"/>
          <w:szCs w:val="24"/>
        </w:rPr>
      </w:pPr>
    </w:p>
    <w:p w14:paraId="3CE74FE9" w14:textId="77777777" w:rsidR="00F5389C" w:rsidRDefault="00F5389C" w:rsidP="00F5389C">
      <w:pPr>
        <w:rPr>
          <w:sz w:val="24"/>
          <w:szCs w:val="24"/>
        </w:rPr>
      </w:pPr>
    </w:p>
    <w:p w14:paraId="10F18220" w14:textId="77777777" w:rsidR="00F5389C" w:rsidRDefault="00F5389C" w:rsidP="00F5389C">
      <w:pPr>
        <w:rPr>
          <w:sz w:val="24"/>
          <w:szCs w:val="24"/>
        </w:rPr>
      </w:pPr>
    </w:p>
    <w:p w14:paraId="1C19CF5B" w14:textId="77777777" w:rsidR="00F5389C" w:rsidRDefault="00F5389C" w:rsidP="00F5389C">
      <w:pPr>
        <w:rPr>
          <w:sz w:val="24"/>
          <w:szCs w:val="24"/>
        </w:rPr>
      </w:pPr>
    </w:p>
    <w:p w14:paraId="2534A5B6" w14:textId="77777777" w:rsidR="00F5389C" w:rsidRDefault="00F5389C" w:rsidP="00F5389C">
      <w:pPr>
        <w:rPr>
          <w:sz w:val="24"/>
          <w:szCs w:val="24"/>
        </w:rPr>
      </w:pPr>
    </w:p>
    <w:p w14:paraId="6FC5EDD0" w14:textId="77777777" w:rsidR="00F5389C" w:rsidRDefault="00F5389C" w:rsidP="00F5389C">
      <w:pPr>
        <w:rPr>
          <w:sz w:val="24"/>
          <w:szCs w:val="24"/>
        </w:rPr>
      </w:pPr>
    </w:p>
    <w:p w14:paraId="17413555" w14:textId="77777777" w:rsidR="00F5389C" w:rsidRDefault="00F5389C" w:rsidP="00F5389C">
      <w:pPr>
        <w:rPr>
          <w:sz w:val="24"/>
          <w:szCs w:val="24"/>
        </w:rPr>
      </w:pPr>
    </w:p>
    <w:p w14:paraId="3BA7BF97" w14:textId="77777777" w:rsidR="00F5389C" w:rsidRDefault="00F5389C" w:rsidP="00F5389C">
      <w:pPr>
        <w:rPr>
          <w:sz w:val="24"/>
          <w:szCs w:val="24"/>
        </w:rPr>
      </w:pPr>
    </w:p>
    <w:p w14:paraId="2D6DE929" w14:textId="77777777" w:rsidR="00F5389C" w:rsidRDefault="00F5389C" w:rsidP="00F5389C">
      <w:pPr>
        <w:rPr>
          <w:sz w:val="24"/>
          <w:szCs w:val="24"/>
        </w:rPr>
      </w:pPr>
    </w:p>
    <w:p w14:paraId="6C96938C" w14:textId="77777777" w:rsidR="00F5389C" w:rsidRDefault="00F5389C" w:rsidP="00F5389C">
      <w:pPr>
        <w:rPr>
          <w:sz w:val="24"/>
          <w:szCs w:val="24"/>
        </w:rPr>
      </w:pPr>
    </w:p>
    <w:p w14:paraId="67A750E7" w14:textId="77777777" w:rsidR="00F5389C" w:rsidRDefault="00F5389C" w:rsidP="00F5389C">
      <w:pPr>
        <w:rPr>
          <w:sz w:val="24"/>
          <w:szCs w:val="24"/>
        </w:rPr>
      </w:pPr>
    </w:p>
    <w:p w14:paraId="18D78F41" w14:textId="77777777" w:rsidR="00F5389C" w:rsidRDefault="00F5389C" w:rsidP="00F5389C">
      <w:pPr>
        <w:rPr>
          <w:sz w:val="24"/>
          <w:szCs w:val="24"/>
        </w:rPr>
      </w:pPr>
    </w:p>
    <w:p w14:paraId="209F6238" w14:textId="77777777" w:rsidR="00F5389C" w:rsidRDefault="00F5389C" w:rsidP="00F5389C">
      <w:pPr>
        <w:rPr>
          <w:sz w:val="24"/>
          <w:szCs w:val="24"/>
        </w:rPr>
      </w:pPr>
    </w:p>
    <w:p w14:paraId="1D87BB43" w14:textId="77777777" w:rsidR="00F5389C" w:rsidRDefault="00F5389C" w:rsidP="00F5389C">
      <w:pPr>
        <w:rPr>
          <w:sz w:val="24"/>
          <w:szCs w:val="24"/>
        </w:rPr>
      </w:pPr>
    </w:p>
    <w:p w14:paraId="7B27C6AA" w14:textId="77777777" w:rsidR="00F5389C" w:rsidRDefault="00F5389C" w:rsidP="00F5389C">
      <w:pPr>
        <w:rPr>
          <w:sz w:val="24"/>
          <w:szCs w:val="24"/>
        </w:rPr>
      </w:pPr>
    </w:p>
    <w:p w14:paraId="3FFD52FB" w14:textId="77777777" w:rsidR="00F5389C" w:rsidRDefault="00F5389C" w:rsidP="00F5389C">
      <w:pPr>
        <w:rPr>
          <w:sz w:val="24"/>
          <w:szCs w:val="24"/>
        </w:rPr>
      </w:pPr>
    </w:p>
    <w:p w14:paraId="74653E53" w14:textId="77777777" w:rsidR="00F5389C" w:rsidRDefault="00F5389C" w:rsidP="00F5389C">
      <w:pPr>
        <w:rPr>
          <w:sz w:val="24"/>
          <w:szCs w:val="24"/>
        </w:rPr>
      </w:pPr>
    </w:p>
    <w:p w14:paraId="6B14D981" w14:textId="77777777" w:rsidR="00F5389C" w:rsidRDefault="00F5389C" w:rsidP="00F5389C">
      <w:pPr>
        <w:rPr>
          <w:sz w:val="24"/>
          <w:szCs w:val="24"/>
        </w:rPr>
      </w:pPr>
    </w:p>
    <w:p w14:paraId="19E924AC" w14:textId="77777777" w:rsidR="00F5389C" w:rsidRDefault="00F5389C" w:rsidP="00F5389C">
      <w:pPr>
        <w:rPr>
          <w:sz w:val="24"/>
          <w:szCs w:val="24"/>
        </w:rPr>
      </w:pPr>
    </w:p>
    <w:p w14:paraId="2030A93C" w14:textId="77777777" w:rsidR="00F5389C" w:rsidRDefault="00F5389C" w:rsidP="00F5389C">
      <w:pPr>
        <w:rPr>
          <w:sz w:val="24"/>
          <w:szCs w:val="24"/>
        </w:rPr>
      </w:pPr>
    </w:p>
    <w:p w14:paraId="05D938F8" w14:textId="77777777" w:rsidR="00F5389C" w:rsidRDefault="00F5389C" w:rsidP="00F5389C">
      <w:pPr>
        <w:rPr>
          <w:sz w:val="24"/>
          <w:szCs w:val="24"/>
        </w:rPr>
      </w:pPr>
    </w:p>
    <w:p w14:paraId="796B3138" w14:textId="77777777" w:rsidR="00F5389C" w:rsidRDefault="00F5389C" w:rsidP="00F5389C">
      <w:pPr>
        <w:rPr>
          <w:sz w:val="24"/>
          <w:szCs w:val="24"/>
        </w:rPr>
      </w:pPr>
    </w:p>
    <w:p w14:paraId="204C3B37" w14:textId="77777777" w:rsidR="00F5389C" w:rsidRDefault="00F5389C" w:rsidP="00F5389C">
      <w:pPr>
        <w:rPr>
          <w:sz w:val="24"/>
          <w:szCs w:val="24"/>
        </w:rPr>
      </w:pPr>
    </w:p>
    <w:p w14:paraId="278868DA" w14:textId="77777777" w:rsidR="00F5389C" w:rsidRDefault="00F5389C" w:rsidP="00F5389C">
      <w:pPr>
        <w:rPr>
          <w:sz w:val="24"/>
          <w:szCs w:val="24"/>
        </w:rPr>
      </w:pPr>
    </w:p>
    <w:p w14:paraId="372B2BB1" w14:textId="77777777" w:rsidR="00F5389C" w:rsidRDefault="00F5389C" w:rsidP="00F5389C">
      <w:pPr>
        <w:rPr>
          <w:sz w:val="24"/>
          <w:szCs w:val="24"/>
        </w:rPr>
      </w:pPr>
    </w:p>
    <w:p w14:paraId="0E37FD7F" w14:textId="77777777" w:rsidR="00F5389C" w:rsidRDefault="00F5389C" w:rsidP="00F5389C">
      <w:pPr>
        <w:rPr>
          <w:sz w:val="24"/>
          <w:szCs w:val="24"/>
        </w:rPr>
      </w:pPr>
    </w:p>
    <w:p w14:paraId="15049C99" w14:textId="77777777" w:rsidR="00F5389C" w:rsidRDefault="00F5389C" w:rsidP="00F5389C">
      <w:pPr>
        <w:rPr>
          <w:sz w:val="24"/>
          <w:szCs w:val="24"/>
        </w:rPr>
      </w:pPr>
    </w:p>
    <w:p w14:paraId="6CF85A8B" w14:textId="77777777" w:rsidR="00F5389C" w:rsidRDefault="00F5389C" w:rsidP="00F5389C">
      <w:pPr>
        <w:rPr>
          <w:sz w:val="24"/>
          <w:szCs w:val="24"/>
        </w:rPr>
      </w:pPr>
    </w:p>
    <w:p w14:paraId="0EB672D9" w14:textId="77777777" w:rsidR="00F5389C" w:rsidRDefault="00F5389C" w:rsidP="00F5389C">
      <w:pPr>
        <w:rPr>
          <w:sz w:val="24"/>
          <w:szCs w:val="24"/>
        </w:rPr>
      </w:pPr>
    </w:p>
    <w:p w14:paraId="08609520" w14:textId="77777777" w:rsidR="00F5389C" w:rsidRDefault="00F5389C" w:rsidP="00F5389C">
      <w:pPr>
        <w:pStyle w:val="Title"/>
        <w:rPr>
          <w:b/>
          <w:bCs/>
          <w:sz w:val="22"/>
          <w:szCs w:val="22"/>
        </w:rPr>
      </w:pPr>
      <w:bookmarkStart w:id="6" w:name="_4xn7d8qff8zp"/>
      <w:bookmarkEnd w:id="6"/>
      <w:r>
        <w:rPr>
          <w:b/>
          <w:bCs/>
          <w:sz w:val="22"/>
          <w:szCs w:val="22"/>
        </w:rPr>
        <w:t xml:space="preserve">Extended Data Figure </w:t>
      </w:r>
      <w:proofErr w:type="spellStart"/>
      <w:r>
        <w:rPr>
          <w:b/>
          <w:bCs/>
          <w:sz w:val="22"/>
          <w:szCs w:val="22"/>
        </w:rPr>
        <w:t>S6</w:t>
      </w:r>
      <w:proofErr w:type="spellEnd"/>
    </w:p>
    <w:p w14:paraId="7C459921" w14:textId="77777777" w:rsidR="00F5389C" w:rsidRDefault="00F5389C" w:rsidP="00F5389C">
      <w:pPr>
        <w:rPr>
          <w:b/>
          <w:sz w:val="24"/>
          <w:szCs w:val="24"/>
        </w:rPr>
      </w:pPr>
    </w:p>
    <w:p w14:paraId="15108326" w14:textId="784CDB3D" w:rsidR="00F5389C" w:rsidRDefault="00F5389C" w:rsidP="00F5389C">
      <w:pPr>
        <w:rPr>
          <w:sz w:val="24"/>
          <w:szCs w:val="24"/>
        </w:rPr>
      </w:pPr>
      <w:r>
        <w:rPr>
          <w:noProof/>
          <w:sz w:val="24"/>
          <w:szCs w:val="24"/>
        </w:rPr>
        <w:drawing>
          <wp:inline distT="0" distB="0" distL="0" distR="0" wp14:anchorId="36AEB238" wp14:editId="1EBA9E05">
            <wp:extent cx="6400800" cy="3985260"/>
            <wp:effectExtent l="0" t="0" r="0" b="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00800" cy="3985260"/>
                    </a:xfrm>
                    <a:prstGeom prst="rect">
                      <a:avLst/>
                    </a:prstGeom>
                    <a:noFill/>
                    <a:ln>
                      <a:noFill/>
                    </a:ln>
                  </pic:spPr>
                </pic:pic>
              </a:graphicData>
            </a:graphic>
          </wp:inline>
        </w:drawing>
      </w:r>
    </w:p>
    <w:p w14:paraId="3583FB88" w14:textId="77777777" w:rsidR="00F5389C" w:rsidRDefault="00F5389C" w:rsidP="00F5389C">
      <w:pPr>
        <w:rPr>
          <w:sz w:val="24"/>
          <w:szCs w:val="24"/>
        </w:rPr>
      </w:pPr>
    </w:p>
    <w:p w14:paraId="23556920" w14:textId="77777777" w:rsidR="00F5389C" w:rsidRDefault="00F5389C" w:rsidP="00F5389C">
      <w:pPr>
        <w:rPr>
          <w:sz w:val="24"/>
          <w:szCs w:val="24"/>
        </w:rPr>
      </w:pPr>
    </w:p>
    <w:p w14:paraId="1EAEA680" w14:textId="77777777" w:rsidR="00F5389C" w:rsidRDefault="00F5389C" w:rsidP="00F5389C">
      <w:pPr>
        <w:rPr>
          <w:sz w:val="24"/>
          <w:szCs w:val="24"/>
        </w:rPr>
      </w:pPr>
      <w:r>
        <w:rPr>
          <w:b/>
          <w:sz w:val="24"/>
          <w:szCs w:val="24"/>
        </w:rPr>
        <w:t xml:space="preserve">Extended Data Figure </w:t>
      </w:r>
      <w:proofErr w:type="spellStart"/>
      <w:r>
        <w:rPr>
          <w:b/>
          <w:sz w:val="24"/>
          <w:szCs w:val="24"/>
        </w:rPr>
        <w:t>S6</w:t>
      </w:r>
      <w:proofErr w:type="spellEnd"/>
      <w:r>
        <w:rPr>
          <w:sz w:val="24"/>
          <w:szCs w:val="24"/>
        </w:rPr>
        <w:t xml:space="preserve">. </w:t>
      </w:r>
      <w:r>
        <w:rPr>
          <w:b/>
          <w:bCs/>
          <w:sz w:val="24"/>
          <w:szCs w:val="24"/>
        </w:rPr>
        <w:t>Neutralizing antibody landscape of the SARS-CoV-2 spike protein</w:t>
      </w:r>
      <w:r>
        <w:rPr>
          <w:sz w:val="24"/>
          <w:szCs w:val="24"/>
        </w:rPr>
        <w:t xml:space="preserve">. Reciprocal serum dilution </w:t>
      </w:r>
      <w:proofErr w:type="spellStart"/>
      <w:r>
        <w:rPr>
          <w:sz w:val="24"/>
          <w:szCs w:val="24"/>
        </w:rPr>
        <w:t>IC</w:t>
      </w:r>
      <w:r>
        <w:rPr>
          <w:sz w:val="24"/>
          <w:szCs w:val="24"/>
          <w:vertAlign w:val="subscript"/>
        </w:rPr>
        <w:t>50</w:t>
      </w:r>
      <w:proofErr w:type="spellEnd"/>
      <w:r>
        <w:rPr>
          <w:sz w:val="24"/>
          <w:szCs w:val="24"/>
        </w:rPr>
        <w:t xml:space="preserve"> values are plotted according to identified </w:t>
      </w:r>
      <w:proofErr w:type="spellStart"/>
      <w:r>
        <w:rPr>
          <w:sz w:val="24"/>
          <w:szCs w:val="24"/>
        </w:rPr>
        <w:t>PIWAS</w:t>
      </w:r>
      <w:proofErr w:type="spellEnd"/>
      <w:r>
        <w:rPr>
          <w:sz w:val="24"/>
          <w:szCs w:val="24"/>
        </w:rPr>
        <w:t xml:space="preserve"> peak locations for hospitalized patients with COVID-19 in the IMPACT cohort (grey). All reciprocal serum dilution values at a given residue were averaged to generate a cohort average value per residue of spike protein. Red peak (black arrow at residue 1112) represents the averaged reciprocal serum dilution </w:t>
      </w:r>
      <w:proofErr w:type="spellStart"/>
      <w:r>
        <w:rPr>
          <w:sz w:val="24"/>
          <w:szCs w:val="24"/>
        </w:rPr>
        <w:t>IC</w:t>
      </w:r>
      <w:r>
        <w:rPr>
          <w:sz w:val="24"/>
          <w:szCs w:val="24"/>
          <w:vertAlign w:val="subscript"/>
        </w:rPr>
        <w:t>50</w:t>
      </w:r>
      <w:proofErr w:type="spellEnd"/>
      <w:r>
        <w:rPr>
          <w:sz w:val="24"/>
          <w:szCs w:val="24"/>
        </w:rPr>
        <w:t xml:space="preserve"> for the patient’s primary and reinfections (Peak at 140 not shown).</w:t>
      </w:r>
      <w:r>
        <w:rPr>
          <w:b/>
          <w:sz w:val="24"/>
          <w:szCs w:val="24"/>
        </w:rPr>
        <w:t xml:space="preserve"> (Bottom)</w:t>
      </w:r>
      <w:r>
        <w:rPr>
          <w:sz w:val="24"/>
          <w:szCs w:val="24"/>
        </w:rPr>
        <w:t xml:space="preserve"> Domain map of SARS-CoV-2 spike protein showing </w:t>
      </w:r>
      <w:proofErr w:type="spellStart"/>
      <w:r>
        <w:rPr>
          <w:sz w:val="24"/>
          <w:szCs w:val="24"/>
        </w:rPr>
        <w:t>S1</w:t>
      </w:r>
      <w:proofErr w:type="spellEnd"/>
      <w:r>
        <w:rPr>
          <w:sz w:val="24"/>
          <w:szCs w:val="24"/>
        </w:rPr>
        <w:t xml:space="preserve"> (purple) and </w:t>
      </w:r>
      <w:proofErr w:type="spellStart"/>
      <w:r>
        <w:rPr>
          <w:sz w:val="24"/>
          <w:szCs w:val="24"/>
        </w:rPr>
        <w:t>S2</w:t>
      </w:r>
      <w:proofErr w:type="spellEnd"/>
      <w:r>
        <w:rPr>
          <w:sz w:val="24"/>
          <w:szCs w:val="24"/>
        </w:rPr>
        <w:t xml:space="preserve"> (orange) regions. N-Glycosylation sites are marked by red triangles, O-linked glycosylation sites are marked by blue triangles. Cleavage sites are marked by solid black lines (“</w:t>
      </w:r>
      <w:proofErr w:type="spellStart"/>
      <w:r>
        <w:rPr>
          <w:sz w:val="24"/>
          <w:szCs w:val="24"/>
        </w:rPr>
        <w:t>S1</w:t>
      </w:r>
      <w:proofErr w:type="spellEnd"/>
      <w:r>
        <w:rPr>
          <w:sz w:val="24"/>
          <w:szCs w:val="24"/>
        </w:rPr>
        <w:t>/</w:t>
      </w:r>
      <w:proofErr w:type="spellStart"/>
      <w:r>
        <w:rPr>
          <w:sz w:val="24"/>
          <w:szCs w:val="24"/>
        </w:rPr>
        <w:t>S1</w:t>
      </w:r>
      <w:proofErr w:type="spellEnd"/>
      <w:r>
        <w:rPr>
          <w:sz w:val="24"/>
          <w:szCs w:val="24"/>
        </w:rPr>
        <w:t xml:space="preserve"> Cleavage” and “</w:t>
      </w:r>
      <w:proofErr w:type="spellStart"/>
      <w:r>
        <w:rPr>
          <w:sz w:val="24"/>
          <w:szCs w:val="24"/>
        </w:rPr>
        <w:t>S2</w:t>
      </w:r>
      <w:proofErr w:type="spellEnd"/>
      <w:r>
        <w:rPr>
          <w:sz w:val="24"/>
          <w:szCs w:val="24"/>
        </w:rPr>
        <w:t xml:space="preserve">’ cleavage”). </w:t>
      </w:r>
    </w:p>
    <w:p w14:paraId="2D3646FB" w14:textId="77777777" w:rsidR="00F5389C" w:rsidRDefault="00F5389C" w:rsidP="00F5389C">
      <w:pPr>
        <w:pStyle w:val="Title"/>
        <w:spacing w:line="429" w:lineRule="auto"/>
        <w:rPr>
          <w:b/>
          <w:sz w:val="24"/>
          <w:szCs w:val="24"/>
        </w:rPr>
      </w:pPr>
      <w:bookmarkStart w:id="7" w:name="_rtspv5eum4w9"/>
      <w:bookmarkEnd w:id="7"/>
    </w:p>
    <w:p w14:paraId="164DD3CB" w14:textId="77777777" w:rsidR="00F5389C" w:rsidRDefault="00F5389C" w:rsidP="00F5389C"/>
    <w:p w14:paraId="42C2C699" w14:textId="77777777" w:rsidR="00F5389C" w:rsidRDefault="00F5389C" w:rsidP="00F5389C"/>
    <w:p w14:paraId="4549A9BB" w14:textId="77777777" w:rsidR="00F5389C" w:rsidRDefault="00F5389C" w:rsidP="00F5389C"/>
    <w:p w14:paraId="36015615" w14:textId="77777777" w:rsidR="00F5389C" w:rsidRDefault="00F5389C" w:rsidP="00F5389C">
      <w:pPr>
        <w:pStyle w:val="Title"/>
        <w:rPr>
          <w:b/>
          <w:sz w:val="22"/>
          <w:szCs w:val="22"/>
        </w:rPr>
      </w:pPr>
      <w:bookmarkStart w:id="8" w:name="_db4eb926ekyj"/>
      <w:bookmarkEnd w:id="8"/>
      <w:r>
        <w:rPr>
          <w:b/>
          <w:sz w:val="22"/>
          <w:szCs w:val="22"/>
        </w:rPr>
        <w:t>Supplementary Information</w:t>
      </w:r>
    </w:p>
    <w:p w14:paraId="6C5033BA" w14:textId="77777777" w:rsidR="00F5389C" w:rsidRDefault="00F5389C" w:rsidP="00F5389C">
      <w:r>
        <w:rPr>
          <w:b/>
        </w:rPr>
        <w:t xml:space="preserve">Supplementary Table </w:t>
      </w:r>
      <w:proofErr w:type="spellStart"/>
      <w:r>
        <w:rPr>
          <w:b/>
        </w:rPr>
        <w:t>S1</w:t>
      </w:r>
      <w:proofErr w:type="spellEnd"/>
      <w:r>
        <w:t xml:space="preserve">. </w:t>
      </w:r>
      <w:r>
        <w:rPr>
          <w:b/>
          <w:bCs/>
        </w:rPr>
        <w:t>List of genomes used in the analyses</w:t>
      </w:r>
      <w:r>
        <w:t xml:space="preserve">. We gratefully acknowledge the following Authors from the Originating laboratories responsible for obtaining the specimens, as well as the submitting laboratories where the genome data were generated and shared via </w:t>
      </w:r>
      <w:proofErr w:type="spellStart"/>
      <w:r>
        <w:t>GISAID</w:t>
      </w:r>
      <w:proofErr w:type="spellEnd"/>
      <w:r>
        <w:t>, on which this research is based.</w:t>
      </w:r>
    </w:p>
    <w:p w14:paraId="5BDD4714" w14:textId="77777777" w:rsidR="00F5389C" w:rsidRDefault="00F5389C" w:rsidP="00F5389C"/>
    <w:p w14:paraId="52FCA24E" w14:textId="77777777" w:rsidR="00F5389C" w:rsidRDefault="00F5389C" w:rsidP="00F5389C">
      <w:pPr>
        <w:rPr>
          <w:b/>
        </w:rPr>
      </w:pPr>
      <w:r>
        <w:rPr>
          <w:b/>
        </w:rPr>
        <w:t xml:space="preserve">Supplementary Table </w:t>
      </w:r>
      <w:proofErr w:type="spellStart"/>
      <w:r>
        <w:rPr>
          <w:b/>
        </w:rPr>
        <w:t>S2</w:t>
      </w:r>
      <w:proofErr w:type="spellEnd"/>
      <w:r>
        <w:rPr>
          <w:b/>
        </w:rPr>
        <w:t>. Yale IMPACT Research Team</w:t>
      </w:r>
    </w:p>
    <w:p w14:paraId="40EB7496" w14:textId="77777777" w:rsidR="00F5389C" w:rsidRDefault="00F5389C" w:rsidP="00F5389C">
      <w:pPr>
        <w:spacing w:before="240" w:after="240"/>
      </w:pPr>
      <w:proofErr w:type="spellStart"/>
      <w:r>
        <w:t>Abeer</w:t>
      </w:r>
      <w:proofErr w:type="spellEnd"/>
      <w:r>
        <w:t xml:space="preserve"> </w:t>
      </w:r>
      <w:proofErr w:type="spellStart"/>
      <w:r>
        <w:t>Obaid</w:t>
      </w:r>
      <w:r>
        <w:rPr>
          <w:vertAlign w:val="superscript"/>
        </w:rPr>
        <w:t>11</w:t>
      </w:r>
      <w:proofErr w:type="spellEnd"/>
      <w:r>
        <w:t>, Alice Lu-</w:t>
      </w:r>
      <w:proofErr w:type="spellStart"/>
      <w:r>
        <w:t>Culligan</w:t>
      </w:r>
      <w:r>
        <w:rPr>
          <w:vertAlign w:val="superscript"/>
        </w:rPr>
        <w:t>1</w:t>
      </w:r>
      <w:proofErr w:type="spellEnd"/>
      <w:r>
        <w:t xml:space="preserve">, Allison </w:t>
      </w:r>
      <w:proofErr w:type="spellStart"/>
      <w:r>
        <w:t>Nelson</w:t>
      </w:r>
      <w:r>
        <w:rPr>
          <w:vertAlign w:val="superscript"/>
        </w:rPr>
        <w:t>10</w:t>
      </w:r>
      <w:proofErr w:type="spellEnd"/>
      <w:r>
        <w:t xml:space="preserve">, Angela </w:t>
      </w:r>
      <w:proofErr w:type="spellStart"/>
      <w:r>
        <w:t>Nunez</w:t>
      </w:r>
      <w:r>
        <w:rPr>
          <w:vertAlign w:val="superscript"/>
        </w:rPr>
        <w:t>10</w:t>
      </w:r>
      <w:proofErr w:type="spellEnd"/>
      <w:r>
        <w:t xml:space="preserve">, Anjelica </w:t>
      </w:r>
      <w:proofErr w:type="spellStart"/>
      <w:r>
        <w:t>Martin</w:t>
      </w:r>
      <w:r>
        <w:rPr>
          <w:vertAlign w:val="superscript"/>
        </w:rPr>
        <w:t>1</w:t>
      </w:r>
      <w:proofErr w:type="spellEnd"/>
      <w:r>
        <w:t xml:space="preserve">, Anne E. </w:t>
      </w:r>
      <w:proofErr w:type="spellStart"/>
      <w:r>
        <w:t>Watkins</w:t>
      </w:r>
      <w:r>
        <w:rPr>
          <w:vertAlign w:val="superscript"/>
        </w:rPr>
        <w:t>2</w:t>
      </w:r>
      <w:proofErr w:type="spellEnd"/>
      <w:r>
        <w:t xml:space="preserve">, Bertie </w:t>
      </w:r>
      <w:proofErr w:type="spellStart"/>
      <w:r>
        <w:t>Geng</w:t>
      </w:r>
      <w:r>
        <w:rPr>
          <w:vertAlign w:val="superscript"/>
        </w:rPr>
        <w:t>10</w:t>
      </w:r>
      <w:proofErr w:type="spellEnd"/>
      <w:r>
        <w:t xml:space="preserve">, Christina A. </w:t>
      </w:r>
      <w:proofErr w:type="spellStart"/>
      <w:r>
        <w:t>Harden</w:t>
      </w:r>
      <w:r>
        <w:rPr>
          <w:vertAlign w:val="superscript"/>
        </w:rPr>
        <w:t>2</w:t>
      </w:r>
      <w:proofErr w:type="spellEnd"/>
      <w:r>
        <w:t xml:space="preserve">, </w:t>
      </w:r>
      <w:proofErr w:type="spellStart"/>
      <w:r>
        <w:t>Codruta</w:t>
      </w:r>
      <w:proofErr w:type="spellEnd"/>
      <w:r>
        <w:t xml:space="preserve"> </w:t>
      </w:r>
      <w:proofErr w:type="spellStart"/>
      <w:r>
        <w:t>Todeasa</w:t>
      </w:r>
      <w:r>
        <w:rPr>
          <w:vertAlign w:val="superscript"/>
        </w:rPr>
        <w:t>10</w:t>
      </w:r>
      <w:proofErr w:type="spellEnd"/>
      <w:r>
        <w:t xml:space="preserve">, Cole </w:t>
      </w:r>
      <w:proofErr w:type="spellStart"/>
      <w:r>
        <w:t>Jensen</w:t>
      </w:r>
      <w:r>
        <w:rPr>
          <w:vertAlign w:val="superscript"/>
        </w:rPr>
        <w:t>2</w:t>
      </w:r>
      <w:proofErr w:type="spellEnd"/>
      <w:r>
        <w:t xml:space="preserve">, Daniel </w:t>
      </w:r>
      <w:proofErr w:type="spellStart"/>
      <w:r>
        <w:t>Kim</w:t>
      </w:r>
      <w:r>
        <w:rPr>
          <w:vertAlign w:val="superscript"/>
        </w:rPr>
        <w:t>1</w:t>
      </w:r>
      <w:proofErr w:type="spellEnd"/>
      <w:r>
        <w:t xml:space="preserve">, David </w:t>
      </w:r>
      <w:proofErr w:type="spellStart"/>
      <w:r>
        <w:t>McDonald</w:t>
      </w:r>
      <w:r>
        <w:rPr>
          <w:vertAlign w:val="superscript"/>
        </w:rPr>
        <w:t>10</w:t>
      </w:r>
      <w:proofErr w:type="spellEnd"/>
      <w:r>
        <w:t xml:space="preserve">, Denise </w:t>
      </w:r>
      <w:proofErr w:type="spellStart"/>
      <w:r>
        <w:t>Shepard</w:t>
      </w:r>
      <w:r>
        <w:rPr>
          <w:vertAlign w:val="superscript"/>
        </w:rPr>
        <w:t>10</w:t>
      </w:r>
      <w:proofErr w:type="spellEnd"/>
      <w:r>
        <w:t xml:space="preserve">, Edward </w:t>
      </w:r>
      <w:proofErr w:type="spellStart"/>
      <w:r>
        <w:t>Courchaine</w:t>
      </w:r>
      <w:r>
        <w:rPr>
          <w:vertAlign w:val="superscript"/>
        </w:rPr>
        <w:t>11</w:t>
      </w:r>
      <w:proofErr w:type="spellEnd"/>
      <w:r>
        <w:t xml:space="preserve">, Elizabeth B. </w:t>
      </w:r>
      <w:proofErr w:type="spellStart"/>
      <w:r>
        <w:t>White</w:t>
      </w:r>
      <w:r>
        <w:rPr>
          <w:vertAlign w:val="superscript"/>
        </w:rPr>
        <w:t>2</w:t>
      </w:r>
      <w:proofErr w:type="spellEnd"/>
      <w:r>
        <w:t xml:space="preserve">, Eric </w:t>
      </w:r>
      <w:proofErr w:type="spellStart"/>
      <w:r>
        <w:t>Song</w:t>
      </w:r>
      <w:r>
        <w:rPr>
          <w:vertAlign w:val="superscript"/>
        </w:rPr>
        <w:t>1</w:t>
      </w:r>
      <w:proofErr w:type="spellEnd"/>
      <w:r>
        <w:t xml:space="preserve">, Erin </w:t>
      </w:r>
      <w:proofErr w:type="spellStart"/>
      <w:r>
        <w:t>Silva</w:t>
      </w:r>
      <w:r>
        <w:rPr>
          <w:vertAlign w:val="superscript"/>
        </w:rPr>
        <w:t>10</w:t>
      </w:r>
      <w:proofErr w:type="spellEnd"/>
      <w:r>
        <w:t xml:space="preserve">, Eriko </w:t>
      </w:r>
      <w:proofErr w:type="spellStart"/>
      <w:r>
        <w:t>Kudo</w:t>
      </w:r>
      <w:r>
        <w:rPr>
          <w:vertAlign w:val="superscript"/>
        </w:rPr>
        <w:t>1</w:t>
      </w:r>
      <w:proofErr w:type="spellEnd"/>
      <w:r>
        <w:t xml:space="preserve">, Giuseppe </w:t>
      </w:r>
      <w:proofErr w:type="spellStart"/>
      <w:r>
        <w:t>DeIuliis</w:t>
      </w:r>
      <w:r>
        <w:rPr>
          <w:vertAlign w:val="superscript"/>
        </w:rPr>
        <w:t>10</w:t>
      </w:r>
      <w:proofErr w:type="spellEnd"/>
      <w:r>
        <w:t xml:space="preserve">, Harold </w:t>
      </w:r>
      <w:proofErr w:type="spellStart"/>
      <w:r>
        <w:t>Rahming</w:t>
      </w:r>
      <w:r>
        <w:rPr>
          <w:vertAlign w:val="superscript"/>
        </w:rPr>
        <w:t>10</w:t>
      </w:r>
      <w:proofErr w:type="spellEnd"/>
      <w:r>
        <w:t xml:space="preserve">, Hong-Jai </w:t>
      </w:r>
      <w:proofErr w:type="spellStart"/>
      <w:r>
        <w:t>Park</w:t>
      </w:r>
      <w:r>
        <w:rPr>
          <w:vertAlign w:val="superscript"/>
        </w:rPr>
        <w:t>10</w:t>
      </w:r>
      <w:proofErr w:type="spellEnd"/>
      <w:r>
        <w:t xml:space="preserve">, Irene </w:t>
      </w:r>
      <w:proofErr w:type="spellStart"/>
      <w:r>
        <w:t>Matos</w:t>
      </w:r>
      <w:r>
        <w:rPr>
          <w:vertAlign w:val="superscript"/>
        </w:rPr>
        <w:t>10</w:t>
      </w:r>
      <w:proofErr w:type="spellEnd"/>
      <w:r>
        <w:t xml:space="preserve">, Isabel </w:t>
      </w:r>
      <w:proofErr w:type="spellStart"/>
      <w:r>
        <w:t>Ott</w:t>
      </w:r>
      <w:r>
        <w:rPr>
          <w:vertAlign w:val="superscript"/>
        </w:rPr>
        <w:t>2</w:t>
      </w:r>
      <w:proofErr w:type="spellEnd"/>
      <w:r>
        <w:t xml:space="preserve">, Jessica </w:t>
      </w:r>
      <w:proofErr w:type="spellStart"/>
      <w:r>
        <w:t>Nouws</w:t>
      </w:r>
      <w:r>
        <w:rPr>
          <w:vertAlign w:val="superscript"/>
        </w:rPr>
        <w:t>10</w:t>
      </w:r>
      <w:proofErr w:type="spellEnd"/>
      <w:r>
        <w:t xml:space="preserve">, Jordan </w:t>
      </w:r>
      <w:proofErr w:type="spellStart"/>
      <w:r>
        <w:t>Valdez</w:t>
      </w:r>
      <w:r>
        <w:rPr>
          <w:vertAlign w:val="superscript"/>
        </w:rPr>
        <w:t>10</w:t>
      </w:r>
      <w:proofErr w:type="spellEnd"/>
      <w:r>
        <w:t xml:space="preserve">, Joseph </w:t>
      </w:r>
      <w:proofErr w:type="spellStart"/>
      <w:r>
        <w:t>Lim</w:t>
      </w:r>
      <w:r>
        <w:rPr>
          <w:vertAlign w:val="superscript"/>
        </w:rPr>
        <w:t>12</w:t>
      </w:r>
      <w:proofErr w:type="spellEnd"/>
      <w:r>
        <w:t xml:space="preserve">, Kadi-Ann </w:t>
      </w:r>
      <w:proofErr w:type="spellStart"/>
      <w:r>
        <w:t>Rose</w:t>
      </w:r>
      <w:r>
        <w:rPr>
          <w:vertAlign w:val="superscript"/>
        </w:rPr>
        <w:t>10</w:t>
      </w:r>
      <w:proofErr w:type="spellEnd"/>
      <w:r>
        <w:t xml:space="preserve">, Kelly </w:t>
      </w:r>
      <w:proofErr w:type="spellStart"/>
      <w:r>
        <w:t>Anastasio</w:t>
      </w:r>
      <w:r>
        <w:rPr>
          <w:vertAlign w:val="superscript"/>
        </w:rPr>
        <w:t>13</w:t>
      </w:r>
      <w:proofErr w:type="spellEnd"/>
      <w:r>
        <w:t xml:space="preserve">, Kristina </w:t>
      </w:r>
      <w:proofErr w:type="spellStart"/>
      <w:r>
        <w:t>Brower</w:t>
      </w:r>
      <w:r>
        <w:rPr>
          <w:vertAlign w:val="superscript"/>
        </w:rPr>
        <w:t>2</w:t>
      </w:r>
      <w:proofErr w:type="spellEnd"/>
      <w:r>
        <w:t xml:space="preserve">, Laura </w:t>
      </w:r>
      <w:proofErr w:type="spellStart"/>
      <w:r>
        <w:t>Glick</w:t>
      </w:r>
      <w:r>
        <w:rPr>
          <w:vertAlign w:val="superscript"/>
        </w:rPr>
        <w:t>10</w:t>
      </w:r>
      <w:proofErr w:type="spellEnd"/>
      <w:r>
        <w:t xml:space="preserve">, Lokesh </w:t>
      </w:r>
      <w:proofErr w:type="spellStart"/>
      <w:r>
        <w:t>Sharma</w:t>
      </w:r>
      <w:r>
        <w:rPr>
          <w:vertAlign w:val="superscript"/>
        </w:rPr>
        <w:t>10</w:t>
      </w:r>
      <w:proofErr w:type="spellEnd"/>
      <w:r>
        <w:t xml:space="preserve">, Lorenzo </w:t>
      </w:r>
      <w:proofErr w:type="spellStart"/>
      <w:r>
        <w:t>Sewanan</w:t>
      </w:r>
      <w:r>
        <w:rPr>
          <w:vertAlign w:val="superscript"/>
        </w:rPr>
        <w:t>10</w:t>
      </w:r>
      <w:proofErr w:type="spellEnd"/>
      <w:r>
        <w:t xml:space="preserve">, Lynda </w:t>
      </w:r>
      <w:proofErr w:type="spellStart"/>
      <w:r>
        <w:t>Knaggs</w:t>
      </w:r>
      <w:r>
        <w:rPr>
          <w:vertAlign w:val="superscript"/>
        </w:rPr>
        <w:t>10</w:t>
      </w:r>
      <w:proofErr w:type="spellEnd"/>
      <w:r>
        <w:t xml:space="preserve">, Maksym </w:t>
      </w:r>
      <w:proofErr w:type="spellStart"/>
      <w:r>
        <w:t>Minasyan</w:t>
      </w:r>
      <w:r>
        <w:rPr>
          <w:vertAlign w:val="superscript"/>
        </w:rPr>
        <w:t>10</w:t>
      </w:r>
      <w:proofErr w:type="spellEnd"/>
      <w:r>
        <w:t xml:space="preserve">, Maria </w:t>
      </w:r>
      <w:proofErr w:type="spellStart"/>
      <w:r>
        <w:t>Batsu</w:t>
      </w:r>
      <w:r>
        <w:rPr>
          <w:vertAlign w:val="superscript"/>
        </w:rPr>
        <w:t>10</w:t>
      </w:r>
      <w:proofErr w:type="spellEnd"/>
      <w:r>
        <w:t xml:space="preserve">, Maxine </w:t>
      </w:r>
      <w:proofErr w:type="spellStart"/>
      <w:r>
        <w:t>Kuang</w:t>
      </w:r>
      <w:r>
        <w:rPr>
          <w:vertAlign w:val="superscript"/>
        </w:rPr>
        <w:t>2</w:t>
      </w:r>
      <w:proofErr w:type="spellEnd"/>
      <w:r>
        <w:t xml:space="preserve">, Maura </w:t>
      </w:r>
      <w:proofErr w:type="spellStart"/>
      <w:r>
        <w:t>Nakahata</w:t>
      </w:r>
      <w:r>
        <w:rPr>
          <w:vertAlign w:val="superscript"/>
        </w:rPr>
        <w:t>10</w:t>
      </w:r>
      <w:proofErr w:type="spellEnd"/>
      <w:r>
        <w:t xml:space="preserve">, Melissa </w:t>
      </w:r>
      <w:proofErr w:type="spellStart"/>
      <w:r>
        <w:t>Campbell</w:t>
      </w:r>
      <w:r>
        <w:rPr>
          <w:vertAlign w:val="superscript"/>
        </w:rPr>
        <w:t>6</w:t>
      </w:r>
      <w:proofErr w:type="spellEnd"/>
      <w:r>
        <w:t xml:space="preserve">, Melissa </w:t>
      </w:r>
      <w:proofErr w:type="spellStart"/>
      <w:r>
        <w:t>Linehan</w:t>
      </w:r>
      <w:r>
        <w:rPr>
          <w:vertAlign w:val="superscript"/>
        </w:rPr>
        <w:t>1</w:t>
      </w:r>
      <w:proofErr w:type="spellEnd"/>
      <w:r>
        <w:t xml:space="preserve">, Michael H. </w:t>
      </w:r>
      <w:proofErr w:type="spellStart"/>
      <w:r>
        <w:t>Askenase</w:t>
      </w:r>
      <w:r>
        <w:rPr>
          <w:vertAlign w:val="superscript"/>
        </w:rPr>
        <w:t>14</w:t>
      </w:r>
      <w:proofErr w:type="spellEnd"/>
      <w:r>
        <w:t xml:space="preserve">, Michael </w:t>
      </w:r>
      <w:proofErr w:type="spellStart"/>
      <w:r>
        <w:t>Simonov</w:t>
      </w:r>
      <w:r>
        <w:rPr>
          <w:vertAlign w:val="superscript"/>
        </w:rPr>
        <w:t>10</w:t>
      </w:r>
      <w:proofErr w:type="spellEnd"/>
      <w:r>
        <w:t xml:space="preserve">, Mikhail </w:t>
      </w:r>
      <w:proofErr w:type="spellStart"/>
      <w:r>
        <w:t>Smolgovsky</w:t>
      </w:r>
      <w:r>
        <w:rPr>
          <w:vertAlign w:val="superscript"/>
        </w:rPr>
        <w:t>10</w:t>
      </w:r>
      <w:proofErr w:type="spellEnd"/>
      <w:r>
        <w:t xml:space="preserve">, Nicole </w:t>
      </w:r>
      <w:proofErr w:type="spellStart"/>
      <w:r>
        <w:t>Sonnert</w:t>
      </w:r>
      <w:r>
        <w:rPr>
          <w:vertAlign w:val="superscript"/>
        </w:rPr>
        <w:t>1</w:t>
      </w:r>
      <w:proofErr w:type="spellEnd"/>
      <w:r>
        <w:t xml:space="preserve">, Nida </w:t>
      </w:r>
      <w:proofErr w:type="spellStart"/>
      <w:r>
        <w:t>Naushad</w:t>
      </w:r>
      <w:r>
        <w:rPr>
          <w:vertAlign w:val="superscript"/>
        </w:rPr>
        <w:t>10</w:t>
      </w:r>
      <w:proofErr w:type="spellEnd"/>
      <w:r>
        <w:t xml:space="preserve">, Pavithra </w:t>
      </w:r>
      <w:proofErr w:type="spellStart"/>
      <w:r>
        <w:t>Vijayakumar</w:t>
      </w:r>
      <w:r>
        <w:rPr>
          <w:vertAlign w:val="superscript"/>
        </w:rPr>
        <w:t>10</w:t>
      </w:r>
      <w:proofErr w:type="spellEnd"/>
      <w:r>
        <w:t xml:space="preserve">, Rick </w:t>
      </w:r>
      <w:proofErr w:type="spellStart"/>
      <w:r>
        <w:t>Martinello</w:t>
      </w:r>
      <w:r>
        <w:rPr>
          <w:vertAlign w:val="superscript"/>
        </w:rPr>
        <w:t>3</w:t>
      </w:r>
      <w:proofErr w:type="spellEnd"/>
      <w:r>
        <w:t xml:space="preserve">, </w:t>
      </w:r>
      <w:proofErr w:type="spellStart"/>
      <w:r>
        <w:t>Rupak</w:t>
      </w:r>
      <w:proofErr w:type="spellEnd"/>
      <w:r>
        <w:t xml:space="preserve"> </w:t>
      </w:r>
      <w:proofErr w:type="spellStart"/>
      <w:r>
        <w:t>Datta</w:t>
      </w:r>
      <w:r>
        <w:rPr>
          <w:vertAlign w:val="superscript"/>
        </w:rPr>
        <w:t>3</w:t>
      </w:r>
      <w:proofErr w:type="spellEnd"/>
      <w:r>
        <w:t xml:space="preserve">, Ryan </w:t>
      </w:r>
      <w:proofErr w:type="spellStart"/>
      <w:r>
        <w:t>Handoko</w:t>
      </w:r>
      <w:r>
        <w:rPr>
          <w:vertAlign w:val="superscript"/>
        </w:rPr>
        <w:t>10</w:t>
      </w:r>
      <w:proofErr w:type="spellEnd"/>
      <w:r>
        <w:t xml:space="preserve">, Santos </w:t>
      </w:r>
      <w:proofErr w:type="spellStart"/>
      <w:r>
        <w:t>Bermejo</w:t>
      </w:r>
      <w:r>
        <w:rPr>
          <w:vertAlign w:val="superscript"/>
        </w:rPr>
        <w:t>10</w:t>
      </w:r>
      <w:proofErr w:type="spellEnd"/>
      <w:r>
        <w:t xml:space="preserve">, Sarah </w:t>
      </w:r>
      <w:proofErr w:type="spellStart"/>
      <w:r>
        <w:t>Prophet</w:t>
      </w:r>
      <w:r>
        <w:rPr>
          <w:vertAlign w:val="superscript"/>
        </w:rPr>
        <w:t>15</w:t>
      </w:r>
      <w:proofErr w:type="spellEnd"/>
      <w:r>
        <w:t xml:space="preserve">, Sean </w:t>
      </w:r>
      <w:proofErr w:type="spellStart"/>
      <w:r>
        <w:t>Bickerton</w:t>
      </w:r>
      <w:r>
        <w:rPr>
          <w:vertAlign w:val="superscript"/>
        </w:rPr>
        <w:t>11</w:t>
      </w:r>
      <w:proofErr w:type="spellEnd"/>
      <w:r>
        <w:t xml:space="preserve">, Sofia </w:t>
      </w:r>
      <w:proofErr w:type="spellStart"/>
      <w:r>
        <w:t>Velazquez</w:t>
      </w:r>
      <w:r>
        <w:rPr>
          <w:vertAlign w:val="superscript"/>
        </w:rPr>
        <w:t>14</w:t>
      </w:r>
      <w:r>
        <w:t>,Tyler</w:t>
      </w:r>
      <w:proofErr w:type="spellEnd"/>
      <w:r>
        <w:t xml:space="preserve"> </w:t>
      </w:r>
      <w:proofErr w:type="spellStart"/>
      <w:r>
        <w:t>Rice</w:t>
      </w:r>
      <w:r>
        <w:rPr>
          <w:vertAlign w:val="superscript"/>
        </w:rPr>
        <w:t>1</w:t>
      </w:r>
      <w:proofErr w:type="spellEnd"/>
      <w:r>
        <w:t>, William Khoury-</w:t>
      </w:r>
      <w:proofErr w:type="spellStart"/>
      <w:r>
        <w:t>Hanold</w:t>
      </w:r>
      <w:r>
        <w:rPr>
          <w:vertAlign w:val="superscript"/>
        </w:rPr>
        <w:t>1</w:t>
      </w:r>
      <w:proofErr w:type="spellEnd"/>
      <w:r>
        <w:t xml:space="preserve">, </w:t>
      </w:r>
      <w:proofErr w:type="spellStart"/>
      <w:r>
        <w:t>Xiaohua</w:t>
      </w:r>
      <w:proofErr w:type="spellEnd"/>
      <w:r>
        <w:t xml:space="preserve"> </w:t>
      </w:r>
      <w:proofErr w:type="spellStart"/>
      <w:r>
        <w:t>Peng</w:t>
      </w:r>
      <w:r>
        <w:rPr>
          <w:vertAlign w:val="superscript"/>
        </w:rPr>
        <w:t>10</w:t>
      </w:r>
      <w:proofErr w:type="spellEnd"/>
      <w:r>
        <w:t xml:space="preserve">, </w:t>
      </w:r>
      <w:proofErr w:type="spellStart"/>
      <w:r>
        <w:t>Yexin</w:t>
      </w:r>
      <w:proofErr w:type="spellEnd"/>
      <w:r>
        <w:t xml:space="preserve"> </w:t>
      </w:r>
      <w:proofErr w:type="spellStart"/>
      <w:r>
        <w:t>Yang</w:t>
      </w:r>
      <w:r>
        <w:rPr>
          <w:vertAlign w:val="superscript"/>
        </w:rPr>
        <w:t>1</w:t>
      </w:r>
      <w:proofErr w:type="spellEnd"/>
      <w:r>
        <w:t xml:space="preserve">, </w:t>
      </w:r>
      <w:proofErr w:type="spellStart"/>
      <w:r>
        <w:t>Yiyun</w:t>
      </w:r>
      <w:proofErr w:type="spellEnd"/>
      <w:r>
        <w:t xml:space="preserve"> </w:t>
      </w:r>
      <w:proofErr w:type="spellStart"/>
      <w:r>
        <w:t>Cao</w:t>
      </w:r>
      <w:r>
        <w:rPr>
          <w:vertAlign w:val="superscript"/>
        </w:rPr>
        <w:t>1</w:t>
      </w:r>
      <w:proofErr w:type="spellEnd"/>
      <w:r>
        <w:t xml:space="preserve">, Yvette </w:t>
      </w:r>
      <w:proofErr w:type="spellStart"/>
      <w:r>
        <w:t>Strong</w:t>
      </w:r>
      <w:r>
        <w:rPr>
          <w:vertAlign w:val="superscript"/>
        </w:rPr>
        <w:t>10</w:t>
      </w:r>
      <w:proofErr w:type="spellEnd"/>
      <w:r>
        <w:t xml:space="preserve">, Alexander James </w:t>
      </w:r>
      <w:proofErr w:type="spellStart"/>
      <w:r>
        <w:t>Robertson</w:t>
      </w:r>
      <w:r>
        <w:rPr>
          <w:vertAlign w:val="superscript"/>
        </w:rPr>
        <w:t>2</w:t>
      </w:r>
      <w:proofErr w:type="spellEnd"/>
      <w:r>
        <w:t xml:space="preserve">, Alice </w:t>
      </w:r>
      <w:proofErr w:type="spellStart"/>
      <w:r>
        <w:t>Zhao</w:t>
      </w:r>
      <w:r>
        <w:rPr>
          <w:vertAlign w:val="superscript"/>
        </w:rPr>
        <w:t>2</w:t>
      </w:r>
      <w:proofErr w:type="spellEnd"/>
      <w:r>
        <w:t xml:space="preserve">, </w:t>
      </w:r>
      <w:proofErr w:type="spellStart"/>
      <w:r>
        <w:t>Zitong</w:t>
      </w:r>
      <w:proofErr w:type="spellEnd"/>
      <w:r>
        <w:t xml:space="preserve"> </w:t>
      </w:r>
      <w:proofErr w:type="spellStart"/>
      <w:r>
        <w:t>Lin</w:t>
      </w:r>
      <w:r>
        <w:rPr>
          <w:vertAlign w:val="superscript"/>
        </w:rPr>
        <w:t>2</w:t>
      </w:r>
      <w:proofErr w:type="spellEnd"/>
      <w:r>
        <w:t xml:space="preserve">, </w:t>
      </w:r>
      <w:proofErr w:type="spellStart"/>
      <w:r>
        <w:t>Coriann</w:t>
      </w:r>
      <w:proofErr w:type="spellEnd"/>
      <w:r>
        <w:t xml:space="preserve"> E. </w:t>
      </w:r>
      <w:proofErr w:type="spellStart"/>
      <w:r>
        <w:t>Dorgay</w:t>
      </w:r>
      <w:r>
        <w:rPr>
          <w:vertAlign w:val="superscript"/>
        </w:rPr>
        <w:t>2</w:t>
      </w:r>
      <w:proofErr w:type="spellEnd"/>
      <w:r>
        <w:t xml:space="preserve">, Natasha C. </w:t>
      </w:r>
      <w:proofErr w:type="spellStart"/>
      <w:r>
        <w:t>Balkcom</w:t>
      </w:r>
      <w:r>
        <w:rPr>
          <w:vertAlign w:val="superscript"/>
        </w:rPr>
        <w:t>2</w:t>
      </w:r>
      <w:proofErr w:type="spellEnd"/>
      <w:r>
        <w:t xml:space="preserve">, Caitlin J. </w:t>
      </w:r>
      <w:proofErr w:type="spellStart"/>
      <w:r>
        <w:t>Chun</w:t>
      </w:r>
      <w:r>
        <w:rPr>
          <w:vertAlign w:val="superscript"/>
        </w:rPr>
        <w:t>2</w:t>
      </w:r>
      <w:proofErr w:type="spellEnd"/>
    </w:p>
    <w:p w14:paraId="23E467B3" w14:textId="77777777" w:rsidR="00F5389C" w:rsidRDefault="00F5389C" w:rsidP="00F5389C">
      <w:pPr>
        <w:spacing w:before="240" w:after="240"/>
      </w:pPr>
      <w:proofErr w:type="spellStart"/>
      <w:r>
        <w:rPr>
          <w:vertAlign w:val="superscript"/>
        </w:rPr>
        <w:t>10</w:t>
      </w:r>
      <w:r>
        <w:t>Yale</w:t>
      </w:r>
      <w:proofErr w:type="spellEnd"/>
      <w:r>
        <w:t xml:space="preserve"> School of Medicine, New Haven, CT, USA.</w:t>
      </w:r>
    </w:p>
    <w:p w14:paraId="0C6B0344" w14:textId="77777777" w:rsidR="00F5389C" w:rsidRDefault="00F5389C" w:rsidP="00F5389C">
      <w:pPr>
        <w:spacing w:before="240" w:after="240"/>
      </w:pPr>
      <w:proofErr w:type="spellStart"/>
      <w:r>
        <w:rPr>
          <w:vertAlign w:val="superscript"/>
        </w:rPr>
        <w:t>11</w:t>
      </w:r>
      <w:r>
        <w:t>Department</w:t>
      </w:r>
      <w:proofErr w:type="spellEnd"/>
      <w:r>
        <w:t xml:space="preserve"> of Biochemistry and of Molecular Biology, Yale University School of Medicine, New Haven, CT, USA.</w:t>
      </w:r>
    </w:p>
    <w:p w14:paraId="0068F4E4" w14:textId="77777777" w:rsidR="00F5389C" w:rsidRDefault="00F5389C" w:rsidP="00F5389C">
      <w:pPr>
        <w:spacing w:before="240" w:after="240"/>
      </w:pPr>
      <w:proofErr w:type="spellStart"/>
      <w:r>
        <w:rPr>
          <w:vertAlign w:val="superscript"/>
        </w:rPr>
        <w:t>12</w:t>
      </w:r>
      <w:r>
        <w:t>Yale</w:t>
      </w:r>
      <w:proofErr w:type="spellEnd"/>
      <w:r>
        <w:t xml:space="preserve"> Viral Hepatitis Program; Yale University School of Medicine, New Haven, CT, USA.</w:t>
      </w:r>
    </w:p>
    <w:p w14:paraId="5587703F" w14:textId="77777777" w:rsidR="00F5389C" w:rsidRDefault="00F5389C" w:rsidP="00F5389C">
      <w:pPr>
        <w:spacing w:before="240" w:after="240"/>
      </w:pPr>
      <w:proofErr w:type="spellStart"/>
      <w:r>
        <w:rPr>
          <w:vertAlign w:val="superscript"/>
        </w:rPr>
        <w:t>13</w:t>
      </w:r>
      <w:r>
        <w:t>Yale</w:t>
      </w:r>
      <w:proofErr w:type="spellEnd"/>
      <w:r>
        <w:t xml:space="preserve"> Center for Clinical Investigation, Yale University School of Medicine, New Haven, CT, USA.</w:t>
      </w:r>
    </w:p>
    <w:p w14:paraId="47E9FB2D" w14:textId="77777777" w:rsidR="00F5389C" w:rsidRDefault="00F5389C" w:rsidP="00F5389C">
      <w:pPr>
        <w:spacing w:before="240" w:after="240"/>
      </w:pPr>
      <w:proofErr w:type="spellStart"/>
      <w:r>
        <w:rPr>
          <w:vertAlign w:val="superscript"/>
        </w:rPr>
        <w:t>14</w:t>
      </w:r>
      <w:r>
        <w:t>Department</w:t>
      </w:r>
      <w:proofErr w:type="spellEnd"/>
      <w:r>
        <w:t xml:space="preserve"> of Neurology, Yale University School of Medicine, New Haven, CT, USA.</w:t>
      </w:r>
    </w:p>
    <w:p w14:paraId="7655D0D9" w14:textId="77777777" w:rsidR="00F5389C" w:rsidRDefault="00F5389C" w:rsidP="00F5389C">
      <w:pPr>
        <w:spacing w:before="240" w:after="240"/>
      </w:pPr>
      <w:proofErr w:type="spellStart"/>
      <w:r>
        <w:rPr>
          <w:vertAlign w:val="superscript"/>
        </w:rPr>
        <w:t>15</w:t>
      </w:r>
      <w:r>
        <w:t>Department</w:t>
      </w:r>
      <w:proofErr w:type="spellEnd"/>
      <w:r>
        <w:t xml:space="preserve"> of Molecular, Cellular and Developmental Biology, Yale University School of Medicine, New Haven, CT, USA.</w:t>
      </w:r>
    </w:p>
    <w:p w14:paraId="553A1D6D" w14:textId="77777777" w:rsidR="00F5389C" w:rsidRDefault="00F5389C" w:rsidP="00F5389C"/>
    <w:p w14:paraId="3187BD88" w14:textId="77777777" w:rsidR="00F5389C" w:rsidRDefault="00F5389C" w:rsidP="00F5389C"/>
    <w:p w14:paraId="3F7EE991" w14:textId="77777777" w:rsidR="00F5389C" w:rsidRDefault="00F5389C" w:rsidP="00F5389C"/>
    <w:p w14:paraId="02D32D61" w14:textId="77777777" w:rsidR="00F5389C" w:rsidRDefault="00F5389C" w:rsidP="00F5389C">
      <w:pPr>
        <w:pStyle w:val="Title"/>
        <w:rPr>
          <w:b/>
          <w:bCs/>
          <w:sz w:val="22"/>
          <w:szCs w:val="22"/>
        </w:rPr>
      </w:pPr>
      <w:bookmarkStart w:id="9" w:name="_brbc0y17p0wz"/>
      <w:bookmarkEnd w:id="9"/>
    </w:p>
    <w:p w14:paraId="7A80A393" w14:textId="77777777" w:rsidR="00F5389C" w:rsidRDefault="00F5389C" w:rsidP="00F5389C"/>
    <w:p w14:paraId="3410273B" w14:textId="77777777" w:rsidR="00F5389C" w:rsidRDefault="00F5389C" w:rsidP="00F5389C">
      <w:pPr>
        <w:pStyle w:val="Title"/>
        <w:rPr>
          <w:b/>
          <w:bCs/>
          <w:sz w:val="22"/>
          <w:szCs w:val="22"/>
        </w:rPr>
      </w:pPr>
    </w:p>
    <w:p w14:paraId="6ABDD155" w14:textId="77777777" w:rsidR="00F5389C" w:rsidRDefault="00F5389C" w:rsidP="00F5389C"/>
    <w:p w14:paraId="0F148DFD" w14:textId="77777777" w:rsidR="00F5389C" w:rsidRDefault="00F5389C" w:rsidP="00F5389C">
      <w:pPr>
        <w:pStyle w:val="Title"/>
        <w:rPr>
          <w:b/>
          <w:bCs/>
          <w:sz w:val="22"/>
          <w:szCs w:val="22"/>
        </w:rPr>
      </w:pPr>
      <w:r>
        <w:rPr>
          <w:b/>
          <w:bCs/>
          <w:sz w:val="22"/>
          <w:szCs w:val="22"/>
        </w:rPr>
        <w:t>STAR</w:t>
      </w:r>
      <w:r>
        <w:rPr>
          <w:rFonts w:ascii="Segoe UI Emoji" w:hAnsi="Segoe UI Emoji" w:cs="Segoe UI Emoji"/>
          <w:b/>
          <w:bCs/>
          <w:sz w:val="22"/>
          <w:szCs w:val="22"/>
        </w:rPr>
        <w:t xml:space="preserve"> </w:t>
      </w:r>
      <w:r>
        <w:rPr>
          <w:b/>
          <w:bCs/>
          <w:sz w:val="22"/>
          <w:szCs w:val="22"/>
        </w:rPr>
        <w:t>METHODS Legend</w:t>
      </w:r>
    </w:p>
    <w:p w14:paraId="2297C9CD" w14:textId="77777777" w:rsidR="00F5389C" w:rsidRDefault="00F5389C" w:rsidP="00F5389C">
      <w:pPr>
        <w:rPr>
          <w:b/>
          <w:bCs/>
        </w:rPr>
      </w:pPr>
    </w:p>
    <w:p w14:paraId="34257B5D" w14:textId="77777777" w:rsidR="00F5389C" w:rsidRDefault="00F5389C" w:rsidP="00F5389C">
      <w:pPr>
        <w:rPr>
          <w:b/>
          <w:bCs/>
        </w:rPr>
      </w:pPr>
      <w:r>
        <w:rPr>
          <w:b/>
          <w:bCs/>
        </w:rPr>
        <w:t xml:space="preserve">KEY RESOURCES TABLE </w:t>
      </w:r>
    </w:p>
    <w:p w14:paraId="1CFA79FA" w14:textId="77777777" w:rsidR="00F5389C" w:rsidRDefault="00F5389C" w:rsidP="00F5389C">
      <w:pPr>
        <w:rPr>
          <w:b/>
          <w:bCs/>
        </w:rPr>
      </w:pPr>
      <w:r>
        <w:rPr>
          <w:b/>
          <w:bCs/>
        </w:rPr>
        <w:t>RESOURCE AVAILABILITY</w:t>
      </w:r>
    </w:p>
    <w:p w14:paraId="50262178" w14:textId="77777777" w:rsidR="00F5389C" w:rsidRDefault="00F5389C" w:rsidP="00F5389C">
      <w:pPr>
        <w:ind w:firstLine="720"/>
      </w:pPr>
      <w:r>
        <w:t>Lead Contacts</w:t>
      </w:r>
    </w:p>
    <w:p w14:paraId="61DED487" w14:textId="77777777" w:rsidR="00F5389C" w:rsidRDefault="00F5389C" w:rsidP="00F5389C">
      <w:pPr>
        <w:ind w:firstLine="720"/>
      </w:pPr>
      <w:r>
        <w:t>Materials Availability</w:t>
      </w:r>
    </w:p>
    <w:p w14:paraId="3C8C3A60" w14:textId="77777777" w:rsidR="00F5389C" w:rsidRDefault="00F5389C" w:rsidP="00F5389C">
      <w:pPr>
        <w:ind w:firstLine="720"/>
      </w:pPr>
      <w:r>
        <w:t>Data Availability</w:t>
      </w:r>
    </w:p>
    <w:p w14:paraId="6AA84DF6" w14:textId="77777777" w:rsidR="00F5389C" w:rsidRDefault="00F5389C" w:rsidP="00F5389C">
      <w:pPr>
        <w:rPr>
          <w:b/>
          <w:bCs/>
        </w:rPr>
      </w:pPr>
      <w:r>
        <w:rPr>
          <w:b/>
          <w:bCs/>
        </w:rPr>
        <w:t>EXPERIMENTAL MODEL AND SUBJECT DETAILS</w:t>
      </w:r>
    </w:p>
    <w:p w14:paraId="55C3D572" w14:textId="77777777" w:rsidR="00F5389C" w:rsidRDefault="00F5389C" w:rsidP="00F5389C">
      <w:pPr>
        <w:ind w:firstLine="720"/>
      </w:pPr>
      <w:r>
        <w:t>Ethics statement</w:t>
      </w:r>
    </w:p>
    <w:p w14:paraId="54E052A6" w14:textId="77777777" w:rsidR="00F5389C" w:rsidRDefault="00F5389C" w:rsidP="00F5389C">
      <w:pPr>
        <w:ind w:firstLine="720"/>
      </w:pPr>
      <w:r>
        <w:t>Patient Case Report and IMPACT Patient Cohort</w:t>
      </w:r>
    </w:p>
    <w:p w14:paraId="3CCF9B26" w14:textId="77777777" w:rsidR="00F5389C" w:rsidRDefault="00F5389C" w:rsidP="00F5389C">
      <w:pPr>
        <w:ind w:firstLine="720"/>
      </w:pPr>
      <w:r>
        <w:t>Cell lines</w:t>
      </w:r>
    </w:p>
    <w:p w14:paraId="037FC96A" w14:textId="77777777" w:rsidR="00F5389C" w:rsidRDefault="00F5389C" w:rsidP="00F5389C">
      <w:pPr>
        <w:ind w:firstLine="720"/>
      </w:pPr>
      <w:r>
        <w:t>SARS-CoV-2 Virus</w:t>
      </w:r>
    </w:p>
    <w:p w14:paraId="585E9B5B" w14:textId="77777777" w:rsidR="00F5389C" w:rsidRDefault="00F5389C" w:rsidP="00F5389C">
      <w:pPr>
        <w:rPr>
          <w:b/>
          <w:bCs/>
        </w:rPr>
      </w:pPr>
      <w:r>
        <w:rPr>
          <w:b/>
          <w:bCs/>
        </w:rPr>
        <w:t>METHOD DETAILS</w:t>
      </w:r>
    </w:p>
    <w:p w14:paraId="407AE693" w14:textId="77777777" w:rsidR="00F5389C" w:rsidRDefault="00F5389C" w:rsidP="00F5389C">
      <w:pPr>
        <w:ind w:firstLine="720"/>
      </w:pPr>
      <w:r>
        <w:t>Isolation of patient plasma and PBMCs</w:t>
      </w:r>
    </w:p>
    <w:p w14:paraId="45EC5A30" w14:textId="77777777" w:rsidR="00F5389C" w:rsidRDefault="00F5389C" w:rsidP="00F5389C">
      <w:pPr>
        <w:ind w:firstLine="720"/>
      </w:pPr>
      <w:r>
        <w:t>SARS-CoV-2 RT-qPCR detection and sequencing</w:t>
      </w:r>
    </w:p>
    <w:p w14:paraId="174CB38A" w14:textId="77777777" w:rsidR="00F5389C" w:rsidRDefault="00F5389C" w:rsidP="00F5389C">
      <w:pPr>
        <w:ind w:firstLine="720"/>
      </w:pPr>
      <w:r>
        <w:t>Phylogenetic and molecular evolution analysis</w:t>
      </w:r>
    </w:p>
    <w:p w14:paraId="74906F46" w14:textId="77777777" w:rsidR="00F5389C" w:rsidRDefault="00F5389C" w:rsidP="00F5389C">
      <w:pPr>
        <w:ind w:firstLine="720"/>
      </w:pPr>
      <w:r>
        <w:t>Flow cytometry</w:t>
      </w:r>
    </w:p>
    <w:p w14:paraId="6409CED5" w14:textId="77777777" w:rsidR="00F5389C" w:rsidRDefault="00F5389C" w:rsidP="00F5389C">
      <w:pPr>
        <w:ind w:firstLine="720"/>
      </w:pPr>
      <w:r>
        <w:t>SARS-CoV-2 specific-antibody measurements</w:t>
      </w:r>
    </w:p>
    <w:p w14:paraId="6750ABB3" w14:textId="77777777" w:rsidR="00F5389C" w:rsidRDefault="00F5389C" w:rsidP="00F5389C">
      <w:pPr>
        <w:ind w:left="720"/>
      </w:pPr>
      <w:r>
        <w:t xml:space="preserve">Enzyme-Linked Immunosorbent Assay (ELISA) </w:t>
      </w:r>
    </w:p>
    <w:p w14:paraId="1CD7E891" w14:textId="77777777" w:rsidR="00F5389C" w:rsidRDefault="00F5389C" w:rsidP="00F5389C">
      <w:pPr>
        <w:ind w:left="720"/>
      </w:pPr>
      <w:r>
        <w:t xml:space="preserve">Cytokine and chemokine measurements </w:t>
      </w:r>
    </w:p>
    <w:p w14:paraId="2201C3CA" w14:textId="77777777" w:rsidR="00F5389C" w:rsidRDefault="00F5389C" w:rsidP="00F5389C">
      <w:pPr>
        <w:ind w:firstLine="720"/>
      </w:pPr>
      <w:r>
        <w:t>Viral neutralization assay</w:t>
      </w:r>
    </w:p>
    <w:p w14:paraId="38C0F04E" w14:textId="77777777" w:rsidR="00F5389C" w:rsidRDefault="00F5389C" w:rsidP="00F5389C">
      <w:pPr>
        <w:pStyle w:val="Title"/>
        <w:rPr>
          <w:sz w:val="22"/>
          <w:szCs w:val="22"/>
        </w:rPr>
      </w:pPr>
    </w:p>
    <w:p w14:paraId="5CCFA498" w14:textId="77777777" w:rsidR="00F5389C" w:rsidRDefault="00F5389C" w:rsidP="00F5389C">
      <w:pPr>
        <w:pStyle w:val="Title"/>
        <w:rPr>
          <w:sz w:val="22"/>
          <w:szCs w:val="22"/>
        </w:rPr>
      </w:pPr>
      <w:r>
        <w:rPr>
          <w:sz w:val="22"/>
          <w:szCs w:val="22"/>
        </w:rPr>
        <w:t>STAR</w:t>
      </w:r>
      <w:r>
        <w:rPr>
          <w:rFonts w:ascii="Segoe UI Emoji" w:hAnsi="Segoe UI Emoji" w:cs="Segoe UI Emoji"/>
          <w:sz w:val="22"/>
          <w:szCs w:val="22"/>
        </w:rPr>
        <w:t xml:space="preserve"> </w:t>
      </w:r>
      <w:r>
        <w:rPr>
          <w:sz w:val="22"/>
          <w:szCs w:val="22"/>
        </w:rPr>
        <w:t>METHODS Text</w:t>
      </w:r>
    </w:p>
    <w:p w14:paraId="24EA4744" w14:textId="77777777" w:rsidR="00F5389C" w:rsidRDefault="00F5389C" w:rsidP="00F5389C"/>
    <w:p w14:paraId="4ABCD2B2" w14:textId="77777777" w:rsidR="00F5389C" w:rsidRDefault="00F5389C" w:rsidP="00F5389C">
      <w:pPr>
        <w:rPr>
          <w:b/>
          <w:bCs/>
        </w:rPr>
      </w:pPr>
      <w:r>
        <w:rPr>
          <w:b/>
          <w:bCs/>
        </w:rPr>
        <w:t>RESOURCE AVAILABILITY</w:t>
      </w:r>
    </w:p>
    <w:p w14:paraId="48EBCC15" w14:textId="77777777" w:rsidR="00F5389C" w:rsidRDefault="00F5389C" w:rsidP="00F5389C"/>
    <w:p w14:paraId="19011E2B" w14:textId="77777777" w:rsidR="00F5389C" w:rsidRDefault="00F5389C" w:rsidP="00F5389C">
      <w:pPr>
        <w:rPr>
          <w:i/>
          <w:iCs/>
        </w:rPr>
      </w:pPr>
      <w:r>
        <w:rPr>
          <w:i/>
          <w:iCs/>
        </w:rPr>
        <w:t>Lead Contacts</w:t>
      </w:r>
    </w:p>
    <w:p w14:paraId="5AEF179C" w14:textId="77777777" w:rsidR="00F5389C" w:rsidRDefault="00F5389C" w:rsidP="00F5389C">
      <w:pPr>
        <w:spacing w:after="240"/>
        <w:rPr>
          <w:i/>
          <w:iCs/>
        </w:rPr>
      </w:pPr>
      <w:r>
        <w:t>Correspondence and requests regarding clinical features of this manuscript should be addressed to M.A. Other correspondence and requests should be addressed to A.I.</w:t>
      </w:r>
    </w:p>
    <w:p w14:paraId="21699A29" w14:textId="77777777" w:rsidR="00F5389C" w:rsidRDefault="00F5389C" w:rsidP="00F5389C">
      <w:pPr>
        <w:rPr>
          <w:i/>
        </w:rPr>
      </w:pPr>
      <w:r>
        <w:rPr>
          <w:i/>
        </w:rPr>
        <w:t>Materials availability</w:t>
      </w:r>
    </w:p>
    <w:p w14:paraId="6B4BCC3E" w14:textId="77777777" w:rsidR="00F5389C" w:rsidRDefault="00F5389C" w:rsidP="00F5389C">
      <w:pPr>
        <w:spacing w:after="240"/>
      </w:pPr>
      <w:proofErr w:type="gramStart"/>
      <w:r>
        <w:t>Requests</w:t>
      </w:r>
      <w:proofErr w:type="gramEnd"/>
      <w:r>
        <w:t xml:space="preserve"> materials should be addressed to </w:t>
      </w:r>
      <w:proofErr w:type="spellStart"/>
      <w:r>
        <w:t>B.I</w:t>
      </w:r>
      <w:proofErr w:type="spellEnd"/>
      <w:r>
        <w:t xml:space="preserve">. and A.I. </w:t>
      </w:r>
    </w:p>
    <w:p w14:paraId="55E74CF3" w14:textId="77777777" w:rsidR="00F5389C" w:rsidRDefault="00F5389C" w:rsidP="00F5389C">
      <w:pPr>
        <w:rPr>
          <w:i/>
        </w:rPr>
      </w:pPr>
      <w:r>
        <w:rPr>
          <w:i/>
        </w:rPr>
        <w:t>Data availability</w:t>
      </w:r>
    </w:p>
    <w:p w14:paraId="257FEBCF" w14:textId="77777777" w:rsidR="00F5389C" w:rsidRDefault="00F5389C" w:rsidP="00F5389C">
      <w:pPr>
        <w:spacing w:after="240"/>
      </w:pPr>
      <w:r>
        <w:t xml:space="preserve">Requests for data or should be addressed to </w:t>
      </w:r>
      <w:proofErr w:type="spellStart"/>
      <w:r>
        <w:t>B.I</w:t>
      </w:r>
      <w:proofErr w:type="spellEnd"/>
      <w:r>
        <w:t xml:space="preserve">. and A.I. </w:t>
      </w:r>
    </w:p>
    <w:p w14:paraId="37861C65" w14:textId="77777777" w:rsidR="00F5389C" w:rsidRDefault="00F5389C" w:rsidP="00F5389C">
      <w:pPr>
        <w:rPr>
          <w:b/>
          <w:bCs/>
        </w:rPr>
      </w:pPr>
      <w:r>
        <w:rPr>
          <w:b/>
          <w:bCs/>
        </w:rPr>
        <w:t>EXPERIMENTAL MODEL AND SUBJECT DETAILS</w:t>
      </w:r>
    </w:p>
    <w:p w14:paraId="2EFC3160" w14:textId="77777777" w:rsidR="00F5389C" w:rsidRDefault="00F5389C" w:rsidP="00F5389C">
      <w:pPr>
        <w:rPr>
          <w:i/>
        </w:rPr>
      </w:pPr>
      <w:r>
        <w:rPr>
          <w:i/>
        </w:rPr>
        <w:t>Ethics statement</w:t>
      </w:r>
    </w:p>
    <w:p w14:paraId="1BFEEBD2" w14:textId="77777777" w:rsidR="00F5389C" w:rsidRDefault="00F5389C" w:rsidP="00F5389C">
      <w:r>
        <w:t>This study was approved by Yale Human Research Protection Program Institutional Review Boards (</w:t>
      </w:r>
      <w:proofErr w:type="spellStart"/>
      <w:r>
        <w:t>FWA00002571</w:t>
      </w:r>
      <w:proofErr w:type="spellEnd"/>
      <w:r>
        <w:t>, protocol ID 2000027690). Informed consent was obtained from all enrolled patients and healthcare workers. All work requiring biosafety level three conditions was performed by certified personnel under the supervision of the Yale Department of Environmental Health and Safety.</w:t>
      </w:r>
    </w:p>
    <w:p w14:paraId="1DA996C1" w14:textId="77777777" w:rsidR="00F5389C" w:rsidRDefault="00F5389C" w:rsidP="00F5389C">
      <w:pPr>
        <w:widowControl w:val="0"/>
        <w:spacing w:before="200"/>
      </w:pPr>
      <w:r>
        <w:rPr>
          <w:i/>
        </w:rPr>
        <w:t>Patient Case Report and IMPACT Patient Cohort</w:t>
      </w:r>
    </w:p>
    <w:p w14:paraId="0E093E30" w14:textId="77777777" w:rsidR="00F5389C" w:rsidRDefault="00F5389C" w:rsidP="00F5389C">
      <w:pPr>
        <w:widowControl w:val="0"/>
      </w:pPr>
      <w:r>
        <w:t xml:space="preserve">Our case report of a SARS-CoV-2 reinfection was enrolled as part of the broader Yale IMPACT cohort described at length previously and summarized again below for </w:t>
      </w:r>
      <w:proofErr w:type="spellStart"/>
      <w:r>
        <w:t>convenience</w:t>
      </w:r>
      <w:r>
        <w:fldChar w:fldCharType="begin" w:fldLock="1"/>
      </w:r>
      <w:r>
        <w:instrText>ADDIN CSL_CITATION {"citationItems":[{"id":"ITEM-1","itemData":{"DOI":"10.1038/s41586-020-2588-y","ISBN":"4158602025","ISSN":"14764687","PMID":"32717743","abstract":"Recent studies have provided insights into the pathogenesis of coronavirus disease 2019 (COVID-19)1–4. Yet, longitudinal immunological correlates of disease outcome remain unclear. Here, we serially analysed immune responses in 113 COVID-19 patients with moderate (non-ICU) and severe (ICU) disease. Immune profiling revealed an overall increase in innate cell lineages with a concomitant reduction in T cell number. We identify an association between early, elevated cytokines and worse disease outcomes. Following an early increase in cytokines, COVID-19 patients with moderate disease displayed a progressive reduction in type-1 (antiviral) and type-3 (antifungal) responses. In contrast, patients with severe disease maintained these elevated responses throughout the course of disease. Moreover, severe disease was accompanied by an increase in multiple type 2 (anti-helminths) effectors including, IL-5, IL-13, IgE and eosinophils. Unsupervised clustering analysis identified 4 immune signatures, representing (A) growth factors, (B) type-2/3 cytokines, (C) mixed type-1/2/3 cytokines, and (D) chemokines that correlated with three distinct disease trajectories of patients. The immune profile of patients who recovered with moderate disease was enriched in tissue reparative growth factor signature (A), while the profile for those with worsened disease trajectory had elevated levels of all four signatures. Thus, we identified development of a maladapted immune response profile associated with severe COVID-19 outcome and early immune signatures that correlate with divergent disease trajectories.","author":[{"dropping-particle":"","family":"Lucas","given":"Carolina","non-dropping-particle":"","parse-names":false,"suffix":""},{"dropping-particle":"","family":"Wong","given":"Patrick","non-dropping-particle":"","parse-names":false,"suffix":""},{"dropping-particle":"","family":"Klein","given":"Jon","non-dropping-particle":"","parse-names":false,"suffix":""},{"dropping-particle":"","family":"Castro","given":"Tiago B.R.","non-dropping-particle":"","parse-names":false,"suffix":""},{"dropping-particle":"","family":"Silva","given":"Julio","non-dropping-particle":"","parse-names":false,"suffix":""},{"dropping-particle":"","family":"Sundaram","given":"Maria","non-dropping-particle":"","parse-names":false,"suffix":""},{"dropping-particle":"","family":"Ellingson","given":"Mallory K.","non-dropping-particle":"","parse-names":false,"suffix":""},{"dropping-particle":"","family":"Mao","given":"Tianyang","non-dropping-particle":"","parse-names":false,"suffix":""},{"dropping-particle":"","family":"Oh","given":"Ji Eun","non-dropping-particle":"","parse-names":false,"suffix":""},{"dropping-particle":"","family":"Israelow","given":"Benjamin","non-dropping-particle":"","parse-names":false,"suffix":""},{"dropping-particle":"","family":"Takahashi","given":"Takehiro","non-dropping-particle":"","parse-names":false,"suffix":""},{"dropping-particle":"","family":"Tokuyama","given":"Maria","non-dropping-particle":"","parse-names":false,"suffix":""},{"dropping-particle":"","family":"Lu","given":"Peiwen","non-dropping-particle":"","parse-names":false,"suffix":""},{"dropping-particle":"","family":"Venkataraman","given":"Arvind","non-dropping-particle":"","parse-names":false,"suffix":""},{"dropping-particle":"","family":"Park","given":"Annsea","non-dropping-particle":"","parse-names":false,"suffix":""},{"dropping-particle":"","family":"Mohanty","given":"Subhasis","non-dropping-particle":"","parse-names":false,"suffix":""},{"dropping-particle":"","family":"Wang","given":"Haowei","non-dropping-particle":"","parse-names":false,"suffix":""},{"dropping-particle":"","family":"Wyllie","given":"Anne L.","non-dropping-particle":"","parse-names":false,"suffix":""},{"dropping-particle":"","family":"Vogels","given":"Chantal B.F.","non-dropping-particle":"","parse-names":false,"suffix":""},{"dropping-particle":"","family":"Earnest","given":"Rebecca","non-dropping-particle":"","parse-names":false,"suffix":""},{"dropping-particle":"","family":"Lapidus","given":"Sarah","non-dropping-particle":"","parse-names":false,"suffix":""},{"dropping-particle":"","family":"Ott","given":"Isabel M.","non-dropping-particle":"","parse-names":false,"suffix":""},{"dropping-particle":"","family":"Moore","given":"Adam J.","non-dropping-particle":"","parse-names":false,"suffix":""},{"dropping-particle":"","family":"Muenker","given":"M. Catherine","non-dropping-particle":"","parse-names":false,"suffix":""},{"dropping-particle":"","family":"Fournier","given":"John B.","non-dropping-particle":"","parse-names":false,"suffix":""},{"dropping-particle":"","family":"Campbell","given":"Melissa","non-dropping-particle":"","parse-names":false,"suffix":""},{"dropping-particle":"","family":"Odio","given":"Camila D.","non-dropping-particle":"","parse-names":false,"suffix":""},{"dropping-particle":"","family":"Casanovas-Massana","given":"Arnau","non-dropping-particle":"","parse-names":false,"suffix":""},{"dropping-particle":"","family":"Obaid","given":"Abeer","non-dropping-particle":"","parse-names":false,"suffix":""},{"dropping-particle":"","family":"Lu-Culligan","given":"Alice","non-dropping-particle":"","parse-names":false,"suffix":""},{"dropping-particle":"","family":"Nelson","given":"Allison","non-dropping-particle":"","parse-names":false,"suffix":""},{"dropping-particle":"","family":"Brito","given":"Anderson","non-dropping-particle":"","parse-names":false,"suffix":""},{"dropping-particle":"","family":"Nunez","given":"Angela","non-dropping-particle":"","parse-names":false,"suffix":""},{"dropping-particle":"","family":"Martin","given":"Anjelica","non-dropping-particle":"","parse-names":false,"suffix":""},{"dropping-particle":"","family":"Watkins","given":"Annie","non-dropping-particle":"","parse-names":false,"suffix":""},{"dropping-particle":"","family":"Geng","given":"Bertie","non-dropping-particle":"","parse-names":false,"suffix":""},{"dropping-particle":"","family":"Kalinich","given":"Chaney","non-dropping-particle":"","parse-names":false,"suffix":""},{"dropping-particle":"","family":"Harden","given":"Christina","non-dropping-particle":"","parse-names":false,"suffix":""},{"dropping-particle":"","family":"Todeasa","given":"Codruta","non-dropping-particle":"","parse-names":false,"suffix":""},{"dropping-particle":"","family":"Jensen","given":"Cole","non-dropping-particle":"","parse-names":false,"suffix":""},{"dropping-particle":"","family":"Kim","given":"Daniel","non-dropping-particle":"","parse-names":false,"suffix":""},{"dropping-particle":"","family":"McDonald","given":"David","non-dropping-particle":"","parse-names":false,"suffix":""},{"dropping-particle":"","family":"Shepard","given":"Denise","non-dropping-particle":"","parse-names":false,"suffix":""},{"dropping-particle":"","family":"Courchaine","given":"Edward","non-dropping-particle":"","parse-names":false,"suffix":""},{"dropping-particle":"","family":"White","given":"Elizabeth B.","non-dropping-particle":"","parse-names":false,"suffix":""},{"dropping-particle":"","family":"Song","given":"Eric","non-dropping-particle":"","parse-names":false,"suffix":""},{"dropping-particle":"","family":"Silva","given":"Erin","non-dropping-particle":"","parse-names":false,"suffix":""},{"dropping-particle":"","family":"Kudo","given":"Eriko","non-dropping-particle":"","parse-names":false,"suffix":""},{"dropping-particle":"","family":"DeIuliis","given":"Giuseppe","non-dropping-particle":"","parse-names":false,"suffix":""},{"dropping-particle":"","family":"Rahming","given":"Harold","non-dropping-particle":"","parse-names":false,"suffix":""},{"dropping-particle":"","family":"Park","given":"Hong Jai","non-dropping-particle":"","parse-names":false,"suffix":""},{"dropping-particle":"","family":"Matos","given":"Irene","non-dropping-particle":"","parse-names":false,"suffix":""},{"dropping-particle":"","family":"Nouws","given":"Jessica","non-dropping-particle":"","parse-names":false,"suffix":""},{"dropping-particle":"","family":"Valdez","given":"Jordan","non-dropping-particle":"","parse-names":false,"suffix":""},{"dropping-particle":"","family":"Fauver","given":"Joseph","non-dropping-particle":"","parse-names":false,"suffix":""},{"dropping-particle":"","family":"Lim","given":"Joseph","non-dropping-particle":"","parse-names":false,"suffix":""},{"dropping-particle":"","family":"Rose","given":"Kadi Ann","non-dropping-particle":"","parse-names":false,"suffix":""},{"dropping-particle":"","family":"Anastasio","given":"Kelly","non-dropping-particle":"","parse-names":false,"suffix":""},{"dropping-particle":"","family":"Brower","given":"Kristina","non-dropping-particle":"","parse-names":false,"suffix":""},{"dropping-particle":"","family":"Glick","given":"Laura","non-dropping-particle":"","parse-names":false,"suffix":""},{"dropping-particle":"","family":"Sharma","given":"Lokesh","non-dropping-particle":"","parse-names":false,"suffix":""},{"dropping-particle":"","family":"Sewanan","given":"Lorenzo","non-dropping-particle":"","parse-names":false,"suffix":""},{"dropping-particle":"","family":"Knaggs","given":"Lynda","non-dropping-particle":"","parse-names":false,"suffix":""},{"dropping-particle":"","family":"Minasyan","given":"Maksym","non-dropping-particle":"","parse-names":false,"suffix":""},{"dropping-particle":"","family":"Batsu","given":"Maria","non-dropping-particle":"","parse-names":false,"suffix":""},{"dropping-particle":"","family":"Petrone","given":"Mary","non-dropping-particle":"","parse-names":false,"suffix":""},{"dropping-particle":"","family":"Kuang","given":"Maxine","non-dropping-particle":"","parse-names":false,"suffix":""},{"dropping-particle":"","family":"Nakahata","given":"Maura","non-dropping-particle":"","parse-names":false,"suffix":""},{"dropping-particle":"","family":"Campbell","given":"Melissa","non-dropping-particle":"","parse-names":false,"suffix":""},{"dropping-particle":"","family":"Linehan","given":"Melissa","non-dropping-particle":"","parse-names":false,"suffix":""},{"dropping-particle":"","family":"Askenase","given":"Michael H.","non-dropping-particle":"","parse-names":false,"suffix":""},{"dropping-particle":"","family":"Simonov","given":"Michael","non-dropping-particle":"","parse-names":false,"suffix":""},{"dropping-particle":"","family":"Smolgovsky","given":"Mikhail","non-dropping-particle":"","parse-names":false,"suffix":""},{"dropping-particle":"","family":"Sonnert","given":"Nicole","non-dropping-particle":"","parse-names":false,"suffix":""},{"dropping-particle":"","family":"Naushad","given":"Nida","non-dropping-particle":"","parse-names":false,"suffix":""},{"dropping-particle":"","family":"Vijayakumar","given":"Pavithra","non-dropping-particle":"","parse-names":false,"suffix":""},{"dropping-particle":"","family":"Martinello","given":"Rick","non-dropping-particle":"","parse-names":false,"suffix":""},{"dropping-particle":"","family":"Datta","given":"Rupak","non-dropping-particle":"","parse-names":false,"suffix":""},{"dropping-particle":"","family":"Handoko","given":"Ryan","non-dropping-particle":"","parse-names":false,"suffix":""},{"dropping-particle":"","family":"Bermejo","given":"Santos","non-dropping-particle":"","parse-names":false,"suffix":""},{"dropping-particle":"","family":"Prophet","given":"Sarah","non-dropping-particle":"","parse-names":false,"suffix":""},{"dropping-particle":"","family":"Bickerton","given":"Sean","non-dropping-particle":"","parse-names":false,"suffix":""},{"dropping-particle":"","family":"Velazquez","given":"Sofia","non-dropping-particle":"","parse-names":false,"suffix":""},{"dropping-particle":"","family":"Alpert","given":"Tara","non-dropping-particle":"","parse-names":false,"suffix":""},{"dropping-particle":"","family":"Rice","given":"Tyler","non-dropping-particle":"","parse-names":false,"suffix":""},{"dropping-particle":"","family":"Khoury-Hanold","given":"William","non-dropping-particle":"","parse-names":false,"suffix":""},{"dropping-particle":"","family":"Peng","given":"Xiaohua","non-dropping-particle":"","parse-names":false,"suffix":""},{"dropping-particle":"","family":"Yang","given":"Yexin","non-dropping-particle":"","parse-names":false,"suffix":""},{"dropping-particle":"","family":"Cao","given":"Yiyun","non-dropping-particle":"","parse-names":false,"suffix":""},{"dropping-particle":"","family":"Strong","given":"Yvette","non-dropping-particle":"","parse-names":false,"suffix":""},{"dropping-particle":"","family":"Herbst","given":"Roy","non-dropping-particle":"","parse-names":false,"suffix":""},{"dropping-particle":"","family":"Shaw","given":"Albert C.","non-dropping-particle":"","parse-names":false,"suffix":""},{"dropping-particle":"","family":"Medzhitov","given":"Ruslan","non-dropping-particle":"","parse-names":false,"suffix":""},{"dropping-particle":"","family":"Schulz","given":"Wade L.","non-dropping-particle":"","parse-names":false,"suffix":""},{"dropping-particle":"","family":"Grubaugh","given":"Nathan D.","non-dropping-particle":"","parse-names":false,"suffix":""},{"dropping-particle":"","family":"Cruz","given":"Charles","non-dropping-particle":"Dela","parse-names":false,"suffix":""},{"dropping-particle":"","family":"Farhadian","given":"Shelli","non-dropping-particle":"","parse-names":false,"suffix":""},{"dropping-particle":"","family":"Ko","given":"Albert I.","non-dropping-particle":"","parse-names":false,"suffix":""},{"dropping-particle":"","family":"Omer","given":"Saad B.","non-dropping-particle":"","parse-names":false,"suffix":""},{"dropping-particle":"","family":"Iwasaki","given":"Akiko","non-dropping-particle":"","parse-names":false,"suffix":""}],"container-title":"Nature","id":"ITEM-1","issue":"June","issued":{"date-parts":[["2020"]]},"title":"Longitudinal analyses reveal immunological misfiring in severe COVID-19","type":"article-journal","volume":"584"},"uris":["http://www.mendeley.com/documents/?uuid=6b35c15c-2430-4671-bb93-427ed897744e"]},{"id":"ITEM-2","itemData":{"DOI":"10.1038/s41586-020-2700-3","ISBN":"4158602027003","ISSN":"14764687","PMID":"32846427","abstract":"There is increasing evidence that coronavirus disease 2019 (COVID-19) produces more severe symptoms and higher mortality among men than among women1–5. However, whether immune responses against severe acute respiratory syndrome coronavirus (SARS-CoV-2) differ between sexes, and whether such differences correlate with the sex difference in the disease course of COVID-19, is currently unknown. Here we examined sex differences in viral loads, SARS-CoV-2-specific antibody titres, plasma cytokines and blood-cell phenotyping in patients with moderate COVID-19 who had not received immunomodulatory medications. Male patients had higher plasma levels of innate immune cytokines such as IL-8 and IL-18 along with more robust induction of non-classical monocytes. By contrast, female patients had more robust T cell activation than male patients during SARS-CoV-2 infection. Notably, we found that a poor T cell response negatively correlated with patients’ age and was associated with worse disease outcome in male patients, but not in female patients. By contrast, higher levels of innate immune cytokines were associated with worse disease progression in female patients, but not in male patients. These findings provide a possible explanation for the observed sex biases in COVID-19, and provide an important basis for the development of a sex-based approach to the treatment and care of male and female patients with COVID-19.","author":[{"dropping-particle":"","family":"Takahashi","given":"Takehiro","non-dropping-particle":"","parse-names":false,"suffix":""},{"dropping-particle":"","family":"Ellingson","given":"Mallory K.","non-dropping-particle":"","parse-names":false,"suffix":""},{"dropping-particle":"","family":"Wong","given":"Patrick","non-dropping-particle":"","parse-names":false,"suffix":""},{"dropping-particle":"","family":"Israelow","given":"Benjamin","non-dropping-particle":"","parse-names":false,"suffix":""},{"dropping-particle":"","family":"Lucas","given":"Carolina","non-dropping-particle":"","parse-names":false,"suffix":""},{"dropping-particle":"","family":"Klein","given":"Jon","non-dropping-particle":"","parse-names":false,"suffix":""},{"dropping-particle":"","family":"Silva","given":"Julio","non-dropping-particle":"","parse-names":false,"suffix":""},{"dropping-particle":"","family":"Mao","given":"Tianyang","non-dropping-particle":"","parse-names":false,"suffix":""},{"dropping-particle":"","family":"Oh","given":"Ji Eun","non-dropping-particle":"","parse-names":false,"suffix":""},{"dropping-particle":"","family":"Tokuyama","given":"Maria","non-dropping-particle":"","parse-names":false,"suffix":""},{"dropping-particle":"","family":"Lu","given":"Peiwen","non-dropping-particle":"","parse-names":false,"suffix":""},{"dropping-particle":"","family":"Venkataraman","given":"Arvind","non-dropping-particle":"","parse-names":false,"suffix":""},{"dropping-particle":"","family":"Park","given":"Annsea","non-dropping-particle":"","parse-names":false,"suffix":""},{"dropping-particle":"","family":"Liu","given":"Feimei","non-dropping-particle":"","parse-names":false,"suffix":""},{"dropping-particle":"","family":"Meir","given":"Amit","non-dropping-particle":"","parse-names":false,"suffix":""},{"dropping-particle":"","family":"Sun","given":"Jonathan","non-dropping-particle":"","parse-names":false,"suffix":""},{"dropping-particle":"","family":"Wang","given":"Eric Y.","non-dropping-particle":"","parse-names":false,"suffix":""},{"dropping-particle":"","family":"Casanovas-Massana","given":"Arnau","non-dropping-particle":"","parse-names":false,"suffix":""},{"dropping-particle":"","family":"Wyllie","given":"Anne L.","non-dropping-particle":"","parse-names":false,"suffix":""},{"dropping-particle":"","family":"Vogels","given":"Chantal B.F.","non-dropping-particle":"","parse-names":false,"suffix":""},{"dropping-particle":"","family":"Earnest","given":"Rebecca","non-dropping-particle":"","parse-names":false,"suffix":""},{"dropping-particle":"","family":"Lapidus","given":"Sarah","non-dropping-particle":"","parse-names":false,"suffix":""},{"dropping-particle":"","family":"Ott","given":"Isabel M.","non-dropping-particle":"","parse-names":false,"suffix":""},{"dropping-particle":"","family":"Moore","given":"Adam J.","non-dropping-particle":"","parse-names":false,"suffix":""},{"dropping-particle":"","family":"Anastasio","given":"Kelly","non-dropping-particle":"","parse-names":false,"suffix":""},{"dropping-particle":"","family":"Askenase","given":"Michael H.","non-dropping-particle":"","parse-names":false,"suffix":""},{"dropping-particle":"","family":"Batsu","given":"Maria","non-dropping-particle":"","parse-names":false,"suffix":""},{"dropping-particle":"","family":"Beatty","given":"Hannah","non-dropping-particle":"","parse-names":false,"suffix":""},{"dropping-particle":"","family":"Bermejo","given":"Santos","non-dropping-particle":"","parse-names":false,"suffix":""},{"dropping-particle":"","family":"Bickerton","given":"Sean","non-dropping-particle":"","parse-names":false,"suffix":""},{"dropping-particle":"","family":"Brower","given":"Kristina","non-dropping-particle":"","parse-names":false,"suffix":""},{"dropping-particle":"","family":"Bucklin","given":"Molly L.","non-dropping-particle":"","parse-names":false,"suffix":""},{"dropping-particle":"","family":"Cahill","given":"Staci","non-dropping-particle":"","parse-names":false,"suffix":""},{"dropping-particle":"","family":"Campbell","given":"Melissa","non-dropping-particle":"","parse-names":false,"suffix":""},{"dropping-particle":"","family":"Cao","given":"Yiyun","non-dropping-particle":"","parse-names":false,"suffix":""},{"dropping-particle":"","family":"Courchaine","given":"Edward","non-dropping-particle":"","parse-names":false,"suffix":""},{"dropping-particle":"","family":"Datta","given":"Rupak","non-dropping-particle":"","parse-names":false,"suffix":""},{"dropping-particle":"","family":"DeIuliis","given":"Giuseppe","non-dropping-particle":"","parse-names":false,"suffix":""},{"dropping-particle":"","family":"Geng","given":"Bertie","non-dropping-particle":"","parse-names":false,"suffix":""},{"dropping-particle":"","family":"Glick","given":"Laura","non-dropping-particle":"","parse-names":false,"suffix":""},{"dropping-particle":"","family":"Handoko","given":"Ryan","non-dropping-particle":"","parse-names":false,"suffix":""},{"dropping-particle":"","family":"Kalinich","given":"Chaney","non-dropping-particle":"","parse-names":false,"suffix":""},{"dropping-particle":"","family":"Khoury-Hanold","given":"William","non-dropping-particle":"","parse-names":false,"suffix":""},{"dropping-particle":"","family":"Kim","given":"Daniel","non-dropping-particle":"","parse-names":false,"suffix":""},{"dropping-particle":"","family":"Knaggs","given":"Lynda","non-dropping-particle":"","parse-names":false,"suffix":""},{"dropping-particle":"","family":"Kuang","given":"Maxine","non-dropping-particle":"","parse-names":false,"suffix":""},{"dropping-particle":"","family":"Kudo","given":"Eriko","non-dropping-particle":"","parse-names":false,"suffix":""},{"dropping-particle":"","family":"Lim","given":"Joseph","non-dropping-particle":"","parse-names":false,"suffix":""},{"dropping-particle":"","family":"Linehan","given":"Melissa","non-dropping-particle":"","parse-names":false,"suffix":""},{"dropping-particle":"","family":"Lu-Culligan","given":"Alice","non-dropping-particle":"","parse-names":false,"suffix":""},{"dropping-particle":"","family":"Malik","given":"Amyn A.","non-dropping-particle":"","parse-names":false,"suffix":""},{"dropping-particle":"","family":"Martin","given":"Anjelica","non-dropping-particle":"","parse-names":false,"suffix":""},{"dropping-particle":"","family":"Matos","given":"Irene","non-dropping-particle":"","parse-names":false,"suffix":""},{"dropping-particle":"","family":"McDonald","given":"David","non-dropping-particle":"","parse-names":false,"suffix":""},{"dropping-particle":"","family":"Minasyan","given":"Maksym","non-dropping-particle":"","parse-names":false,"suffix":""},{"dropping-particle":"","family":"Mohanty","given":"Subhasis","non-dropping-particle":"","parse-names":false,"suffix":""},{"dropping-particle":"","family":"Muenker","given":"M. Catherine","non-dropping-particle":"","parse-names":false,"suffix":""},{"dropping-particle":"","family":"Naushad","given":"Nida","non-dropping-particle":"","parse-names":false,"suffix":""},{"dropping-particle":"","family":"Nelson","given":"Allison","non-dropping-particle":"","parse-names":false,"suffix":""},{"dropping-particle":"","family":"Nouws","given":"Jessica","non-dropping-particle":"","parse-names":false,"suffix":""},{"dropping-particle":"","family":"Nunez-Smith","given":"Marcella","non-dropping-particle":"","parse-names":false,"suffix":""},{"dropping-particle":"","family":"Obaid","given":"Abeer","non-dropping-particle":"","parse-names":false,"suffix":""},{"dropping-particle":"","family":"Ott","given":"Isabel","non-dropping-particle":"","parse-names":false,"suffix":""},{"dropping-particle":"","family":"Park","given":"Hong Jai","non-dropping-particle":"","parse-names":false,"suffix":""},{"dropping-particle":"","family":"Peng","given":"Xiaohua","non-dropping-particle":"","parse-names":false,"suffix":""},{"dropping-particle":"","family":"Petrone","given":"Mary","non-dropping-particle":"","parse-names":false,"suffix":""},{"dropping-particle":"","family":"Prophet","given":"Sarah","non-dropping-particle":"","parse-names":false,"suffix":""},{"dropping-particle":"","family":"Rahming","given":"Harold","non-dropping-particle":"","parse-names":false,"suffix":""},{"dropping-particle":"","family":"Rice","given":"Tyler","non-dropping-particle":"","parse-names":false,"suffix":""},{"dropping-particle":"","family":"Rose","given":"Kadi Ann","non-dropping-particle":"","parse-names":false,"suffix":""},{"dropping-particle":"","family":"Sewanan","given":"Lorenzo","non-dropping-particle":"","parse-names":false,"suffix":""},{"dropping-particle":"","family":"Sharma","given":"Lokesh","non-dropping-particle":"","parse-names":false,"suffix":""},{"dropping-particle":"","family":"Shepard","given":"Denise","non-dropping-particle":"","parse-names":false,"suffix":""},{"dropping-particle":"","family":"Silva","given":"Erin","non-dropping-particle":"","parse-names":false,"suffix":""},{"dropping-particle":"","family":"Simonov","given":"Michael","non-dropping-particle":"","parse-names":false,"suffix":""},{"dropping-particle":"","family":"Smolgovsky","given":"Mikhail","non-dropping-particle":"","parse-names":false,"suffix":""},{"dropping-particle":"","family":"Song","given":"Eric","non-dropping-particle":"","parse-names":false,"suffix":""},{"dropping-particle":"","family":"Sonnert","given":"Nicole","non-dropping-particle":"","parse-names":false,"suffix":""},{"dropping-particle":"","family":"Strong","given":"Yvette","non-dropping-particle":"","parse-names":false,"suffix":""},{"dropping-particle":"","family":"Todeasa","given":"Codruta","non-dropping-particle":"","parse-names":false,"suffix":""},{"dropping-particle":"","family":"Valdez","given":"Jordan","non-dropping-particle":"","parse-names":false,"suffix":""},{"dropping-particle":"","family":"Velazquez","given":"Sofia","non-dropping-particle":"","parse-names":false,"suffix":""},{"dropping-particle":"","family":"Vijayakumar","given":"Pavithra","non-dropping-particle":"","parse-names":false,"suffix":""},{"dropping-particle":"","family":"Wang","given":"Haowei","non-dropping-particle":"","parse-names":false,"suffix":""},{"dropping-particle":"","family":"Watkins","given":"Annie","non-dropping-particle":"","parse-names":false,"suffix":""},{"dropping-particle":"","family":"White","given":"Elizabeth B.","non-dropping-particle":"","parse-names":false,"suffix":""},{"dropping-particle":"","family":"Yang","given":"Yexin","non-dropping-particle":"","parse-names":false,"suffix":""},{"dropping-particle":"","family":"Shaw","given":"Albert","non-dropping-particle":"","parse-names":false,"suffix":""},{"dropping-particle":"","family":"Fournier","given":"John B.","non-dropping-particle":"","parse-names":false,"suffix":""},{"dropping-particle":"","family":"Odio","given":"Camila D.","non-dropping-particle":"","parse-names":false,"suffix":""},{"dropping-particle":"","family":"Farhadian","given":"Shelli","non-dropping-particle":"","parse-names":false,"suffix":""},{"dropping-particle":"","family":"Cruz","given":"Charles","non-dropping-particle":"Dela","parse-names":false,"suffix":""},{"dropping-particle":"","family":"Grubaugh","given":"Nathan D.","non-dropping-particle":"","parse-names":false,"suffix":""},{"dropping-particle":"","family":"Schulz","given":"Wade L.","non-dropping-particle":"","parse-names":false,"suffix":""},{"dropping-particle":"","family":"Ring","given":"Aaron M.","non-dropping-particle":"","parse-names":false,"suffix":""},{"dropping-particle":"","family":"Ko","given":"Albert I.","non-dropping-particle":"","parse-names":false,"suffix":""},{"dropping-particle":"","family":"Omer","given":"Saad B.","non-dropping-particle":"","parse-names":false,"suffix":""},{"dropping-particle":"","family":"Iwasaki","given":"Akiko","non-dropping-particle":"","parse-names":false,"suffix":""}],"container-title":"Nature","id":"ITEM-2","issue":"7837","issued":{"date-parts":[["2020"]]},"page":"315-320","title":"Sex differences in immune responses that underlie COVID-19 disease outcomes","type":"article-journal","volume":"588"},"uris":["http://www.mendeley.com/documents/?uuid=c51cde27-4897-47d7-a060-321a019ddea1"]}],"mendeley":{"formattedCitation":"&lt;sup&gt;52,53&lt;/sup&gt;","plainTextFormattedCitation":"52,53","previouslyFormattedCitation":"&lt;sup&gt;52,53&lt;/sup&gt;"},"properties":{"noteIndex":0},"schema":"https://github.com/citation-style-language/schema/raw/master/csl-citation.json"}</w:instrText>
      </w:r>
      <w:r>
        <w:fldChar w:fldCharType="separate"/>
      </w:r>
      <w:r>
        <w:rPr>
          <w:noProof/>
          <w:vertAlign w:val="superscript"/>
        </w:rPr>
        <w:t>52,53</w:t>
      </w:r>
      <w:proofErr w:type="spellEnd"/>
      <w:r>
        <w:fldChar w:fldCharType="end"/>
      </w:r>
      <w:r>
        <w:t xml:space="preserve">. The individual clinical narrative for our SARS-CoV-2 reinfection case was written by two infectious disease fellows and an infectious disease physician specializing in management of solid organ transplant recipients through direct interview of the patient and review of their </w:t>
      </w:r>
      <w:proofErr w:type="spellStart"/>
      <w:r>
        <w:t>EMR</w:t>
      </w:r>
      <w:proofErr w:type="spellEnd"/>
      <w:r>
        <w:t xml:space="preserve">. All explicit dates in our clinical narrative were converted to relative days from symptom onset as reported by our patient. With regards to the larger IMPACT cohort, and reproduced here for convenience, one hundred and seventy-nine patients admitted to </w:t>
      </w:r>
      <w:proofErr w:type="spellStart"/>
      <w:r>
        <w:t>YNHH</w:t>
      </w:r>
      <w:proofErr w:type="spellEnd"/>
      <w:r>
        <w:t xml:space="preserve"> with COVID-19 between 18 March 2020 and 27 May 2020 were included in this study. No statistical methods were used to predetermine sample size. Patients were scored for COVID-19 disease severity through review of the electronic health records (</w:t>
      </w:r>
      <w:proofErr w:type="spellStart"/>
      <w:r>
        <w:t>EMR</w:t>
      </w:r>
      <w:proofErr w:type="spellEnd"/>
      <w:r>
        <w:t xml:space="preserve">) at time of each sample collection. Scores were assigned by a clinical infectious disease physician according to a custom-developed disease severity scale. Moderate disease status (clinical scores 1–3) was defined as: (1) SARS-CoV-2 infection requiring hospitalization without supplementary oxygen; (2) infection requiring non-invasive supplementary oxygen (&lt;3 l/min to maintain </w:t>
      </w:r>
      <w:proofErr w:type="spellStart"/>
      <w:r>
        <w:t>SpO</w:t>
      </w:r>
      <w:r>
        <w:rPr>
          <w:vertAlign w:val="subscript"/>
        </w:rPr>
        <w:t>2</w:t>
      </w:r>
      <w:proofErr w:type="spellEnd"/>
      <w:r>
        <w:t xml:space="preserve"> &gt;92%); and (3) infection requiring non-invasive supplementary oxygen (&gt;3 l/min to maintain </w:t>
      </w:r>
      <w:proofErr w:type="spellStart"/>
      <w:r>
        <w:t>SpO</w:t>
      </w:r>
      <w:r>
        <w:rPr>
          <w:vertAlign w:val="subscript"/>
        </w:rPr>
        <w:t>2</w:t>
      </w:r>
      <w:proofErr w:type="spellEnd"/>
      <w:r>
        <w:t xml:space="preserve"> &gt;92%), or alternatively &gt;2 l/min to maintain </w:t>
      </w:r>
      <w:proofErr w:type="spellStart"/>
      <w:r>
        <w:t>SpO</w:t>
      </w:r>
      <w:r>
        <w:rPr>
          <w:vertAlign w:val="subscript"/>
        </w:rPr>
        <w:t>2</w:t>
      </w:r>
      <w:proofErr w:type="spellEnd"/>
      <w:r>
        <w:t xml:space="preserve"> &gt;92% with a high-sensitivity C-reactive protein (</w:t>
      </w:r>
      <w:proofErr w:type="spellStart"/>
      <w:r>
        <w:t>hsCRP</w:t>
      </w:r>
      <w:proofErr w:type="spellEnd"/>
      <w:r>
        <w:t xml:space="preserve">) &gt;70 and administration of tocilizumab. Severe disease status (clinical score 4 or 5) was defined as: (4) infection meeting all criteria for clinical score 3 </w:t>
      </w:r>
      <w:proofErr w:type="gramStart"/>
      <w:r>
        <w:t>and also</w:t>
      </w:r>
      <w:proofErr w:type="gramEnd"/>
      <w:r>
        <w:t xml:space="preserve"> requiring admission to the ICU and &gt;6 l/min supplementary oxygen to maintain </w:t>
      </w:r>
      <w:proofErr w:type="spellStart"/>
      <w:r>
        <w:t>SpO</w:t>
      </w:r>
      <w:r>
        <w:rPr>
          <w:vertAlign w:val="subscript"/>
        </w:rPr>
        <w:t>2</w:t>
      </w:r>
      <w:proofErr w:type="spellEnd"/>
      <w:r>
        <w:t xml:space="preserve"> &gt;92%, or (5) infection requiring invasive mechanical ventilation or extracorporeal membrane oxygenation (ECMO) in addition to glucocorticoid or vasopressor administration. Clinical score 6 was assigned for deceased patients. For all patients, days from symptom onset were estimated as follows: (1) highest priority was given to explicit onset dates provided by patients; (2) next highest priority was given to the earliest reported symptom by a patient; and (3) in the absence of direct information regarding symptom onset, we estimated a date through manual assessment of the </w:t>
      </w:r>
      <w:proofErr w:type="spellStart"/>
      <w:r>
        <w:t>EHR</w:t>
      </w:r>
      <w:proofErr w:type="spellEnd"/>
      <w:r>
        <w:t xml:space="preserve"> by an independent clinician. Symptom onset and etiology were recorded through standardized interviews with patients or patient surrogates upon enrollment in our study, or alternatively through manual </w:t>
      </w:r>
      <w:proofErr w:type="spellStart"/>
      <w:r>
        <w:t>EHR</w:t>
      </w:r>
      <w:proofErr w:type="spellEnd"/>
      <w:r>
        <w:t xml:space="preserve"> review if no interview was possible. Clinical data were collected using EPIC </w:t>
      </w:r>
      <w:proofErr w:type="spellStart"/>
      <w:r>
        <w:t>EHR</w:t>
      </w:r>
      <w:proofErr w:type="spellEnd"/>
      <w:r>
        <w:t xml:space="preserve">, and de-identified and aggregated using </w:t>
      </w:r>
      <w:proofErr w:type="spellStart"/>
      <w:r>
        <w:t>REDCap</w:t>
      </w:r>
      <w:proofErr w:type="spellEnd"/>
      <w:r>
        <w:t xml:space="preserve"> 9.3.6 software. </w:t>
      </w:r>
    </w:p>
    <w:p w14:paraId="13A36346" w14:textId="77777777" w:rsidR="00F5389C" w:rsidRDefault="00F5389C" w:rsidP="00F5389C">
      <w:pPr>
        <w:widowControl w:val="0"/>
        <w:rPr>
          <w:b/>
          <w:bCs/>
        </w:rPr>
      </w:pPr>
    </w:p>
    <w:p w14:paraId="7E2431DE" w14:textId="77777777" w:rsidR="00F5389C" w:rsidRDefault="00F5389C" w:rsidP="00F5389C">
      <w:pPr>
        <w:rPr>
          <w:b/>
          <w:bCs/>
        </w:rPr>
      </w:pPr>
      <w:r>
        <w:rPr>
          <w:b/>
          <w:bCs/>
        </w:rPr>
        <w:t>METHOD DETAILS</w:t>
      </w:r>
    </w:p>
    <w:p w14:paraId="4D9A0FC1" w14:textId="77777777" w:rsidR="00F5389C" w:rsidRDefault="00F5389C" w:rsidP="00F5389C">
      <w:pPr>
        <w:widowControl w:val="0"/>
      </w:pPr>
    </w:p>
    <w:p w14:paraId="2A5B2D91" w14:textId="77777777" w:rsidR="00F5389C" w:rsidRDefault="00F5389C" w:rsidP="00F5389C">
      <w:pPr>
        <w:rPr>
          <w:i/>
        </w:rPr>
      </w:pPr>
      <w:r>
        <w:rPr>
          <w:i/>
        </w:rPr>
        <w:t>Isolation of patient plasma and PBMCs</w:t>
      </w:r>
    </w:p>
    <w:p w14:paraId="06EFCDF9" w14:textId="77777777" w:rsidR="00F5389C" w:rsidRDefault="00F5389C" w:rsidP="00F5389C">
      <w:pPr>
        <w:rPr>
          <w:b/>
        </w:rPr>
      </w:pPr>
      <w:r>
        <w:t xml:space="preserve">As reported previously and reproduced here for </w:t>
      </w:r>
      <w:proofErr w:type="spellStart"/>
      <w:r>
        <w:t>convenience</w:t>
      </w:r>
      <w:r>
        <w:fldChar w:fldCharType="begin" w:fldLock="1"/>
      </w:r>
      <w:r>
        <w:instrText>ADDIN CSL_CITATION {"citationItems":[{"id":"ITEM-1","itemData":{"DOI":"10.1038/s41586-020-2588-y","ISBN":"4158602025","ISSN":"14764687","PMID":"32717743","abstract":"Recent studies have provided insights into the pathogenesis of coronavirus disease 2019 (COVID-19)1–4. Yet, longitudinal immunological correlates of disease outcome remain unclear. Here, we serially analysed immune responses in 113 COVID-19 patients with moderate (non-ICU) and severe (ICU) disease. Immune profiling revealed an overall increase in innate cell lineages with a concomitant reduction in T cell number. We identify an association between early, elevated cytokines and worse disease outcomes. Following an early increase in cytokines, COVID-19 patients with moderate disease displayed a progressive reduction in type-1 (antiviral) and type-3 (antifungal) responses. In contrast, patients with severe disease maintained these elevated responses throughout the course of disease. Moreover, severe disease was accompanied by an increase in multiple type 2 (anti-helminths) effectors including, IL-5, IL-13, IgE and eosinophils. Unsupervised clustering analysis identified 4 immune signatures, representing (A) growth factors, (B) type-2/3 cytokines, (C) mixed type-1/2/3 cytokines, and (D) chemokines that correlated with three distinct disease trajectories of patients. The immune profile of patients who recovered with moderate disease was enriched in tissue reparative growth factor signature (A), while the profile for those with worsened disease trajectory had elevated levels of all four signatures. Thus, we identified development of a maladapted immune response profile associated with severe COVID-19 outcome and early immune signatures that correlate with divergent disease trajectories.","author":[{"dropping-particle":"","family":"Lucas","given":"Carolina","non-dropping-particle":"","parse-names":false,"suffix":""},{"dropping-particle":"","family":"Wong","given":"Patrick","non-dropping-particle":"","parse-names":false,"suffix":""},{"dropping-particle":"","family":"Klein","given":"Jon","non-dropping-particle":"","parse-names":false,"suffix":""},{"dropping-particle":"","family":"Castro","given":"Tiago B.R.","non-dropping-particle":"","parse-names":false,"suffix":""},{"dropping-particle":"","family":"Silva","given":"Julio","non-dropping-particle":"","parse-names":false,"suffix":""},{"dropping-particle":"","family":"Sundaram","given":"Maria","non-dropping-particle":"","parse-names":false,"suffix":""},{"dropping-particle":"","family":"Ellingson","given":"Mallory K.","non-dropping-particle":"","parse-names":false,"suffix":""},{"dropping-particle":"","family":"Mao","given":"Tianyang","non-dropping-particle":"","parse-names":false,"suffix":""},{"dropping-particle":"","family":"Oh","given":"Ji Eun","non-dropping-particle":"","parse-names":false,"suffix":""},{"dropping-particle":"","family":"Israelow","given":"Benjamin","non-dropping-particle":"","parse-names":false,"suffix":""},{"dropping-particle":"","family":"Takahashi","given":"Takehiro","non-dropping-particle":"","parse-names":false,"suffix":""},{"dropping-particle":"","family":"Tokuyama","given":"Maria","non-dropping-particle":"","parse-names":false,"suffix":""},{"dropping-particle":"","family":"Lu","given":"Peiwen","non-dropping-particle":"","parse-names":false,"suffix":""},{"dropping-particle":"","family":"Venkataraman","given":"Arvind","non-dropping-particle":"","parse-names":false,"suffix":""},{"dropping-particle":"","family":"Park","given":"Annsea","non-dropping-particle":"","parse-names":false,"suffix":""},{"dropping-particle":"","family":"Mohanty","given":"Subhasis","non-dropping-particle":"","parse-names":false,"suffix":""},{"dropping-particle":"","family":"Wang","given":"Haowei","non-dropping-particle":"","parse-names":false,"suffix":""},{"dropping-particle":"","family":"Wyllie","given":"Anne L.","non-dropping-particle":"","parse-names":false,"suffix":""},{"dropping-particle":"","family":"Vogels","given":"Chantal B.F.","non-dropping-particle":"","parse-names":false,"suffix":""},{"dropping-particle":"","family":"Earnest","given":"Rebecca","non-dropping-particle":"","parse-names":false,"suffix":""},{"dropping-particle":"","family":"Lapidus","given":"Sarah","non-dropping-particle":"","parse-names":false,"suffix":""},{"dropping-particle":"","family":"Ott","given":"Isabel M.","non-dropping-particle":"","parse-names":false,"suffix":""},{"dropping-particle":"","family":"Moore","given":"Adam J.","non-dropping-particle":"","parse-names":false,"suffix":""},{"dropping-particle":"","family":"Muenker","given":"M. Catherine","non-dropping-particle":"","parse-names":false,"suffix":""},{"dropping-particle":"","family":"Fournier","given":"John B.","non-dropping-particle":"","parse-names":false,"suffix":""},{"dropping-particle":"","family":"Campbell","given":"Melissa","non-dropping-particle":"","parse-names":false,"suffix":""},{"dropping-particle":"","family":"Odio","given":"Camila D.","non-dropping-particle":"","parse-names":false,"suffix":""},{"dropping-particle":"","family":"Casanovas-Massana","given":"Arnau","non-dropping-particle":"","parse-names":false,"suffix":""},{"dropping-particle":"","family":"Obaid","given":"Abeer","non-dropping-particle":"","parse-names":false,"suffix":""},{"dropping-particle":"","family":"Lu-Culligan","given":"Alice","non-dropping-particle":"","parse-names":false,"suffix":""},{"dropping-particle":"","family":"Nelson","given":"Allison","non-dropping-particle":"","parse-names":false,"suffix":""},{"dropping-particle":"","family":"Brito","given":"Anderson","non-dropping-particle":"","parse-names":false,"suffix":""},{"dropping-particle":"","family":"Nunez","given":"Angela","non-dropping-particle":"","parse-names":false,"suffix":""},{"dropping-particle":"","family":"Martin","given":"Anjelica","non-dropping-particle":"","parse-names":false,"suffix":""},{"dropping-particle":"","family":"Watkins","given":"Annie","non-dropping-particle":"","parse-names":false,"suffix":""},{"dropping-particle":"","family":"Geng","given":"Bertie","non-dropping-particle":"","parse-names":false,"suffix":""},{"dropping-particle":"","family":"Kalinich","given":"Chaney","non-dropping-particle":"","parse-names":false,"suffix":""},{"dropping-particle":"","family":"Harden","given":"Christina","non-dropping-particle":"","parse-names":false,"suffix":""},{"dropping-particle":"","family":"Todeasa","given":"Codruta","non-dropping-particle":"","parse-names":false,"suffix":""},{"dropping-particle":"","family":"Jensen","given":"Cole","non-dropping-particle":"","parse-names":false,"suffix":""},{"dropping-particle":"","family":"Kim","given":"Daniel","non-dropping-particle":"","parse-names":false,"suffix":""},{"dropping-particle":"","family":"McDonald","given":"David","non-dropping-particle":"","parse-names":false,"suffix":""},{"dropping-particle":"","family":"Shepard","given":"Denise","non-dropping-particle":"","parse-names":false,"suffix":""},{"dropping-particle":"","family":"Courchaine","given":"Edward","non-dropping-particle":"","parse-names":false,"suffix":""},{"dropping-particle":"","family":"White","given":"Elizabeth B.","non-dropping-particle":"","parse-names":false,"suffix":""},{"dropping-particle":"","family":"Song","given":"Eric","non-dropping-particle":"","parse-names":false,"suffix":""},{"dropping-particle":"","family":"Silva","given":"Erin","non-dropping-particle":"","parse-names":false,"suffix":""},{"dropping-particle":"","family":"Kudo","given":"Eriko","non-dropping-particle":"","parse-names":false,"suffix":""},{"dropping-particle":"","family":"DeIuliis","given":"Giuseppe","non-dropping-particle":"","parse-names":false,"suffix":""},{"dropping-particle":"","family":"Rahming","given":"Harold","non-dropping-particle":"","parse-names":false,"suffix":""},{"dropping-particle":"","family":"Park","given":"Hong Jai","non-dropping-particle":"","parse-names":false,"suffix":""},{"dropping-particle":"","family":"Matos","given":"Irene","non-dropping-particle":"","parse-names":false,"suffix":""},{"dropping-particle":"","family":"Nouws","given":"Jessica","non-dropping-particle":"","parse-names":false,"suffix":""},{"dropping-particle":"","family":"Valdez","given":"Jordan","non-dropping-particle":"","parse-names":false,"suffix":""},{"dropping-particle":"","family":"Fauver","given":"Joseph","non-dropping-particle":"","parse-names":false,"suffix":""},{"dropping-particle":"","family":"Lim","given":"Joseph","non-dropping-particle":"","parse-names":false,"suffix":""},{"dropping-particle":"","family":"Rose","given":"Kadi Ann","non-dropping-particle":"","parse-names":false,"suffix":""},{"dropping-particle":"","family":"Anastasio","given":"Kelly","non-dropping-particle":"","parse-names":false,"suffix":""},{"dropping-particle":"","family":"Brower","given":"Kristina","non-dropping-particle":"","parse-names":false,"suffix":""},{"dropping-particle":"","family":"Glick","given":"Laura","non-dropping-particle":"","parse-names":false,"suffix":""},{"dropping-particle":"","family":"Sharma","given":"Lokesh","non-dropping-particle":"","parse-names":false,"suffix":""},{"dropping-particle":"","family":"Sewanan","given":"Lorenzo","non-dropping-particle":"","parse-names":false,"suffix":""},{"dropping-particle":"","family":"Knaggs","given":"Lynda","non-dropping-particle":"","parse-names":false,"suffix":""},{"dropping-particle":"","family":"Minasyan","given":"Maksym","non-dropping-particle":"","parse-names":false,"suffix":""},{"dropping-particle":"","family":"Batsu","given":"Maria","non-dropping-particle":"","parse-names":false,"suffix":""},{"dropping-particle":"","family":"Petrone","given":"Mary","non-dropping-particle":"","parse-names":false,"suffix":""},{"dropping-particle":"","family":"Kuang","given":"Maxine","non-dropping-particle":"","parse-names":false,"suffix":""},{"dropping-particle":"","family":"Nakahata","given":"Maura","non-dropping-particle":"","parse-names":false,"suffix":""},{"dropping-particle":"","family":"Campbell","given":"Melissa","non-dropping-particle":"","parse-names":false,"suffix":""},{"dropping-particle":"","family":"Linehan","given":"Melissa","non-dropping-particle":"","parse-names":false,"suffix":""},{"dropping-particle":"","family":"Askenase","given":"Michael H.","non-dropping-particle":"","parse-names":false,"suffix":""},{"dropping-particle":"","family":"Simonov","given":"Michael","non-dropping-particle":"","parse-names":false,"suffix":""},{"dropping-particle":"","family":"Smolgovsky","given":"Mikhail","non-dropping-particle":"","parse-names":false,"suffix":""},{"dropping-particle":"","family":"Sonnert","given":"Nicole","non-dropping-particle":"","parse-names":false,"suffix":""},{"dropping-particle":"","family":"Naushad","given":"Nida","non-dropping-particle":"","parse-names":false,"suffix":""},{"dropping-particle":"","family":"Vijayakumar","given":"Pavithra","non-dropping-particle":"","parse-names":false,"suffix":""},{"dropping-particle":"","family":"Martinello","given":"Rick","non-dropping-particle":"","parse-names":false,"suffix":""},{"dropping-particle":"","family":"Datta","given":"Rupak","non-dropping-particle":"","parse-names":false,"suffix":""},{"dropping-particle":"","family":"Handoko","given":"Ryan","non-dropping-particle":"","parse-names":false,"suffix":""},{"dropping-particle":"","family":"Bermejo","given":"Santos","non-dropping-particle":"","parse-names":false,"suffix":""},{"dropping-particle":"","family":"Prophet","given":"Sarah","non-dropping-particle":"","parse-names":false,"suffix":""},{"dropping-particle":"","family":"Bickerton","given":"Sean","non-dropping-particle":"","parse-names":false,"suffix":""},{"dropping-particle":"","family":"Velazquez","given":"Sofia","non-dropping-particle":"","parse-names":false,"suffix":""},{"dropping-particle":"","family":"Alpert","given":"Tara","non-dropping-particle":"","parse-names":false,"suffix":""},{"dropping-particle":"","family":"Rice","given":"Tyler","non-dropping-particle":"","parse-names":false,"suffix":""},{"dropping-particle":"","family":"Khoury-Hanold","given":"William","non-dropping-particle":"","parse-names":false,"suffix":""},{"dropping-particle":"","family":"Peng","given":"Xiaohua","non-dropping-particle":"","parse-names":false,"suffix":""},{"dropping-particle":"","family":"Yang","given":"Yexin","non-dropping-particle":"","parse-names":false,"suffix":""},{"dropping-particle":"","family":"Cao","given":"Yiyun","non-dropping-particle":"","parse-names":false,"suffix":""},{"dropping-particle":"","family":"Strong","given":"Yvette","non-dropping-particle":"","parse-names":false,"suffix":""},{"dropping-particle":"","family":"Herbst","given":"Roy","non-dropping-particle":"","parse-names":false,"suffix":""},{"dropping-particle":"","family":"Shaw","given":"Albert C.","non-dropping-particle":"","parse-names":false,"suffix":""},{"dropping-particle":"","family":"Medzhitov","given":"Ruslan","non-dropping-particle":"","parse-names":false,"suffix":""},{"dropping-particle":"","family":"Schulz","given":"Wade L.","non-dropping-particle":"","parse-names":false,"suffix":""},{"dropping-particle":"","family":"Grubaugh","given":"Nathan D.","non-dropping-particle":"","parse-names":false,"suffix":""},{"dropping-particle":"","family":"Cruz","given":"Charles","non-dropping-particle":"Dela","parse-names":false,"suffix":""},{"dropping-particle":"","family":"Farhadian","given":"Shelli","non-dropping-particle":"","parse-names":false,"suffix":""},{"dropping-particle":"","family":"Ko","given":"Albert I.","non-dropping-particle":"","parse-names":false,"suffix":""},{"dropping-particle":"","family":"Omer","given":"Saad B.","non-dropping-particle":"","parse-names":false,"suffix":""},{"dropping-particle":"","family":"Iwasaki","given":"Akiko","non-dropping-particle":"","parse-names":false,"suffix":""}],"container-title":"Nature","id":"ITEM-1","issue":"June","issued":{"date-parts":[["2020"]]},"title":"Longitudinal analyses reveal immunological misfiring in severe COVID-19","type":"article-journal","volume":"584"},"uris":["http://www.mendeley.com/documents/?uuid=6b35c15c-2430-4671-bb93-427ed897744e"]},{"id":"ITEM-2","itemData":{"DOI":"10.1038/s41586-020-2700-3","ISBN":"4158602027003","ISSN":"14764687","PMID":"32846427","abstract":"There is increasing evidence that coronavirus disease 2019 (COVID-19) produces more severe symptoms and higher mortality among men than among women1–5. However, whether immune responses against severe acute respiratory syndrome coronavirus (SARS-CoV-2) differ between sexes, and whether such differences correlate with the sex difference in the disease course of COVID-19, is currently unknown. Here we examined sex differences in viral loads, SARS-CoV-2-specific antibody titres, plasma cytokines and blood-cell phenotyping in patients with moderate COVID-19 who had not received immunomodulatory medications. Male patients had higher plasma levels of innate immune cytokines such as IL-8 and IL-18 along with more robust induction of non-classical monocytes. By contrast, female patients had more robust T cell activation than male patients during SARS-CoV-2 infection. Notably, we found that a poor T cell response negatively correlated with patients’ age and was associated with worse disease outcome in male patients, but not in female patients. By contrast, higher levels of innate immune cytokines were associated with worse disease progression in female patients, but not in male patients. These findings provide a possible explanation for the observed sex biases in COVID-19, and provide an important basis for the development of a sex-based approach to the treatment and care of male and female patients with COVID-19.","author":[{"dropping-particle":"","family":"Takahashi","given":"Takehiro","non-dropping-particle":"","parse-names":false,"suffix":""},{"dropping-particle":"","family":"Ellingson","given":"Mallory K.","non-dropping-particle":"","parse-names":false,"suffix":""},{"dropping-particle":"","family":"Wong","given":"Patrick","non-dropping-particle":"","parse-names":false,"suffix":""},{"dropping-particle":"","family":"Israelow","given":"Benjamin","non-dropping-particle":"","parse-names":false,"suffix":""},{"dropping-particle":"","family":"Lucas","given":"Carolina","non-dropping-particle":"","parse-names":false,"suffix":""},{"dropping-particle":"","family":"Klein","given":"Jon","non-dropping-particle":"","parse-names":false,"suffix":""},{"dropping-particle":"","family":"Silva","given":"Julio","non-dropping-particle":"","parse-names":false,"suffix":""},{"dropping-particle":"","family":"Mao","given":"Tianyang","non-dropping-particle":"","parse-names":false,"suffix":""},{"dropping-particle":"","family":"Oh","given":"Ji Eun","non-dropping-particle":"","parse-names":false,"suffix":""},{"dropping-particle":"","family":"Tokuyama","given":"Maria","non-dropping-particle":"","parse-names":false,"suffix":""},{"dropping-particle":"","family":"Lu","given":"Peiwen","non-dropping-particle":"","parse-names":false,"suffix":""},{"dropping-particle":"","family":"Venkataraman","given":"Arvind","non-dropping-particle":"","parse-names":false,"suffix":""},{"dropping-particle":"","family":"Park","given":"Annsea","non-dropping-particle":"","parse-names":false,"suffix":""},{"dropping-particle":"","family":"Liu","given":"Feimei","non-dropping-particle":"","parse-names":false,"suffix":""},{"dropping-particle":"","family":"Meir","given":"Amit","non-dropping-particle":"","parse-names":false,"suffix":""},{"dropping-particle":"","family":"Sun","given":"Jonathan","non-dropping-particle":"","parse-names":false,"suffix":""},{"dropping-particle":"","family":"Wang","given":"Eric Y.","non-dropping-particle":"","parse-names":false,"suffix":""},{"dropping-particle":"","family":"Casanovas-Massana","given":"Arnau","non-dropping-particle":"","parse-names":false,"suffix":""},{"dropping-particle":"","family":"Wyllie","given":"Anne L.","non-dropping-particle":"","parse-names":false,"suffix":""},{"dropping-particle":"","family":"Vogels","given":"Chantal B.F.","non-dropping-particle":"","parse-names":false,"suffix":""},{"dropping-particle":"","family":"Earnest","given":"Rebecca","non-dropping-particle":"","parse-names":false,"suffix":""},{"dropping-particle":"","family":"Lapidus","given":"Sarah","non-dropping-particle":"","parse-names":false,"suffix":""},{"dropping-particle":"","family":"Ott","given":"Isabel M.","non-dropping-particle":"","parse-names":false,"suffix":""},{"dropping-particle":"","family":"Moore","given":"Adam J.","non-dropping-particle":"","parse-names":false,"suffix":""},{"dropping-particle":"","family":"Anastasio","given":"Kelly","non-dropping-particle":"","parse-names":false,"suffix":""},{"dropping-particle":"","family":"Askenase","given":"Michael H.","non-dropping-particle":"","parse-names":false,"suffix":""},{"dropping-particle":"","family":"Batsu","given":"Maria","non-dropping-particle":"","parse-names":false,"suffix":""},{"dropping-particle":"","family":"Beatty","given":"Hannah","non-dropping-particle":"","parse-names":false,"suffix":""},{"dropping-particle":"","family":"Bermejo","given":"Santos","non-dropping-particle":"","parse-names":false,"suffix":""},{"dropping-particle":"","family":"Bickerton","given":"Sean","non-dropping-particle":"","parse-names":false,"suffix":""},{"dropping-particle":"","family":"Brower","given":"Kristina","non-dropping-particle":"","parse-names":false,"suffix":""},{"dropping-particle":"","family":"Bucklin","given":"Molly L.","non-dropping-particle":"","parse-names":false,"suffix":""},{"dropping-particle":"","family":"Cahill","given":"Staci","non-dropping-particle":"","parse-names":false,"suffix":""},{"dropping-particle":"","family":"Campbell","given":"Melissa","non-dropping-particle":"","parse-names":false,"suffix":""},{"dropping-particle":"","family":"Cao","given":"Yiyun","non-dropping-particle":"","parse-names":false,"suffix":""},{"dropping-particle":"","family":"Courchaine","given":"Edward","non-dropping-particle":"","parse-names":false,"suffix":""},{"dropping-particle":"","family":"Datta","given":"Rupak","non-dropping-particle":"","parse-names":false,"suffix":""},{"dropping-particle":"","family":"DeIuliis","given":"Giuseppe","non-dropping-particle":"","parse-names":false,"suffix":""},{"dropping-particle":"","family":"Geng","given":"Bertie","non-dropping-particle":"","parse-names":false,"suffix":""},{"dropping-particle":"","family":"Glick","given":"Laura","non-dropping-particle":"","parse-names":false,"suffix":""},{"dropping-particle":"","family":"Handoko","given":"Ryan","non-dropping-particle":"","parse-names":false,"suffix":""},{"dropping-particle":"","family":"Kalinich","given":"Chaney","non-dropping-particle":"","parse-names":false,"suffix":""},{"dropping-particle":"","family":"Khoury-Hanold","given":"William","non-dropping-particle":"","parse-names":false,"suffix":""},{"dropping-particle":"","family":"Kim","given":"Daniel","non-dropping-particle":"","parse-names":false,"suffix":""},{"dropping-particle":"","family":"Knaggs","given":"Lynda","non-dropping-particle":"","parse-names":false,"suffix":""},{"dropping-particle":"","family":"Kuang","given":"Maxine","non-dropping-particle":"","parse-names":false,"suffix":""},{"dropping-particle":"","family":"Kudo","given":"Eriko","non-dropping-particle":"","parse-names":false,"suffix":""},{"dropping-particle":"","family":"Lim","given":"Joseph","non-dropping-particle":"","parse-names":false,"suffix":""},{"dropping-particle":"","family":"Linehan","given":"Melissa","non-dropping-particle":"","parse-names":false,"suffix":""},{"dropping-particle":"","family":"Lu-Culligan","given":"Alice","non-dropping-particle":"","parse-names":false,"suffix":""},{"dropping-particle":"","family":"Malik","given":"Amyn A.","non-dropping-particle":"","parse-names":false,"suffix":""},{"dropping-particle":"","family":"Martin","given":"Anjelica","non-dropping-particle":"","parse-names":false,"suffix":""},{"dropping-particle":"","family":"Matos","given":"Irene","non-dropping-particle":"","parse-names":false,"suffix":""},{"dropping-particle":"","family":"McDonald","given":"David","non-dropping-particle":"","parse-names":false,"suffix":""},{"dropping-particle":"","family":"Minasyan","given":"Maksym","non-dropping-particle":"","parse-names":false,"suffix":""},{"dropping-particle":"","family":"Mohanty","given":"Subhasis","non-dropping-particle":"","parse-names":false,"suffix":""},{"dropping-particle":"","family":"Muenker","given":"M. Catherine","non-dropping-particle":"","parse-names":false,"suffix":""},{"dropping-particle":"","family":"Naushad","given":"Nida","non-dropping-particle":"","parse-names":false,"suffix":""},{"dropping-particle":"","family":"Nelson","given":"Allison","non-dropping-particle":"","parse-names":false,"suffix":""},{"dropping-particle":"","family":"Nouws","given":"Jessica","non-dropping-particle":"","parse-names":false,"suffix":""},{"dropping-particle":"","family":"Nunez-Smith","given":"Marcella","non-dropping-particle":"","parse-names":false,"suffix":""},{"dropping-particle":"","family":"Obaid","given":"Abeer","non-dropping-particle":"","parse-names":false,"suffix":""},{"dropping-particle":"","family":"Ott","given":"Isabel","non-dropping-particle":"","parse-names":false,"suffix":""},{"dropping-particle":"","family":"Park","given":"Hong Jai","non-dropping-particle":"","parse-names":false,"suffix":""},{"dropping-particle":"","family":"Peng","given":"Xiaohua","non-dropping-particle":"","parse-names":false,"suffix":""},{"dropping-particle":"","family":"Petrone","given":"Mary","non-dropping-particle":"","parse-names":false,"suffix":""},{"dropping-particle":"","family":"Prophet","given":"Sarah","non-dropping-particle":"","parse-names":false,"suffix":""},{"dropping-particle":"","family":"Rahming","given":"Harold","non-dropping-particle":"","parse-names":false,"suffix":""},{"dropping-particle":"","family":"Rice","given":"Tyler","non-dropping-particle":"","parse-names":false,"suffix":""},{"dropping-particle":"","family":"Rose","given":"Kadi Ann","non-dropping-particle":"","parse-names":false,"suffix":""},{"dropping-particle":"","family":"Sewanan","given":"Lorenzo","non-dropping-particle":"","parse-names":false,"suffix":""},{"dropping-particle":"","family":"Sharma","given":"Lokesh","non-dropping-particle":"","parse-names":false,"suffix":""},{"dropping-particle":"","family":"Shepard","given":"Denise","non-dropping-particle":"","parse-names":false,"suffix":""},{"dropping-particle":"","family":"Silva","given":"Erin","non-dropping-particle":"","parse-names":false,"suffix":""},{"dropping-particle":"","family":"Simonov","given":"Michael","non-dropping-particle":"","parse-names":false,"suffix":""},{"dropping-particle":"","family":"Smolgovsky","given":"Mikhail","non-dropping-particle":"","parse-names":false,"suffix":""},{"dropping-particle":"","family":"Song","given":"Eric","non-dropping-particle":"","parse-names":false,"suffix":""},{"dropping-particle":"","family":"Sonnert","given":"Nicole","non-dropping-particle":"","parse-names":false,"suffix":""},{"dropping-particle":"","family":"Strong","given":"Yvette","non-dropping-particle":"","parse-names":false,"suffix":""},{"dropping-particle":"","family":"Todeasa","given":"Codruta","non-dropping-particle":"","parse-names":false,"suffix":""},{"dropping-particle":"","family":"Valdez","given":"Jordan","non-dropping-particle":"","parse-names":false,"suffix":""},{"dropping-particle":"","family":"Velazquez","given":"Sofia","non-dropping-particle":"","parse-names":false,"suffix":""},{"dropping-particle":"","family":"Vijayakumar","given":"Pavithra","non-dropping-particle":"","parse-names":false,"suffix":""},{"dropping-particle":"","family":"Wang","given":"Haowei","non-dropping-particle":"","parse-names":false,"suffix":""},{"dropping-particle":"","family":"Watkins","given":"Annie","non-dropping-particle":"","parse-names":false,"suffix":""},{"dropping-particle":"","family":"White","given":"Elizabeth B.","non-dropping-particle":"","parse-names":false,"suffix":""},{"dropping-particle":"","family":"Yang","given":"Yexin","non-dropping-particle":"","parse-names":false,"suffix":""},{"dropping-particle":"","family":"Shaw","given":"Albert","non-dropping-particle":"","parse-names":false,"suffix":""},{"dropping-particle":"","family":"Fournier","given":"John B.","non-dropping-particle":"","parse-names":false,"suffix":""},{"dropping-particle":"","family":"Odio","given":"Camila D.","non-dropping-particle":"","parse-names":false,"suffix":""},{"dropping-particle":"","family":"Farhadian","given":"Shelli","non-dropping-particle":"","parse-names":false,"suffix":""},{"dropping-particle":"","family":"Cruz","given":"Charles","non-dropping-particle":"Dela","parse-names":false,"suffix":""},{"dropping-particle":"","family":"Grubaugh","given":"Nathan D.","non-dropping-particle":"","parse-names":false,"suffix":""},{"dropping-particle":"","family":"Schulz","given":"Wade L.","non-dropping-particle":"","parse-names":false,"suffix":""},{"dropping-particle":"","family":"Ring","given":"Aaron M.","non-dropping-particle":"","parse-names":false,"suffix":""},{"dropping-particle":"","family":"Ko","given":"Albert I.","non-dropping-particle":"","parse-names":false,"suffix":""},{"dropping-particle":"","family":"Omer","given":"Saad B.","non-dropping-particle":"","parse-names":false,"suffix":""},{"dropping-particle":"","family":"Iwasaki","given":"Akiko","non-dropping-particle":"","parse-names":false,"suffix":""}],"container-title":"Nature","id":"ITEM-2","issue":"7837","issued":{"date-parts":[["2020"]]},"page":"315-320","title":"Sex differences in immune responses that underlie COVID-19 disease outcomes","type":"article-journal","volume":"588"},"uris":["http://www.mendeley.com/documents/?uuid=c51cde27-4897-47d7-a060-321a019ddea1"]}],"mendeley":{"formattedCitation":"&lt;sup&gt;52,53&lt;/sup&gt;","plainTextFormattedCitation":"52,53","previouslyFormattedCitation":"&lt;sup&gt;52,53&lt;/sup&gt;"},"properties":{"noteIndex":0},"schema":"https://github.com/citation-style-language/schema/raw/master/csl-citation.json"}</w:instrText>
      </w:r>
      <w:r>
        <w:fldChar w:fldCharType="separate"/>
      </w:r>
      <w:r>
        <w:rPr>
          <w:noProof/>
          <w:vertAlign w:val="superscript"/>
        </w:rPr>
        <w:t>52,53</w:t>
      </w:r>
      <w:proofErr w:type="spellEnd"/>
      <w:r>
        <w:fldChar w:fldCharType="end"/>
      </w:r>
      <w:r>
        <w:t xml:space="preserve">, patient whole blood was collected in sodium heparin-coated vacutainers and kept gently agitating at room temperature until sample pick-up by IMPACT team members. All blood was processed on the day of collection. Plasma samples were collected after centrifugation of whole blood at </w:t>
      </w:r>
      <w:proofErr w:type="spellStart"/>
      <w:r>
        <w:t>400</w:t>
      </w:r>
      <w:r>
        <w:rPr>
          <w:i/>
        </w:rPr>
        <w:t>g</w:t>
      </w:r>
      <w:proofErr w:type="spellEnd"/>
      <w:r>
        <w:rPr>
          <w:rFonts w:eastAsia="Arial Unicode MS"/>
        </w:rPr>
        <w:t xml:space="preserve"> for 10 minutes at room temperature (RT) without brake. The undiluted serum was then transferred to 15-ml polypropylene conical tubes, and aliquoted and stored at −80 °C for subsequent analysis. PBMCs were isolated using </w:t>
      </w:r>
      <w:proofErr w:type="spellStart"/>
      <w:r>
        <w:rPr>
          <w:rFonts w:eastAsia="Arial Unicode MS"/>
        </w:rPr>
        <w:t>Histopaque</w:t>
      </w:r>
      <w:proofErr w:type="spellEnd"/>
      <w:r>
        <w:rPr>
          <w:rFonts w:eastAsia="Arial Unicode MS"/>
        </w:rPr>
        <w:t xml:space="preserve"> (Sigma-Aldrich, #10771-500ML) density gradient centrifugation in a biosafety level 2+ facility. After isolation of undiluted serum, blood was diluted 1:1 in room temperature PBS, layered over </w:t>
      </w:r>
      <w:proofErr w:type="spellStart"/>
      <w:r>
        <w:rPr>
          <w:rFonts w:eastAsia="Arial Unicode MS"/>
        </w:rPr>
        <w:t>Histopaque</w:t>
      </w:r>
      <w:proofErr w:type="spellEnd"/>
      <w:r>
        <w:rPr>
          <w:rFonts w:eastAsia="Arial Unicode MS"/>
        </w:rPr>
        <w:t xml:space="preserve"> in a </w:t>
      </w:r>
      <w:proofErr w:type="spellStart"/>
      <w:r>
        <w:rPr>
          <w:rFonts w:eastAsia="Arial Unicode MS"/>
        </w:rPr>
        <w:t>SepMate</w:t>
      </w:r>
      <w:proofErr w:type="spellEnd"/>
      <w:r>
        <w:rPr>
          <w:rFonts w:eastAsia="Arial Unicode MS"/>
        </w:rPr>
        <w:t xml:space="preserve"> tube (</w:t>
      </w:r>
      <w:proofErr w:type="spellStart"/>
      <w:r>
        <w:rPr>
          <w:rFonts w:eastAsia="Arial Unicode MS"/>
        </w:rPr>
        <w:t>StemCell</w:t>
      </w:r>
      <w:proofErr w:type="spellEnd"/>
      <w:r>
        <w:rPr>
          <w:rFonts w:eastAsia="Arial Unicode MS"/>
        </w:rPr>
        <w:t xml:space="preserve"> Technologies; #85460) and centrifuged for 10 minutes at </w:t>
      </w:r>
      <w:proofErr w:type="spellStart"/>
      <w:r>
        <w:rPr>
          <w:rFonts w:eastAsia="Arial Unicode MS"/>
        </w:rPr>
        <w:t>1,200</w:t>
      </w:r>
      <w:r>
        <w:rPr>
          <w:i/>
        </w:rPr>
        <w:t>g</w:t>
      </w:r>
      <w:proofErr w:type="spellEnd"/>
      <w:r>
        <w:t>. The PBMC layer was isolated according to the manufacturer’s instructions. Cells were washed twice with PBS before counting. Pelleted cells were briefly treated with an ACK lysis buffer for 2 minutes and then counted. Percentage viability was estimated using standard Trypan blue staining and an automated cell counter (Thermo-Fisher, #AMQAX1000).</w:t>
      </w:r>
    </w:p>
    <w:p w14:paraId="38BD8912" w14:textId="77777777" w:rsidR="00F5389C" w:rsidRDefault="00F5389C" w:rsidP="00F5389C">
      <w:pPr>
        <w:rPr>
          <w:i/>
        </w:rPr>
      </w:pPr>
    </w:p>
    <w:p w14:paraId="5A40598B" w14:textId="77777777" w:rsidR="00F5389C" w:rsidRDefault="00F5389C" w:rsidP="00F5389C">
      <w:pPr>
        <w:rPr>
          <w:i/>
        </w:rPr>
      </w:pPr>
      <w:r>
        <w:rPr>
          <w:i/>
        </w:rPr>
        <w:t>SARS-CoV-2 RT-qPCR detection and sequencing</w:t>
      </w:r>
    </w:p>
    <w:p w14:paraId="71B819D0" w14:textId="77777777" w:rsidR="00F5389C" w:rsidRDefault="00F5389C" w:rsidP="00F5389C">
      <w:pPr>
        <w:rPr>
          <w:b/>
          <w:bCs/>
          <w:color w:val="FF0000"/>
        </w:rPr>
      </w:pPr>
      <w:r>
        <w:t xml:space="preserve">Total nucleic acid was extracted from nasopharyngeal swabs and saliva specimens with the </w:t>
      </w:r>
      <w:proofErr w:type="spellStart"/>
      <w:r>
        <w:t>MagMAX</w:t>
      </w:r>
      <w:proofErr w:type="spellEnd"/>
      <w:r>
        <w:t xml:space="preserve"> Viral/Pathogen Nucleic Acid Isolation </w:t>
      </w:r>
      <w:proofErr w:type="spellStart"/>
      <w:r>
        <w:t>kit</w:t>
      </w:r>
      <w:r>
        <w:fldChar w:fldCharType="begin" w:fldLock="1"/>
      </w:r>
      <w:r>
        <w:instrText>ADDIN CSL_CITATION {"citationItems":[{"id":"ITEM-1","itemData":{"DOI":"10.1056/NEJMc2016359","ISSN":"0028-4793","author":[{"dropping-particle":"","family":"Wyllie","given":"Anne L.","non-dropping-particle":"","parse-names":false,"suffix":""},{"dropping-particle":"","family":"Fournier","given":"John","non-dropping-particle":"","parse-names":false,"suffix":""},{"dropping-particle":"","family":"Casanovas-Massana","given":"Arnau","non-dropping-particle":"","parse-names":false,"suffix":""},{"dropping-particle":"","family":"Campbell","given":"Melissa","non-dropping-particle":"","parse-names":false,"suffix":""},{"dropping-particle":"","family":"Tokuyama","given":"Maria","non-dropping-particle":"","parse-names":false,"suffix":""},{"dropping-particle":"","family":"Vijayakumar","given":"Pavithra","non-dropping-particle":"","parse-names":false,"suffix":""},{"dropping-particle":"","family":"Warren","given":"Joshua L.","non-dropping-particle":"","parse-names":false,"suffix":""},{"dropping-particle":"","family":"Geng","given":"Bertie","non-dropping-particle":"","parse-names":false,"suffix":""},{"dropping-particle":"","family":"Muenker","given":"M. Catherine","non-dropping-particle":"","parse-names":false,"suffix":""},{"dropping-particle":"","family":"Moore","given":"Adam J.","non-dropping-particle":"","parse-names":false,"suffix":""},{"dropping-particle":"","family":"Vogels","given":"Chantal B.F.","non-dropping-particle":"","parse-names":false,"suffix":""},{"dropping-particle":"","family":"Petrone","given":"Mary E.","non-dropping-particle":"","parse-names":false,"suffix":""},{"dropping-particle":"","family":"Ott","given":"Isabel M.","non-dropping-particle":"","parse-names":false,"suffix":""},{"dropping-particle":"","family":"Lu","given":"Peiwen","non-dropping-particle":"","parse-names":false,"suffix":""},{"dropping-particle":"","family":"Venkataraman","given":"Arvind","non-dropping-particle":"","parse-names":false,"suffix":""},{"dropping-particle":"","family":"Lu-Culligan","given":"Alice","non-dropping-particle":"","parse-names":false,"suffix":""},{"dropping-particle":"","family":"Klein","given":"Jonathan","non-dropping-particle":"","parse-names":false,"suffix":""},{"dropping-particle":"","family":"Earnest","given":"Rebecca","non-dropping-particle":"","parse-names":false,"suffix":""},{"dropping-particle":"","family":"Simonov","given":"Michael","non-dropping-particle":"","parse-names":false,"suffix":""},{"dropping-particle":"","family":"Datta","given":"Rupak","non-dropping-particle":"","parse-names":false,"suffix":""},{"dropping-particle":"","family":"Handoko","given":"Ryan","non-dropping-particle":"","parse-names":false,"suffix":""},{"dropping-particle":"","family":"Naushad","given":"Nida","non-dropping-particle":"","parse-names":false,"suffix":""},{"dropping-particle":"","family":"Sewanan","given":"Lorenzo R.","non-dropping-particle":"","parse-names":false,"suffix":""},{"dropping-particle":"","family":"Valdez","given":"Jordan","non-dropping-particle":"","parse-names":false,"suffix":""},{"dropping-particle":"","family":"White","given":"Elizabeth B.","non-dropping-particle":"","parse-names":false,"suffix":""},{"dropping-particle":"","family":"Lapidus","given":"Sarah","non-dropping-particle":"","parse-names":false,"suffix":""},{"dropping-particle":"","family":"Kalinich","given":"Chaney C.","non-dropping-particle":"","parse-names":false,"suffix":""},{"dropping-particle":"","family":"Jiang","given":"Xiaodong","non-dropping-particle":"","parse-names":false,"suffix":""},{"dropping-particle":"","family":"Kim","given":"Daniel J.","non-dropping-particle":"","parse-names":false,"suffix":""},{"dropping-particle":"","family":"Kudo","given":"Eriko","non-dropping-particle":"","parse-names":false,"suffix":""},{"dropping-particle":"","family":"Linehan","given":"Melissa","non-dropping-particle":"","parse-names":false,"suffix":""},{"dropping-particle":"","family":"Mao","given":"Tianyang","non-dropping-particle":"","parse-names":false,"suffix":""},{"dropping-particle":"","family":"Moriyama","given":"Miyu","non-dropping-particle":"","parse-names":false,"suffix":""},{"dropping-particle":"","family":"Oh","given":"Ji E.","non-dropping-particle":"","parse-names":false,"suffix":""},{"dropping-particle":"","family":"Park","given":"Annsea","non-dropping-particle":"","parse-names":false,"suffix":""},{"dropping-particle":"","family":"Silva","given":"Julio","non-dropping-particle":"","parse-names":false,"suffix":""},{"dropping-particle":"","family":"Song","given":"Eric","non-dropping-particle":"","parse-names":false,"suffix":""},{"dropping-particle":"","family":"Takahashi","given":"Takehiro","non-dropping-particle":"","parse-names":false,"suffix":""},{"dropping-particle":"","family":"Taura","given":"Manabu","non-dropping-particle":"","parse-names":false,"suffix":""},{"dropping-particle":"","family":"Weizman","given":"Orr-El","non-dropping-particle":"","parse-names":false,"suffix":""},{"dropping-particle":"","family":"Wong","given":"Patrick","non-dropping-particle":"","parse-names":false,"suffix":""},{"dropping-particle":"","family":"Yang","given":"Yexin","non-dropping-particle":"","parse-names":false,"suffix":""},{"dropping-particle":"","family":"Bermejo","given":"Santos","non-dropping-particle":"","parse-names":false,"suffix":""},{"dropping-particle":"","family":"Odio","given":"Camila D.","non-dropping-particle":"","parse-names":false,"suffix":""},{"dropping-particle":"","family":"Omer","given":"Saad B.","non-dropping-particle":"","parse-names":false,"suffix":""},{"dropping-particle":"","family":"Cruz","given":"Charles S.","non-dropping-particle":"Dela","parse-names":false,"suffix":""},{"dropping-particle":"","family":"Farhadian","given":"Shelli","non-dropping-particle":"","parse-names":false,"suffix":""},{"dropping-particle":"","family":"Martinello","given":"Richard A.","non-dropping-particle":"","parse-names":false,"suffix":""},{"dropping-particle":"","family":"Iwasaki","given":"Akiko","non-dropping-particle":"","parse-names":false,"suffix":""},{"dropping-particle":"","family":"Grubaugh","given":"Nathan D.","non-dropping-particle":"","parse-names":false,"suffix":""},{"dropping-particle":"","family":"Ko","given":"Albert I.","non-dropping-particle":"","parse-names":false,"suffix":""}],"container-title":"New England Journal of Medicine","id":"ITEM-1","issue":"13","issued":{"date-parts":[["2020","9","24"]]},"page":"1283-1286","title":"Saliva or Nasopharyngeal Swab Specimens for Detection of SARS-CoV-2","type":"article-journal","volume":"383"},"uris":["http://www.mendeley.com/documents/?uuid=8263dca8-0267-4a6f-8cd1-ada0844a91c6"]}],"mendeley":{"formattedCitation":"&lt;sup&gt;54&lt;/sup&gt;","plainTextFormattedCitation":"54","previouslyFormattedCitation":"&lt;sup&gt;54&lt;/sup&gt;"},"properties":{"noteIndex":0},"schema":"https://github.com/citation-style-language/schema/raw/master/csl-citation.json"}</w:instrText>
      </w:r>
      <w:r>
        <w:fldChar w:fldCharType="separate"/>
      </w:r>
      <w:r>
        <w:rPr>
          <w:noProof/>
          <w:vertAlign w:val="superscript"/>
        </w:rPr>
        <w:t>54</w:t>
      </w:r>
      <w:proofErr w:type="spellEnd"/>
      <w:r>
        <w:fldChar w:fldCharType="end"/>
      </w:r>
      <w:r>
        <w:t xml:space="preserve">. We used the modified CDC RT-qPCR assay to detect SARS-CoV-2 in the extracted nucleic </w:t>
      </w:r>
      <w:proofErr w:type="spellStart"/>
      <w:r>
        <w:t>acid</w:t>
      </w:r>
      <w:r>
        <w:fldChar w:fldCharType="begin" w:fldLock="1"/>
      </w:r>
      <w:r>
        <w:instrText>ADDIN CSL_CITATION {"citationItems":[{"id":"ITEM-1","itemData":{"DOI":"10.1038/s41564-020-0761-6","ISSN":"20585276","PMID":"32651556","abstract":"The recent spread of severe acute respiratory syndrome coronavirus 2 (SARS-CoV-2) exemplifies the critical need for accurate and rapid diagnostic assays to prompt clinical and public health interventions. Currently, several quantitative reverse transcription–PCR (RT–qPCR) assays are being used by clinical, research and public health laboratories. However, it is currently unclear whether results from different tests are comparable. Our goal was to make independent evaluations of primer–probe sets used in four common SARS-CoV-2 diagnostic assays. From our comparisons of RT–qPCR analytical efficiency and sensitivity, we show that all primer–probe sets can be used to detect SARS-CoV-2 at 500 viral RNA copies per reaction. The exception for this is the RdRp-SARSr (Charité) confirmatory primer–probe set which has low sensitivity, probably due to a mismatch to circulating SARS-CoV-2 in the reverse primer. We did not find evidence for background amplification with pre-COVID-19 samples or recent SARS-CoV-2 evolution decreasing sensitivity. Our recommendation for SARS-CoV-2 diagnostic testing is to select an assay with high sensitivity and that is regionally used, to ease comparability between outcomes.","author":[{"dropping-particle":"","family":"Vogels","given":"Chantal B.F.","non-dropping-particle":"","parse-names":false,"suffix":""},{"dropping-particle":"","family":"Brito","given":"Anderson F.","non-dropping-particle":"","parse-names":false,"suffix":""},{"dropping-particle":"","family":"Wyllie","given":"Anne L.","non-dropping-particle":"","parse-names":false,"suffix":""},{"dropping-particle":"","family":"Fauver","given":"Joseph R.","non-dropping-particle":"","parse-names":false,"suffix":""},{"dropping-particle":"","family":"Ott","given":"Isabel M.","non-dropping-particle":"","parse-names":false,"suffix":""},{"dropping-particle":"","family":"Kalinich","given":"Chaney C.","non-dropping-particle":"","parse-names":false,"suffix":""},{"dropping-particle":"","family":"Petrone","given":"Mary E.","non-dropping-particle":"","parse-names":false,"suffix":""},{"dropping-particle":"","family":"Casanovas-Massana","given":"Arnau","non-dropping-particle":"","parse-names":false,"suffix":""},{"dropping-particle":"","family":"Catherine Muenker","given":"M.","non-dropping-particle":"","parse-names":false,"suffix":""},{"dropping-particle":"","family":"Moore","given":"Adam J.","non-dropping-particle":"","parse-names":false,"suffix":""},{"dropping-particle":"","family":"Klein","given":"Jonathan","non-dropping-particle":"","parse-names":false,"suffix":""},{"dropping-particle":"","family":"Lu","given":"Peiwen","non-dropping-particle":"","parse-names":false,"suffix":""},{"dropping-particle":"","family":"Lu-Culligan","given":"Alice","non-dropping-particle":"","parse-names":false,"suffix":""},{"dropping-particle":"","family":"Jiang","given":"Xiaodong","non-dropping-particle":"","parse-names":false,"suffix":""},{"dropping-particle":"","family":"Kim","given":"Daniel J.","non-dropping-particle":"","parse-names":false,"suffix":""},{"dropping-particle":"","family":"Kudo","given":"Eriko","non-dropping-particle":"","parse-names":false,"suffix":""},{"dropping-particle":"","family":"Mao","given":"Tianyang","non-dropping-particle":"","parse-names":false,"suffix":""},{"dropping-particle":"","family":"Moriyama","given":"Miyu","non-dropping-particle":"","parse-names":false,"suffix":""},{"dropping-particle":"","family":"Oh","given":"Ji Eun","non-dropping-particle":"","parse-names":false,"suffix":""},{"dropping-particle":"","family":"Park","given":"Annsea","non-dropping-particle":"","parse-names":false,"suffix":""},{"dropping-particle":"","family":"Silva","given":"Julio","non-dropping-particle":"","parse-names":false,"suffix":""},{"dropping-particle":"","family":"Song","given":"Eric","non-dropping-particle":"","parse-names":false,"suffix":""},{"dropping-particle":"","family":"Takahashi","given":"Takehiro","non-dropping-particle":"","parse-names":false,"suffix":""},{"dropping-particle":"","family":"Taura","given":"Manabu","non-dropping-particle":"","parse-names":false,"suffix":""},{"dropping-particle":"","family":"Tokuyama","given":"Maria","non-dropping-particle":"","parse-names":false,"suffix":""},{"dropping-particle":"","family":"Venkataraman","given":"Arvind","non-dropping-particle":"","parse-names":false,"suffix":""},{"dropping-particle":"El","family":"Weizman","given":"Orr","non-dropping-particle":"","parse-names":false,"suffix":""},{"dropping-particle":"","family":"Wong","given":"Patrick","non-dropping-particle":"","parse-names":false,"suffix":""},{"dropping-particle":"","family":"Yang","given":"Yexin","non-dropping-particle":"","parse-names":false,"suffix":""},{"dropping-particle":"","family":"Cheemarla","given":"Nagarjuna R.","non-dropping-particle":"","parse-names":false,"suffix":""},{"dropping-particle":"","family":"White","given":"Elizabeth B.","non-dropping-particle":"","parse-names":false,"suffix":""},{"dropping-particle":"","family":"Lapidus","given":"Sarah","non-dropping-particle":"","parse-names":false,"suffix":""},{"dropping-particle":"","family":"Earnest","given":"Rebecca","non-dropping-particle":"","parse-names":false,"suffix":""},{"dropping-particle":"","family":"Geng","given":"Bertie","non-dropping-particle":"","parse-names":false,"suffix":""},{"dropping-particle":"","family":"Vijayakumar","given":"Pavithra","non-dropping-particle":"","parse-names":false,"suffix":""},{"dropping-particle":"","family":"Odio","given":"Camila","non-dropping-particle":"","parse-names":false,"suffix":""},{"dropping-particle":"","family":"Fournier","given":"John","non-dropping-particle":"","parse-names":false,"suffix":""},{"dropping-particle":"","family":"Bermejo","given":"Santos","non-dropping-particle":"","parse-names":false,"suffix":""},{"dropping-particle":"","family":"Farhadian","given":"Shelli","non-dropping-particle":"","parse-names":false,"suffix":""},{"dropping-particle":"","family":"Cruz","given":"Charles S.","non-dropping-particle":"Dela","parse-names":false,"suffix":""},{"dropping-particle":"","family":"Iwasaki","given":"Akiko","non-dropping-particle":"","parse-names":false,"suffix":""},{"dropping-particle":"","family":"Ko","given":"Albert I.","non-dropping-particle":"","parse-names":false,"suffix":""},{"dropping-particle":"","family":"Landry","given":"Marie L.","non-dropping-particle":"","parse-names":false,"suffix":""},{"dropping-particle":"","family":"Foxman","given":"Ellen F.","non-dropping-particle":"","parse-names":false,"suffix":""},{"dropping-particle":"","family":"Grubaugh","given":"Nathan D.","non-dropping-particle":"","parse-names":false,"suffix":""}],"container-title":"Nature Microbiology","id":"ITEM-1","issue":"10","issued":{"date-parts":[["2020"]]},"page":"1299-1305","publisher":"Springer US","title":"Analytical sensitivity and efficiency comparisons of SARS-CoV-2 RT–qPCR primer–probe sets","type":"article-journal","volume":"5"},"uris":["http://www.mendeley.com/documents/?uuid=2cb4361f-c5c9-4dcb-a7c5-79217b2dfdb5"]},{"id":"ITEM-2","itemData":{"DOI":"10.1371/JOURNAL.PBIO.3000867","ISBN":"1111111111","ISSN":"15457885","PMID":"33027248","abstract":"The current quantitative reverse transcription PCR (RT-qPCR) assay recommended for severe acute respiratory syndrome coronavirus 2 (SARS-CoV-2) testing in the United States requires analysis of 3 genomic targets per sample: 2 viral and 1 host. To simplify testing and reduce the volume of required reagents, we devised a multiplex RT-qPCR assay to detect SARS-CoV-2 in a single reaction. We used existing N1, N2, and RP primer and probe sets by the Centers for Disease Control and Prevention, but substituted fluorophores to allow multiplexing of the assay. The cycle threshold (Ct) values of our multiplex RT-qPCR were comparable to those obtained by the single assay adapted for research purposes. Low copy numbers (≥500 copies/reaction) of SARS-CoV-2 RNA were consistently detected by the multiplex RT-qPCR. Our novel multiplex RT-qPCR improves upon current single diagnostics by saving reagents, costs, time, and labor.","author":[{"dropping-particle":"","family":"Kudo","given":"Eriko","non-dropping-particle":"","parse-names":false,"suffix":""},{"dropping-particle":"","family":"Israelow","given":"Benjamin","non-dropping-particle":"","parse-names":false,"suffix":""},{"dropping-particle":"","family":"Vogels","given":"Chantal B.F.","non-dropping-particle":"","parse-names":false,"suffix":""},{"dropping-particle":"","family":"Lu","given":"Peiwen","non-dropping-particle":"","parse-names":false,"suffix":""},{"dropping-particle":"","family":"Wyllie","given":"Anne L.","non-dropping-particle":"","parse-names":false,"suffix":""},{"dropping-particle":"","family":"Tokuyama","given":"Maria","non-dropping-particle":"","parse-names":false,"suffix":""},{"dropping-particle":"","family":"Venkataraman","given":"Arvind","non-dropping-particle":"","parse-names":false,"suffix":""},{"dropping-particle":"","family":"Brackney","given":"Doug E.","non-dropping-particle":"","parse-names":false,"suffix":""},{"dropping-particle":"","family":"Ott","given":"Isabel M.","non-dropping-particle":"","parse-names":false,"suffix":""},{"dropping-particle":"","family":"Petrone","given":"Mary E.","non-dropping-particle":"","parse-names":false,"suffix":""},{"dropping-particle":"","family":"Earnest","given":"Rebecca","non-dropping-particle":"","parse-names":false,"suffix":""},{"dropping-particle":"","family":"Lapidus","given":"Sarah","non-dropping-particle":"","parse-names":false,"suffix":""},{"dropping-particle":"","family":"Muenker","given":"M. Catherine","non-dropping-particle":"","parse-names":false,"suffix":""},{"dropping-particle":"","family":"Moore","given":"Adam J.","non-dropping-particle":"","parse-names":false,"suffix":""},{"dropping-particle":"","family":"Casanovas-Massana","given":"Arnau","non-dropping-particle":"","parse-names":false,"suffix":""},{"dropping-particle":"","family":"Omer","given":"Saad B.","non-dropping-particle":"","parse-names":false,"suffix":""},{"dropping-particle":"","family":"Cruz","given":"Charles S.Dela","non-dropping-particle":"","parse-names":false,"suffix":""},{"dropping-particle":"","family":"Farhadian","given":"Shelli F.","non-dropping-particle":"","parse-names":false,"suffix":""},{"dropping-particle":"","family":"Ko","given":"Albert I.","non-dropping-particle":"","parse-names":false,"suffix":""},{"dropping-particle":"","family":"Grubaugh","given":"Nathan D.","non-dropping-particle":"","parse-names":false,"suffix":""},{"dropping-particle":"","family":"Iwasaki","given":"Akiko","non-dropping-particle":"","parse-names":false,"suffix":""},{"dropping-particle":"","family":"Anastasio","given":"Kelly","non-dropping-particle":"","parse-names":false,"suffix":""},{"dropping-particle":"","family":"Askenase","given":"Michael H.","non-dropping-particle":"","parse-names":false,"suffix":""},{"dropping-particle":"","family":"Batsu","given":"Maria","non-dropping-particle":"","parse-names":false,"suffix":""},{"dropping-particle":"","family":"Bermejo","given":"Santos","non-dropping-particle":"","parse-names":false,"suffix":""},{"dropping-particle":"","family":"Bickerton","given":"Sean","non-dropping-particle":"","parse-names":false,"suffix":""},{"dropping-particle":"","family":"Brower","given":"Kristina","non-dropping-particle":"","parse-names":false,"suffix":""},{"dropping-particle":"","family":"Campbell","given":"Melissa","non-dropping-particle":"","parse-names":false,"suffix":""},{"dropping-particle":"","family":"Cao","given":"Yiyun","non-dropping-particle":"","parse-names":false,"suffix":""},{"dropping-particle":"","family":"Courchaine","given":"Edward","non-dropping-particle":"","parse-names":false,"suffix":""},{"dropping-particle":"","family":"Datta","given":"Rupak","non-dropping-particle":"","parse-names":false,"suffix":""},{"dropping-particle":"","family":"DeIuliis","given":"Giuseppe","non-dropping-particle":"","parse-names":false,"suffix":""},{"dropping-particle":"","family":"Geng","given":"Bertie","non-dropping-particle":"","parse-names":false,"suffix":""},{"dropping-particle":"","family":"Handoko","given":"Ryan","non-dropping-particle":"","parse-names":false,"suffix":""},{"dropping-particle":"","family":"Harden","given":"Christina","non-dropping-particle":"","parse-names":false,"suffix":""},{"dropping-particle":"","family":"Kalinich","given":"Chaney","non-dropping-particle":"","parse-names":false,"suffix":""},{"dropping-particle":"","family":"Khoury-Hanold","given":"William","non-dropping-particle":"","parse-names":false,"suffix":""},{"dropping-particle":"","family":"Kim","given":"Daniel","non-dropping-particle":"","parse-names":false,"suffix":""},{"dropping-particle":"","family":"Knaggs","given":"Lynda","non-dropping-particle":"","parse-names":false,"suffix":""},{"dropping-particle":"","family":"Kuang","given":"Maxine","non-dropping-particle":"","parse-names":false,"suffix":""},{"dropping-particle":"","family":"Lim","given":"Joseph","non-dropping-particle":"","parse-names":false,"suffix":""},{"dropping-particle":"","family":"Linehan","given":"Melissa","non-dropping-particle":"","parse-names":false,"suffix":""},{"dropping-particle":"","family":"Lu-Culligan","given":"Alice","non-dropping-particle":"","parse-names":false,"suffix":""},{"dropping-particle":"","family":"Martin","given":"Anjelica","non-dropping-particle":"","parse-names":false,"suffix":""},{"dropping-particle":"","family":"Matos","given":"Irene","non-dropping-particle":"","parse-names":false,"suffix":""},{"dropping-particle":"","family":"McDonald","given":"David","non-dropping-particle":"","parse-names":false,"suffix":""},{"dropping-particle":"","family":"Minasyan","given":"Maksym","non-dropping-particle":"","parse-names":false,"suffix":""},{"dropping-particle":"","family":"Muenker","given":"M. Catherine","non-dropping-particle":"","parse-names":false,"suffix":""},{"dropping-particle":"","family":"Nakahata","given":"Maura","non-dropping-particle":"","parse-names":false,"suffix":""},{"dropping-particle":"","family":"Naushad","given":"Nida","non-dropping-particle":"","parse-names":false,"suffix":""},{"dropping-particle":"","family":"Nelson","given":"Allison","non-dropping-particle":"","parse-names":false,"suffix":""},{"dropping-particle":"","family":"Nouws","given":"Jessica","non-dropping-particle":"","parse-names":false,"suffix":""},{"dropping-particle":"","family":"Obaid","given":"Abeer","non-dropping-particle":"","parse-names":false,"suffix":""},{"dropping-particle":"","family":"Park","given":"Annsea","non-dropping-particle":"","parse-names":false,"suffix":""},{"dropping-particle":"","family":"Park","given":"Hong Jai","non-dropping-particle":"","parse-names":false,"suffix":""},{"dropping-particle":"","family":"Peng","given":"Xiaohua","non-dropping-particle":"","parse-names":false,"suffix":""},{"dropping-particle":"","family":"Petrone","given":"Mary","non-dropping-particle":"","parse-names":false,"suffix":""},{"dropping-particle":"","family":"Prophet","given":"Sarah","non-dropping-particle":"","parse-names":false,"suffix":""},{"dropping-particle":"","family":"Rice","given":"Tyler","non-dropping-particle":"","parse-names":false,"suffix":""},{"dropping-particle":"","family":"Rose","given":"Kadi Ann","non-dropping-particle":"","parse-names":false,"suffix":""},{"dropping-particle":"","family":"Sewanan","given":"Lorenzo","non-dropping-particle":"","parse-names":false,"suffix":""},{"dropping-particle":"","family":"Sharma","given":"Lokesh","non-dropping-particle":"","parse-names":false,"suffix":""},{"dropping-particle":"","family":"Shepard","given":"Denise","non-dropping-particle":"","parse-names":false,"suffix":""},{"dropping-particle":"","family":"Simonov","given":"Michael","non-dropping-particle":"","parse-names":false,"suffix":""},{"dropping-particle":"","family":"Smolgovsky","given":"Mikhail","non-dropping-particle":"","parse-names":false,"suffix":""},{"dropping-particle":"","family":"Sonnert","given":"Nicole","non-dropping-particle":"","parse-names":false,"suffix":""},{"dropping-particle":"","family":"Strong","given":"Yvette","non-dropping-particle":"","parse-names":false,"suffix":""},{"dropping-particle":"","family":"Todeasa","given":"Codruta","non-dropping-particle":"","parse-names":false,"suffix":""},{"dropping-particle":"","family":"Valdez","given":"Jordan","non-dropping-particle":"","parse-names":false,"suffix":""},{"dropping-particle":"","family":"Velazquez","given":"Sofia","non-dropping-particle":"","parse-names":false,"suffix":""},{"dropping-particle":"","family":"Vijayakumar","given":"Pavithra","non-dropping-particle":"","parse-names":false,"suffix":""},{"dropping-particle":"","family":"Watkins","given":"Annie","non-dropping-particle":"","parse-names":false,"suffix":""},{"dropping-particle":"","family":"White","given":"Elizabeth B.","non-dropping-particle":"","parse-names":false,"suffix":""},{"dropping-particle":"","family":"Yang","given":"Yexin","non-dropping-particle":"","parse-names":false,"suffix":""}],"container-title":"PLoS Biology","id":"ITEM-2","issue":"10","issued":{"date-parts":[["2020"]]},"page":"1-9","title":"Detection of SARS-CoV-2 RNA by multiplex RTqPCR","type":"article-journal","volume":"18"},"uris":["http://www.mendeley.com/documents/?uuid=5ea23ecb-0dfb-42a8-b117-e7a322ad9d95"]}],"mendeley":{"formattedCitation":"&lt;sup&gt;50,55&lt;/sup&gt;","plainTextFormattedCitation":"50,55","previouslyFormattedCitation":"&lt;sup&gt;50,55&lt;/sup&gt;"},"properties":{"noteIndex":0},"schema":"https://github.com/citation-style-language/schema/raw/master/csl-citation.json"}</w:instrText>
      </w:r>
      <w:r>
        <w:fldChar w:fldCharType="separate"/>
      </w:r>
      <w:r>
        <w:rPr>
          <w:noProof/>
          <w:vertAlign w:val="superscript"/>
        </w:rPr>
        <w:t>50,55</w:t>
      </w:r>
      <w:proofErr w:type="spellEnd"/>
      <w:r>
        <w:fldChar w:fldCharType="end"/>
      </w:r>
      <w:r>
        <w:t xml:space="preserve">. A selection of specimens from both time periods that tested positive were sequenced using a highly multiplexed amplicon sequencing approach as described in the ARTIC Network </w:t>
      </w:r>
      <w:proofErr w:type="spellStart"/>
      <w:r>
        <w:t>nCoV</w:t>
      </w:r>
      <w:proofErr w:type="spellEnd"/>
      <w:r>
        <w:t xml:space="preserve">-2019 Oxford Nanopore sequencing protocol </w:t>
      </w:r>
      <w:hyperlink r:id="rId11" w:history="1">
        <w:r>
          <w:rPr>
            <w:rStyle w:val="Hyperlink"/>
          </w:rPr>
          <w:t>(</w:t>
        </w:r>
        <w:proofErr w:type="spellStart"/>
      </w:hyperlink>
      <w:hyperlink r:id="rId12" w:history="1">
        <w:r>
          <w:rPr>
            <w:rStyle w:val="Hyperlink"/>
          </w:rPr>
          <w:t>nCoV</w:t>
        </w:r>
        <w:proofErr w:type="spellEnd"/>
        <w:r>
          <w:rPr>
            <w:rStyle w:val="Hyperlink"/>
          </w:rPr>
          <w:t xml:space="preserve">-2019 sequencing protocol </w:t>
        </w:r>
        <w:proofErr w:type="spellStart"/>
        <w:r>
          <w:rPr>
            <w:rStyle w:val="Hyperlink"/>
          </w:rPr>
          <w:t>v3</w:t>
        </w:r>
        <w:proofErr w:type="spellEnd"/>
        <w:r>
          <w:rPr>
            <w:rStyle w:val="Hyperlink"/>
          </w:rPr>
          <w:t xml:space="preserve"> (</w:t>
        </w:r>
        <w:proofErr w:type="spellStart"/>
        <w:r>
          <w:rPr>
            <w:rStyle w:val="Hyperlink"/>
          </w:rPr>
          <w:t>LoCost</w:t>
        </w:r>
        <w:proofErr w:type="spellEnd"/>
        <w:r>
          <w:rPr>
            <w:rStyle w:val="Hyperlink"/>
          </w:rPr>
          <w:t xml:space="preserve">) </w:t>
        </w:r>
        <w:proofErr w:type="spellStart"/>
        <w:r>
          <w:rPr>
            <w:rStyle w:val="Hyperlink"/>
          </w:rPr>
          <w:t>V.3</w:t>
        </w:r>
        <w:proofErr w:type="spellEnd"/>
        <w:r>
          <w:rPr>
            <w:rStyle w:val="Hyperlink"/>
          </w:rPr>
          <w:t>)</w:t>
        </w:r>
        <w:r>
          <w:rPr>
            <w:rStyle w:val="Hyperlink"/>
          </w:rPr>
          <w:fldChar w:fldCharType="begin" w:fldLock="1"/>
        </w:r>
        <w:r>
          <w:rPr>
            <w:rStyle w:val="Hyperlink"/>
          </w:rPr>
          <w:instrText>ADDIN CSL_CITATION {"citationItems":[{"id":"ITEM-1","itemData":{"DOI":"10.1038/nprot.2017.066","ISSN":"17502799","PMID":"28538739","abstract":"Genome sequencing has become a powerful tool for studying emerging infectious diseases; however, genome sequencing directly from clinical samples (i.e., without isolation and culture) remains challenging for viruses such as Zika, for which metagenomic sequencing methods may generate insufficient numbers of viral reads. Here we present a protocol for generating coding-sequence-complete genomes, comprising an online primer design tool, a novel multiplex PCR enrichment protocol, optimized library preparation methods for the portable MinION sequencer (Oxford Nanopore Technologies) and the Illumina range of instruments, and a bioinformatics pipeline for generating consensus sequences. The MinION protocol does not require an Internet connection for analysis, making it suitable for field applications with limited connectivity. Our method relies on multiplex PCR for targeted enrichment of viral genomes from samples containing as few as 50 genome copies per reaction. Viral consensus sequences can be achieved in 1-2 d by starting with clinical samples and following a simple laboratory workflow. This method has been successfully used by several groups studying Zika virus evolution and is facilitating an understanding of the spread of the virus in the Americas. The protocol can be used to sequence other viral genomes using the online Primal Scheme primer designer software. It is suitable for sequencing either RNA or DNA viruses in the field during outbreaks or as an inexpensive, convenient method for use in the lab.","author":[{"dropping-particle":"","family":"Quick","given":"Joshua","non-dropping-particle":"","parse-names":false,"suffix":""},{"dropping-particle":"","family":"Grubaugh","given":"Nathan D.","non-dropping-particle":"","parse-names":false,"suffix":""},{"dropping-particle":"","family":"Pullan","given":"Steven T.","non-dropping-particle":"","parse-names":false,"suffix":""},{"dropping-particle":"","family":"Claro","given":"Ingra M.","non-dropping-particle":"","parse-names":false,"suffix":""},{"dropping-particle":"","family":"Smith","given":"Andrew D.","non-dropping-particle":"","parse-names":false,"suffix":""},{"dropping-particle":"","family":"Gangavarapu","given":"Karthik","non-dropping-particle":"","parse-names":false,"suffix":""},{"dropping-particle":"","family":"Oliveira","given":"Glenn","non-dropping-particle":"","parse-names":false,"suffix":""},{"dropping-particle":"","family":"Robles-Sikisaka","given":"Refugio","non-dropping-particle":"","parse-names":false,"suffix":""},{"dropping-particle":"","family":"Rogers","given":"Thomas F.","non-dropping-particle":"","parse-names":false,"suffix":""},{"dropping-particle":"","family":"Beutler","given":"Nathan A.","non-dropping-particle":"","parse-names":false,"suffix":""},{"dropping-particle":"","family":"Burton","given":"Dennis R.","non-dropping-particle":"","parse-names":false,"suffix":""},{"dropping-particle":"","family":"Lewis-Ximenez","given":"Lia Laura","non-dropping-particle":"","parse-names":false,"suffix":""},{"dropping-particle":"","family":"Jesus","given":"Jaqueline Goes","non-dropping-particle":"De","parse-names":false,"suffix":""},{"dropping-particle":"","family":"Giovanetti","given":"Marta","non-dropping-particle":"","parse-names":false,"suffix":""},{"dropping-particle":"","family":"Hill","given":"Sarah C.","non-dropping-particle":"","parse-names":false,"suffix":""},{"dropping-particle":"","family":"Black","given":"Allison","non-dropping-particle":"","parse-names":false,"suffix":""},{"dropping-particle":"","family":"Bedford","given":"Trevor","non-dropping-particle":"","parse-names":false,"suffix":""},{"dropping-particle":"","family":"Carroll","given":"Miles W.","non-dropping-particle":"","parse-names":false,"suffix":""},{"dropping-particle":"","family":"Nunes","given":"Marcio","non-dropping-particle":"","parse-names":false,"suffix":""},{"dropping-particle":"","family":"Alcantara","given":"Luiz Carlos","non-dropping-particle":"","parse-names":false,"suffix":""},{"dropping-particle":"","family":"Sabino","given":"Ester C.","non-dropping-particle":"","parse-names":false,"suffix":""},{"dropping-particle":"","family":"Baylis","given":"Sally A.","non-dropping-particle":"","parse-names":false,"suffix":""},{"dropping-particle":"","family":"Faria","given":"Nuno R.","non-dropping-particle":"","parse-names":false,"suffix":""},{"dropping-particle":"","family":"Loose","given":"Matthew","non-dropping-particle":"","parse-names":false,"suffix":""},{"dropping-particle":"","family":"Simpson","given":"Jared T.","non-dropping-particle":"","parse-names":false,"suffix":""},{"dropping-particle":"","family":"Pybus","given":"Oliver G.","non-dropping-particle":"","parse-names":false,"suffix":""},{"dropping-particle":"","family":"Andersen","given":"Kristian G.","non-dropping-particle":"","parse-names":false,"suffix":""},{"dropping-particle":"","family":"Loman","given":"Nicholas J.","non-dropping-particle":"","parse-names":false,"suffix":""}],"container-title":"Nature Protocols","id":"ITEM-1","issue":"6","issued":{"date-parts":[["2017"]]},"page":"1261-1266","title":"Multiplex PCR method for MinION and Illumina sequencing of Zika and other virus genomes directly from clinical samples","type":"article-journal","volume":"12"},"uris":["http://www.mendeley.com/documents/?uuid=f287583a-6ba5-4745-95e3-e82e156511b3"]}],"mendeley":{"formattedCitation":"&lt;sup&gt;56&lt;/sup&gt;","plainTextFormattedCitation":"56","previouslyFormattedCitation":"&lt;sup&gt;56&lt;/sup&gt;"},"properties":{"noteIndex":0},"schema":"https://github.com/citation-style-language/schema/raw/master/csl-citation.json"}</w:instrText>
        </w:r>
        <w:r>
          <w:rPr>
            <w:rStyle w:val="Hyperlink"/>
          </w:rPr>
          <w:fldChar w:fldCharType="separate"/>
        </w:r>
        <w:r>
          <w:rPr>
            <w:rStyle w:val="Hyperlink"/>
            <w:noProof/>
            <w:vertAlign w:val="superscript"/>
          </w:rPr>
          <w:t>56</w:t>
        </w:r>
        <w:r>
          <w:rPr>
            <w:rStyle w:val="Hyperlink"/>
          </w:rPr>
          <w:fldChar w:fldCharType="end"/>
        </w:r>
      </w:hyperlink>
      <w:r>
        <w:t xml:space="preserve">. </w:t>
      </w:r>
      <w:r>
        <w:rPr>
          <w:color w:val="000000" w:themeColor="text1"/>
        </w:rPr>
        <w:t>Sequencing data were then processed according to the ARTIC bioinformatic pipeline. Briefly, raw .</w:t>
      </w:r>
      <w:proofErr w:type="spellStart"/>
      <w:r>
        <w:rPr>
          <w:color w:val="000000" w:themeColor="text1"/>
        </w:rPr>
        <w:t>fast5</w:t>
      </w:r>
      <w:proofErr w:type="spellEnd"/>
      <w:r>
        <w:rPr>
          <w:color w:val="000000" w:themeColor="text1"/>
        </w:rPr>
        <w:t xml:space="preserve"> data was </w:t>
      </w:r>
      <w:proofErr w:type="spellStart"/>
      <w:r>
        <w:rPr>
          <w:color w:val="000000" w:themeColor="text1"/>
        </w:rPr>
        <w:t>basecalled</w:t>
      </w:r>
      <w:proofErr w:type="spellEnd"/>
      <w:r>
        <w:rPr>
          <w:color w:val="000000" w:themeColor="text1"/>
        </w:rPr>
        <w:t xml:space="preserve"> with Guppy </w:t>
      </w:r>
      <w:proofErr w:type="spellStart"/>
      <w:r>
        <w:rPr>
          <w:color w:val="000000" w:themeColor="text1"/>
        </w:rPr>
        <w:t>V.4.4.0</w:t>
      </w:r>
      <w:proofErr w:type="spellEnd"/>
      <w:r>
        <w:rPr>
          <w:color w:val="000000" w:themeColor="text1"/>
        </w:rPr>
        <w:t xml:space="preserve"> and aligned to the reference SARS-CoV-2 genome (Accession </w:t>
      </w:r>
      <w:proofErr w:type="spellStart"/>
      <w:r>
        <w:rPr>
          <w:color w:val="000000" w:themeColor="text1"/>
        </w:rPr>
        <w:t>MN908947</w:t>
      </w:r>
      <w:proofErr w:type="spellEnd"/>
      <w:r>
        <w:rPr>
          <w:color w:val="000000" w:themeColor="text1"/>
        </w:rPr>
        <w:t xml:space="preserve">) using </w:t>
      </w:r>
      <w:proofErr w:type="spellStart"/>
      <w:r>
        <w:rPr>
          <w:color w:val="000000" w:themeColor="text1"/>
        </w:rPr>
        <w:t>minimap2</w:t>
      </w:r>
      <w:proofErr w:type="spellEnd"/>
      <w:r>
        <w:rPr>
          <w:color w:val="000000" w:themeColor="text1"/>
        </w:rPr>
        <w:t xml:space="preserve">. Primer sequences are masked prior to consensus sequence generation. A threshold of </w:t>
      </w:r>
      <w:proofErr w:type="spellStart"/>
      <w:r>
        <w:rPr>
          <w:color w:val="000000" w:themeColor="text1"/>
        </w:rPr>
        <w:t>20X</w:t>
      </w:r>
      <w:proofErr w:type="spellEnd"/>
      <w:r>
        <w:rPr>
          <w:color w:val="000000" w:themeColor="text1"/>
        </w:rPr>
        <w:t xml:space="preserve"> depth of coverage is required to call variants and generate a consensus sequence. Positions in the genome with less than </w:t>
      </w:r>
      <w:proofErr w:type="spellStart"/>
      <w:r>
        <w:rPr>
          <w:color w:val="000000" w:themeColor="text1"/>
        </w:rPr>
        <w:t>20X</w:t>
      </w:r>
      <w:proofErr w:type="spellEnd"/>
      <w:r>
        <w:rPr>
          <w:color w:val="000000" w:themeColor="text1"/>
        </w:rPr>
        <w:t xml:space="preserve"> depth of coverage are represented with “N”.</w:t>
      </w:r>
    </w:p>
    <w:p w14:paraId="3EC3251E" w14:textId="77777777" w:rsidR="00F5389C" w:rsidRDefault="00F5389C" w:rsidP="00F5389C"/>
    <w:p w14:paraId="5F73C0BF" w14:textId="77777777" w:rsidR="00F5389C" w:rsidRDefault="00F5389C" w:rsidP="00F5389C">
      <w:pPr>
        <w:rPr>
          <w:i/>
        </w:rPr>
      </w:pPr>
      <w:r>
        <w:rPr>
          <w:i/>
        </w:rPr>
        <w:t>Phylogenetic and molecular evolution analysis</w:t>
      </w:r>
    </w:p>
    <w:p w14:paraId="76B638D9" w14:textId="77777777" w:rsidR="00F5389C" w:rsidRDefault="00F5389C" w:rsidP="00F5389C">
      <w:r>
        <w:t xml:space="preserve">To reveal the evolutionary relationship between the virus infecting the patient in March 2020 with those sampled during the reinfection in November 2020, phylogenetic analyses were performed with additional sequences submitted to </w:t>
      </w:r>
      <w:proofErr w:type="spellStart"/>
      <w:r>
        <w:t>GISAID</w:t>
      </w:r>
      <w:proofErr w:type="spellEnd"/>
      <w:r>
        <w:t xml:space="preserve"> (gisaid.org), sampled from all over the world from January to mid-November 2020. Metadata on viral collection time, location, and lineage assignment were also obtained from </w:t>
      </w:r>
      <w:proofErr w:type="spellStart"/>
      <w:r>
        <w:t>GISAID</w:t>
      </w:r>
      <w:proofErr w:type="spellEnd"/>
      <w:r>
        <w:t>. A time series of daily COVID-19 cases per country, obtained from the Center for Systems Science and Engineering (</w:t>
      </w:r>
      <w:proofErr w:type="spellStart"/>
      <w:r>
        <w:t>CSSE</w:t>
      </w:r>
      <w:proofErr w:type="spellEnd"/>
      <w:r>
        <w:t xml:space="preserve">) data repository at Johns Hopkins </w:t>
      </w:r>
      <w:proofErr w:type="spellStart"/>
      <w:r>
        <w:t>University</w:t>
      </w:r>
      <w:r>
        <w:fldChar w:fldCharType="begin" w:fldLock="1"/>
      </w:r>
      <w:r>
        <w:instrText>ADDIN CSL_CITATION {"citationItems":[{"id":"ITEM-1","itemData":{"DOI":"10.1016/S1473-3099(20)30120-1","ISSN":"14744457","PMID":"32087114","author":[{"dropping-particle":"","family":"Dong","given":"Ensheng","non-dropping-particle":"","parse-names":false,"suffix":""},{"dropping-particle":"","family":"Du","given":"Hongru","non-dropping-particle":"","parse-names":false,"suffix":""},{"dropping-particle":"","family":"Gardner","given":"Lauren","non-dropping-particle":"","parse-names":false,"suffix":""}],"container-title":"The Lancet Infectious Diseases","id":"ITEM-1","issue":"5","issued":{"date-parts":[["2020"]]},"page":"533-534","publisher":"Elsevier Ltd","title":"An interactive web-based dashboard to track COVID-19 in real time","type":"article-journal","volume":"20"},"uris":["http://www.mendeley.com/documents/?uuid=488972a1-fe42-4c46-b0a5-3dd9b57d79f3"]}],"mendeley":{"formattedCitation":"&lt;sup&gt;57&lt;/sup&gt;","plainTextFormattedCitation":"57","previouslyFormattedCitation":"&lt;sup&gt;57&lt;/sup&gt;"},"properties":{"noteIndex":0},"schema":"https://github.com/citation-style-language/schema/raw/master/csl-citation.json"}</w:instrText>
      </w:r>
      <w:r>
        <w:fldChar w:fldCharType="separate"/>
      </w:r>
      <w:r>
        <w:rPr>
          <w:noProof/>
          <w:vertAlign w:val="superscript"/>
        </w:rPr>
        <w:t>57</w:t>
      </w:r>
      <w:proofErr w:type="spellEnd"/>
      <w:r>
        <w:fldChar w:fldCharType="end"/>
      </w:r>
      <w:r>
        <w:t xml:space="preserve">, was used to weight the genome subsampling according to the daily case counts. This allowed a balanced sampling of 3,068 genomes out of nearly 265,000 available on </w:t>
      </w:r>
      <w:proofErr w:type="spellStart"/>
      <w:r>
        <w:t>GISAID</w:t>
      </w:r>
      <w:proofErr w:type="spellEnd"/>
      <w:r>
        <w:t xml:space="preserve"> up to November 19th, 2020 (</w:t>
      </w:r>
      <w:r>
        <w:rPr>
          <w:b/>
          <w:bCs/>
        </w:rPr>
        <w:t xml:space="preserve">Extended Data Table </w:t>
      </w:r>
      <w:proofErr w:type="spellStart"/>
      <w:r>
        <w:rPr>
          <w:b/>
          <w:bCs/>
        </w:rPr>
        <w:t>S1</w:t>
      </w:r>
      <w:proofErr w:type="spellEnd"/>
      <w:r>
        <w:t xml:space="preserve">), which ensured more accurate discrete phylogeographic reconstruction to unravel the likely origins of viruses from the 1st and 2nd infections. The genome sequences were aligned using </w:t>
      </w:r>
      <w:proofErr w:type="spellStart"/>
      <w:r>
        <w:t>MAFFT</w:t>
      </w:r>
      <w:r>
        <w:fldChar w:fldCharType="begin" w:fldLock="1"/>
      </w:r>
      <w:r>
        <w:instrText>ADDIN CSL_CITATION {"citationItems":[{"id":"ITEM-1","itemData":{"DOI":"10.1093/molbev/mst010","ISSN":"07374038","PMID":"23329690","abstract":"We report a major update of the MAFFT multiple sequence alignment program. This version has several new features, including options for adding unaligned sequences into an existing alignment, adjustment of direction in nucleotide alignment, constrained alignment and parallel processing, which were implemented after the previous major update. This report shows actual examples to explain how these features work, alone and in combination. Some examples incorrectly aligned by MAFFT are also shown to clarify its limitations. We discuss how to avoid misalignments, and our ongoing efforts to overcome such limitations. © 2013 The Author 2013. Published by Oxford University Press on behalf of the Society for Molecular Biology and Evolution.","author":[{"dropping-particle":"","family":"Katoh","given":"Kazutaka","non-dropping-particle":"","parse-names":false,"suffix":""},{"dropping-particle":"","family":"Standley","given":"Daron M.","non-dropping-particle":"","parse-names":false,"suffix":""}],"container-title":"Molecular Biology and Evolution","id":"ITEM-1","issue":"4","issued":{"date-parts":[["2013"]]},"page":"772-780","title":"MAFFT multiple sequence alignment software version 7: Improvements in performance and usability","type":"article-journal","volume":"30"},"uris":["http://www.mendeley.com/documents/?uuid=609563b0-a794-4674-b6a7-3ae8889188ea"]}],"mendeley":{"formattedCitation":"&lt;sup&gt;58&lt;/sup&gt;","plainTextFormattedCitation":"58","previouslyFormattedCitation":"&lt;sup&gt;58&lt;/sup&gt;"},"properties":{"noteIndex":0},"schema":"https://github.com/citation-style-language/schema/raw/master/csl-citation.json"}</w:instrText>
      </w:r>
      <w:r>
        <w:fldChar w:fldCharType="separate"/>
      </w:r>
      <w:r>
        <w:rPr>
          <w:noProof/>
          <w:vertAlign w:val="superscript"/>
        </w:rPr>
        <w:t>58</w:t>
      </w:r>
      <w:proofErr w:type="spellEnd"/>
      <w:r>
        <w:fldChar w:fldCharType="end"/>
      </w:r>
      <w:r>
        <w:t xml:space="preserve">, and the inference of the global phylogeny (n = 3,068 genomes) was performed using </w:t>
      </w:r>
      <w:proofErr w:type="spellStart"/>
      <w:r>
        <w:t>IQTree</w:t>
      </w:r>
      <w:proofErr w:type="spellEnd"/>
      <w:r>
        <w:t xml:space="preserve"> </w:t>
      </w:r>
      <w:proofErr w:type="spellStart"/>
      <w:r>
        <w:t>v.1.6.12</w:t>
      </w:r>
      <w:proofErr w:type="spellEnd"/>
      <w:r>
        <w:t xml:space="preserve">, applying a </w:t>
      </w:r>
      <w:proofErr w:type="spellStart"/>
      <w:r>
        <w:t>GTR</w:t>
      </w:r>
      <w:proofErr w:type="spellEnd"/>
      <w:r>
        <w:t xml:space="preserve"> substitution </w:t>
      </w:r>
      <w:proofErr w:type="spellStart"/>
      <w:r>
        <w:t>model</w:t>
      </w:r>
      <w:r>
        <w:fldChar w:fldCharType="begin" w:fldLock="1"/>
      </w:r>
      <w:r>
        <w:instrText>ADDIN CSL_CITATION {"citationItems":[{"id":"ITEM-1","itemData":{"DOI":"10.1093/molbev/msu300","ISSN":"15371719","PMID":"25371430","abstract":"Large phylogenomics data sets require fast tree inference methods, especially for maximum-likelihood (ML) phylogenies. Fast programs exist, but due to inherent heuristics to find optimal trees, it is not clear whether the best tree is found. Thus, there is need for additional approaches that employ different search strategies to find ML trees and that are at the same time as fast as currently available ML programs. We show that a combination of hill-climbing approaches and a stochastic perturbation method can be time-efficiently implemented. If we allow the same CPU time as RAxML and PhyML, then our software IQ-TREE found higher likelihoods between 62.2% and 87.1% of the studied alignments, thus efficiently exploring the tree-space. If we use the IQ-TREE stopping rule, RAxML and PhyML are faster in 75.7% and 47.1% of the DNA alignments and 42.2% and 100% of the protein alignments, respectively. However, the range of obtaining higher likelihoods with IQ-TREE improves to 73.3-97.1%. IQ-TREE is freely available at http://www.cibiv.at/software/iqtree.","author":[{"dropping-particle":"","family":"Nguyen","given":"Lam Tung","non-dropping-particle":"","parse-names":false,"suffix":""},{"dropping-particle":"","family":"Schmidt","given":"Heiko A.","non-dropping-particle":"","parse-names":false,"suffix":""},{"dropping-particle":"","family":"Haeseler","given":"Arndt","non-dropping-particle":"Von","parse-names":false,"suffix":""},{"dropping-particle":"","family":"Minh","given":"Bui Quang","non-dropping-particle":"","parse-names":false,"suffix":""}],"container-title":"Molecular Biology and Evolution","id":"ITEM-1","issue":"1","issued":{"date-parts":[["2015"]]},"page":"268-274","title":"IQ-TREE: A fast and effective stochastic algorithm for estimating maximum-likelihood phylogenies","type":"article-journal","volume":"32"},"uris":["http://www.mendeley.com/documents/?uuid=fc119352-e780-4ee9-bc13-87d0177821a0"]}],"mendeley":{"formattedCitation":"&lt;sup&gt;59&lt;/sup&gt;","plainTextFormattedCitation":"59","previouslyFormattedCitation":"&lt;sup&gt;59&lt;/sup&gt;"},"properties":{"noteIndex":0},"schema":"https://github.com/citation-style-language/schema/raw/master/csl-citation.json"}</w:instrText>
      </w:r>
      <w:r>
        <w:fldChar w:fldCharType="separate"/>
      </w:r>
      <w:r>
        <w:rPr>
          <w:noProof/>
          <w:vertAlign w:val="superscript"/>
        </w:rPr>
        <w:t>59</w:t>
      </w:r>
      <w:proofErr w:type="spellEnd"/>
      <w:r>
        <w:fldChar w:fldCharType="end"/>
      </w:r>
      <w:r>
        <w:t xml:space="preserve">, and </w:t>
      </w:r>
      <w:proofErr w:type="spellStart"/>
      <w:r>
        <w:t>TreeTime</w:t>
      </w:r>
      <w:proofErr w:type="spellEnd"/>
      <w:r>
        <w:t xml:space="preserve"> </w:t>
      </w:r>
      <w:proofErr w:type="spellStart"/>
      <w:r>
        <w:t>v.0.8.0</w:t>
      </w:r>
      <w:r>
        <w:fldChar w:fldCharType="begin" w:fldLock="1"/>
      </w:r>
      <w:r>
        <w:instrText>ADDIN CSL_CITATION {"citationItems":[{"id":"ITEM-1","itemData":{"DOI":"10.1093/ve/vex042","ISSN":"20571577","abstract":"Mutations that accumulate in the genome of cells or viruses can be used to infer their evolutionary history. In the case of rapidly evolving organisms, genomes can reveal their detailed spatiotemporal spread. Such phylodynamic analyses are particularly useful to understand the epidemiology of rapidly evolving viral pathogens. As the number of genome sequences available for different pathogens has increased dramatically over the last years, phylodynamic analysis with traditional methods becomes challenging as these methods scale poorly with growing datasets. Here, we present TreeTime, a Pythonbased framework for phylodynamic analysis using an approximate Maximum Likelihood approach. TreeTime can estimate ancestral states, infer evolution models, reroot trees to maximize temporal signals, estimate molecular clock phylogenies and population size histories. The runtime of TreeTime scales linearly with dataset size.","author":[{"dropping-particle":"","family":"Sagulenko","given":"Pavel","non-dropping-particle":"","parse-names":false,"suffix":""},{"dropping-particle":"","family":"Puller","given":"Vadim","non-dropping-particle":"","parse-names":false,"suffix":""},{"dropping-particle":"","family":"Neher","given":"Richard A.","non-dropping-particle":"","parse-names":false,"suffix":""}],"container-title":"Virus Evolution","id":"ITEM-1","issue":"1","issued":{"date-parts":[["2018"]]},"page":"1-9","title":"TreeTime: Maximum-likelihood phylodynamic analysis","type":"article-journal","volume":"4"},"uris":["http://www.mendeley.com/documents/?uuid=538f37b7-3d20-487b-a938-8fd6cdf5cab9"]}],"mendeley":{"formattedCitation":"&lt;sup&gt;60&lt;/sup&gt;","plainTextFormattedCitation":"60","previouslyFormattedCitation":"&lt;sup&gt;60&lt;/sup&gt;"},"properties":{"noteIndex":0},"schema":"https://github.com/citation-style-language/schema/raw/master/csl-citation.json"}</w:instrText>
      </w:r>
      <w:r>
        <w:fldChar w:fldCharType="separate"/>
      </w:r>
      <w:r>
        <w:rPr>
          <w:noProof/>
          <w:vertAlign w:val="superscript"/>
        </w:rPr>
        <w:t>60</w:t>
      </w:r>
      <w:proofErr w:type="spellEnd"/>
      <w:r>
        <w:fldChar w:fldCharType="end"/>
      </w:r>
      <w:r>
        <w:t xml:space="preserve"> within an augur </w:t>
      </w:r>
      <w:proofErr w:type="spellStart"/>
      <w:r>
        <w:t>pipeline</w:t>
      </w:r>
      <w:r>
        <w:fldChar w:fldCharType="begin" w:fldLock="1"/>
      </w:r>
      <w:r>
        <w:instrText>ADDIN CSL_CITATION {"citationItems":[{"id":"ITEM-1","itemData":{"DOI":"10.1093/bioinformatics/bty407","ISSN":"14602059","PMID":"29790939","abstract":"Understanding the spread and evolution of pathogens is important for effective public health measures and surveillance. Nextstrain consists of a database of viral genomes, a bioinformatics pipeline for phylodynamics analysis, and an interactive visualization platform. Together these present a real-time view into the evolution and spread of a range of viral pathogens of high public health importance. The visualization integrates sequence data with other data types such as geographic information, serology, or host species. Nextstrain compiles our current understanding into a single accessible location, open to health professionals, epidemiologists, virologists and the public alike.","author":[{"dropping-particle":"","family":"Hadfield","given":"James","non-dropping-particle":"","parse-names":false,"suffix":""},{"dropping-particle":"","family":"Megill","given":"Colin","non-dropping-particle":"","parse-names":false,"suffix":""},{"dropping-particle":"","family":"Bell","given":"Sidney M.","non-dropping-particle":"","parse-names":false,"suffix":""},{"dropping-particle":"","family":"Huddleston","given":"John","non-dropping-particle":"","parse-names":false,"suffix":""},{"dropping-particle":"","family":"Potter","given":"Barney","non-dropping-particle":"","parse-names":false,"suffix":""},{"dropping-particle":"","family":"Callender","given":"Charlton","non-dropping-particle":"","parse-names":false,"suffix":""},{"dropping-particle":"","family":"Sagulenko","given":"Pavel","non-dropping-particle":"","parse-names":false,"suffix":""},{"dropping-particle":"","family":"Bedford","given":"Trevor","non-dropping-particle":"","parse-names":false,"suffix":""},{"dropping-particle":"","family":"Neher","given":"Richard A.","non-dropping-particle":"","parse-names":false,"suffix":""}],"container-title":"Bioinformatics","id":"ITEM-1","issue":"23","issued":{"date-parts":[["2018"]]},"page":"4121-4123","title":"NextStrain: Real-time tracking of pathogen evolution","type":"article-journal","volume":"34"},"uris":["http://www.mendeley.com/documents/?uuid=ecdb4cbf-0172-4c54-8c9c-3f2008f64f86"]}],"mendeley":{"formattedCitation":"&lt;sup&gt;61&lt;/sup&gt;","plainTextFormattedCitation":"61","previouslyFormattedCitation":"&lt;sup&gt;61&lt;/sup&gt;"},"properties":{"noteIndex":0},"schema":"https://github.com/citation-style-language/schema/raw/master/csl-citation.json"}</w:instrText>
      </w:r>
      <w:r>
        <w:fldChar w:fldCharType="separate"/>
      </w:r>
      <w:r>
        <w:rPr>
          <w:noProof/>
          <w:vertAlign w:val="superscript"/>
        </w:rPr>
        <w:t>61</w:t>
      </w:r>
      <w:proofErr w:type="spellEnd"/>
      <w:r>
        <w:fldChar w:fldCharType="end"/>
      </w:r>
      <w:r>
        <w:t>. From this large preliminary phylogeny (</w:t>
      </w:r>
      <w:r>
        <w:rPr>
          <w:b/>
        </w:rPr>
        <w:t xml:space="preserve">Extended Fig. </w:t>
      </w:r>
      <w:proofErr w:type="spellStart"/>
      <w:r>
        <w:rPr>
          <w:b/>
        </w:rPr>
        <w:t>S1</w:t>
      </w:r>
      <w:proofErr w:type="spellEnd"/>
      <w:r>
        <w:t xml:space="preserve">), the expected clustering of the virus genomes sequenced from the patient was verified, and the sequence dataset was further subsampled, to include only 561 genomes belonging to closely related SARS-CoV-2 </w:t>
      </w:r>
      <w:proofErr w:type="spellStart"/>
      <w:r>
        <w:t>sublineages</w:t>
      </w:r>
      <w:proofErr w:type="spellEnd"/>
      <w:r>
        <w:t xml:space="preserve"> (</w:t>
      </w:r>
      <w:r>
        <w:rPr>
          <w:b/>
          <w:bCs/>
        </w:rPr>
        <w:t>Extended</w:t>
      </w:r>
      <w:r>
        <w:t xml:space="preserve"> </w:t>
      </w:r>
      <w:r>
        <w:rPr>
          <w:b/>
        </w:rPr>
        <w:t xml:space="preserve">Fig. </w:t>
      </w:r>
      <w:proofErr w:type="spellStart"/>
      <w:r>
        <w:rPr>
          <w:b/>
        </w:rPr>
        <w:t>S1</w:t>
      </w:r>
      <w:proofErr w:type="spellEnd"/>
      <w:r>
        <w:t>). The same approach implemented in the first round of analysis was used to generate the final phylogeny, but ultrafast bootstrap (1000 replicates)</w:t>
      </w:r>
      <w:r>
        <w:fldChar w:fldCharType="begin" w:fldLock="1"/>
      </w:r>
      <w:r>
        <w:instrText>ADDIN CSL_CITATION {"citationItems":[{"id":"ITEM-1","itemData":{"DOI":"10.1101/153916","ISSN":"1537-1719","abstract":"The standard bootstrap (SBS), despite being computationally intensive, is widely used in maximum likelihood phylogenetic analyses. We recently proposed the ultrafast bootstrap approximation (UFBoot) to reduce computing time while achieving more unbiased branch supports than SBS under mild model violations. UFBoot has been steadily adopted as an efficient alternative to SBS and other bootstrap approaches. Here, we present UFBoot2, which substantially accelerates UFBoot and reduces the risk of overestimating branch supports due to polytomies or severe model violations. Additionally, UFBoot2 provides suitable bootstrap resampling strategies for phylogenomic data. UFBoot2 is 778 and 8.4 times (median) faster than SBS and RAxML rapid bootstrap on tested datasets, respectively. UFBoot2 is implemented in the IQ-TREE software package version 1.6 and freely available at http://www.iqtree.org.","author":[{"dropping-particle":"","family":"Hoang","given":"Diep Thi","non-dropping-particle":"","parse-names":false,"suffix":""},{"dropping-particle":"","family":"Chernomor","given":"Olga","non-dropping-particle":"","parse-names":false,"suffix":""},{"dropping-particle":"","family":"Haeseler","given":"Arndt","non-dropping-particle":"von","parse-names":false,"suffix":""},{"dropping-particle":"","family":"Minh","given":"Bui Quang","non-dropping-particle":"","parse-names":false,"suffix":""},{"dropping-particle":"","family":"Vinh","given":"Le Sy","non-dropping-particle":"","parse-names":false,"suffix":""}],"container-title":"bioRxiv","id":"ITEM-1","issue":"2","issued":{"date-parts":[["2017"]]},"page":"518-522","title":"UFBoot2: Improving the ultrafast bootstrap approximation","type":"article-journal","volume":"35"},"uris":["http://www.mendeley.com/documents/?uuid=bfd44b94-5c2b-42fb-a664-b85939f0e6bc"]}],"mendeley":{"formattedCitation":"&lt;sup&gt;62&lt;/sup&gt;","plainTextFormattedCitation":"62","previouslyFormattedCitation":"&lt;sup&gt;62&lt;/sup&gt;"},"properties":{"noteIndex":0},"schema":"https://github.com/citation-style-language/schema/raw/master/csl-citation.json"}</w:instrText>
      </w:r>
      <w:r>
        <w:fldChar w:fldCharType="separate"/>
      </w:r>
      <w:r>
        <w:rPr>
          <w:noProof/>
          <w:vertAlign w:val="superscript"/>
        </w:rPr>
        <w:t>62</w:t>
      </w:r>
      <w:r>
        <w:fldChar w:fldCharType="end"/>
      </w:r>
      <w:r>
        <w:t xml:space="preserve"> was performed to assess branch support. Phylogenetic data visualization was done using auspice (interactive view)</w:t>
      </w:r>
      <w:r>
        <w:fldChar w:fldCharType="begin" w:fldLock="1"/>
      </w:r>
      <w:r>
        <w:instrText>ADDIN CSL_CITATION {"citationItems":[{"id":"ITEM-1","itemData":{"DOI":"10.1093/bioinformatics/bty407","ISSN":"14602059","PMID":"29790939","abstract":"Understanding the spread and evolution of pathogens is important for effective public health measures and surveillance. Nextstrain consists of a database of viral genomes, a bioinformatics pipeline for phylodynamics analysis, and an interactive visualization platform. Together these present a real-time view into the evolution and spread of a range of viral pathogens of high public health importance. The visualization integrates sequence data with other data types such as geographic information, serology, or host species. Nextstrain compiles our current understanding into a single accessible location, open to health professionals, epidemiologists, virologists and the public alike.","author":[{"dropping-particle":"","family":"Hadfield","given":"James","non-dropping-particle":"","parse-names":false,"suffix":""},{"dropping-particle":"","family":"Megill","given":"Colin","non-dropping-particle":"","parse-names":false,"suffix":""},{"dropping-particle":"","family":"Bell","given":"Sidney M.","non-dropping-particle":"","parse-names":false,"suffix":""},{"dropping-particle":"","family":"Huddleston","given":"John","non-dropping-particle":"","parse-names":false,"suffix":""},{"dropping-particle":"","family":"Potter","given":"Barney","non-dropping-particle":"","parse-names":false,"suffix":""},{"dropping-particle":"","family":"Callender","given":"Charlton","non-dropping-particle":"","parse-names":false,"suffix":""},{"dropping-particle":"","family":"Sagulenko","given":"Pavel","non-dropping-particle":"","parse-names":false,"suffix":""},{"dropping-particle":"","family":"Bedford","given":"Trevor","non-dropping-particle":"","parse-names":false,"suffix":""},{"dropping-particle":"","family":"Neher","given":"Richard A.","non-dropping-particle":"","parse-names":false,"suffix":""}],"container-title":"Bioinformatics","id":"ITEM-1","issue":"23","issued":{"date-parts":[["2018"]]},"page":"4121-4123","title":"NextStrain: Real-time tracking of pathogen evolution","type":"article-journal","volume":"34"},"uris":["http://www.mendeley.com/documents/?uuid=ecdb4cbf-0172-4c54-8c9c-3f2008f64f86"]}],"mendeley":{"formattedCitation":"&lt;sup&gt;61&lt;/sup&gt;","plainTextFormattedCitation":"61","previouslyFormattedCitation":"&lt;sup&gt;61&lt;/sup&gt;"},"properties":{"noteIndex":0},"schema":"https://github.com/citation-style-language/schema/raw/master/csl-citation.json"}</w:instrText>
      </w:r>
      <w:r>
        <w:fldChar w:fldCharType="separate"/>
      </w:r>
      <w:r>
        <w:rPr>
          <w:noProof/>
          <w:vertAlign w:val="superscript"/>
        </w:rPr>
        <w:t>61</w:t>
      </w:r>
      <w:r>
        <w:fldChar w:fldCharType="end"/>
      </w:r>
      <w:r>
        <w:t xml:space="preserve"> and </w:t>
      </w:r>
      <w:proofErr w:type="spellStart"/>
      <w:r>
        <w:t>baltic</w:t>
      </w:r>
      <w:proofErr w:type="spellEnd"/>
      <w:r>
        <w:t xml:space="preserve"> 0.1.0 (static view). The search for polymorphisms in comparison with the reference genome (</w:t>
      </w:r>
      <w:proofErr w:type="spellStart"/>
      <w:r>
        <w:t>MN908947.3</w:t>
      </w:r>
      <w:proofErr w:type="spellEnd"/>
      <w:r>
        <w:t>) was performed using Python scripts, and visualization of genome annotations were done using DNA Features Viewer 3.0.1</w:t>
      </w:r>
      <w:r>
        <w:fldChar w:fldCharType="begin" w:fldLock="1"/>
      </w:r>
      <w:r>
        <w:instrText>ADDIN CSL_CITATION {"citationItems":[{"id":"ITEM-1","itemData":{"DOI":"10.1093/bioinformatics/btaa213","ISSN":"1367-4803","author":[{"dropping-particle":"","family":"Zulkower","given":"Valentin","non-dropping-particle":"","parse-names":false,"suffix":""},{"dropping-particle":"","family":"Rosser","given":"Susan","non-dropping-particle":"","parse-names":false,"suffix":""}],"container-title":"Bioinformatics","editor":[{"dropping-particle":"","family":"Mathelier","given":"Anthony","non-dropping-particle":"","parse-names":false,"suffix":""}],"id":"ITEM-1","issue":"15","issued":{"date-parts":[["2020","8","1"]]},"page":"4350-4352","title":"DNA Features Viewer: a sequence annotation formatting and plotting library for Python","type":"article-journal","volume":"36"},"uris":["http://www.mendeley.com/documents/?uuid=64725706-f4da-4e3a-9619-0a66901e8ac8"]}],"mendeley":{"formattedCitation":"&lt;sup&gt;63&lt;/sup&gt;","plainTextFormattedCitation":"63","previouslyFormattedCitation":"&lt;sup&gt;63&lt;/sup&gt;"},"properties":{"noteIndex":0},"schema":"https://github.com/citation-style-language/schema/raw/master/csl-citation.json"}</w:instrText>
      </w:r>
      <w:r>
        <w:fldChar w:fldCharType="separate"/>
      </w:r>
      <w:r>
        <w:rPr>
          <w:noProof/>
          <w:vertAlign w:val="superscript"/>
        </w:rPr>
        <w:t>63</w:t>
      </w:r>
      <w:r>
        <w:fldChar w:fldCharType="end"/>
      </w:r>
      <w:r>
        <w:t xml:space="preserve">. The structure in Extended Data Fig. </w:t>
      </w:r>
      <w:proofErr w:type="spellStart"/>
      <w:r>
        <w:t>S2</w:t>
      </w:r>
      <w:proofErr w:type="spellEnd"/>
      <w:r>
        <w:t xml:space="preserve"> (</w:t>
      </w:r>
      <w:proofErr w:type="spellStart"/>
      <w:r>
        <w:t>PDB</w:t>
      </w:r>
      <w:proofErr w:type="spellEnd"/>
      <w:r>
        <w:t xml:space="preserve"> </w:t>
      </w:r>
      <w:proofErr w:type="spellStart"/>
      <w:r>
        <w:t>6VXX</w:t>
      </w:r>
      <w:proofErr w:type="spellEnd"/>
      <w:r>
        <w:t xml:space="preserve">) was downloaded from </w:t>
      </w:r>
      <w:proofErr w:type="spellStart"/>
      <w:r>
        <w:t>PDB</w:t>
      </w:r>
      <w:r>
        <w:fldChar w:fldCharType="begin" w:fldLock="1"/>
      </w:r>
      <w:r>
        <w:instrText>ADDIN CSL_CITATION {"citationItems":[{"id":"ITEM-1","itemData":{"DOI":"10.1016/j.cell.2020.02.058","ISSN":"10974172","PMID":"32155444","abstract":"The emergence of SARS-CoV-2 has resulted in &gt;90,000 infections and &gt;3,000 deaths. Coronavirus spike (S) glycoproteins promote entry into cells and are the main target of antibodies. We show that SARS-CoV-2 S uses ACE2 to enter cells and that the receptor-binding domains of SARS-CoV-2 S and SARS-CoV S bind with similar affinities to human ACE2, correlating with the efficient spread of SARS-CoV-2 among humans. We found that the SARS-CoV-2 S glycoprotein harbors a furin cleavage site at the boundary between the S1/S2 subunits, which is processed during biogenesis and sets this virus apart from SARS-CoV and SARS-related CoVs. We determined cryo-EM structures of the SARS-CoV-2 S ectodomain trimer, providing a blueprint for the design of vaccines and inhibitors of viral entry. Finally, we demonstrate that SARS-CoV S murine polyclonal antibodies potently inhibited SARS-CoV-2 S mediated entry into cells, indicating that cross-neutralizing antibodies targeting conserved S epitopes can be elicited upon vaccination.","author":[{"dropping-particle":"","family":"Walls","given":"Alexandra C.","non-dropping-particle":"","parse-names":false,"suffix":""},{"dropping-particle":"","family":"Park","given":"Young Jun","non-dropping-particle":"","parse-names":false,"suffix":""},{"dropping-particle":"","family":"Tortorici","given":"M. Alejandra","non-dropping-particle":"","parse-names":false,"suffix":""},{"dropping-particle":"","family":"Wall","given":"Abigail","non-dropping-particle":"","parse-names":false,"suffix":""},{"dropping-particle":"","family":"McGuire","given":"Andrew T.","non-dropping-particle":"","parse-names":false,"suffix":""},{"dropping-particle":"","family":"Veesler","given":"David","non-dropping-particle":"","parse-names":false,"suffix":""}],"container-title":"Cell","id":"ITEM-1","issue":"2","issued":{"date-parts":[["2020"]]},"page":"281-292.e6","publisher":"Elsevier","title":"Structure, Function, and Antigenicity of the SARS-CoV-2 Spike Glycoprotein","type":"article-journal","volume":"181"},"uris":["http://www.mendeley.com/documents/?uuid=f35bd86f-70f0-450c-be58-c6e3f2ee366b"]}],"mendeley":{"formattedCitation":"&lt;sup&gt;51&lt;/sup&gt;","plainTextFormattedCitation":"51","previouslyFormattedCitation":"&lt;sup&gt;51&lt;/sup&gt;"},"properties":{"noteIndex":0},"schema":"https://github.com/citation-style-language/schema/raw/master/csl-citation.json"}</w:instrText>
      </w:r>
      <w:r>
        <w:fldChar w:fldCharType="separate"/>
      </w:r>
      <w:r>
        <w:rPr>
          <w:noProof/>
          <w:vertAlign w:val="superscript"/>
        </w:rPr>
        <w:t>51</w:t>
      </w:r>
      <w:proofErr w:type="spellEnd"/>
      <w:r>
        <w:fldChar w:fldCharType="end"/>
      </w:r>
      <w:r>
        <w:t xml:space="preserve">, and formatted using </w:t>
      </w:r>
      <w:proofErr w:type="spellStart"/>
      <w:r>
        <w:t>PyMol</w:t>
      </w:r>
      <w:proofErr w:type="spellEnd"/>
      <w:r>
        <w:t xml:space="preserve">. (The </w:t>
      </w:r>
      <w:proofErr w:type="spellStart"/>
      <w:r>
        <w:t>PyMOL</w:t>
      </w:r>
      <w:proofErr w:type="spellEnd"/>
      <w:r>
        <w:t xml:space="preserve"> Molecular Graphics System, Version 2.0 Schrödinger, LLC</w:t>
      </w:r>
      <w:r>
        <w:rPr>
          <w:i/>
          <w:iCs/>
        </w:rPr>
        <w:t>.</w:t>
      </w:r>
      <w:r>
        <w:t>)</w:t>
      </w:r>
    </w:p>
    <w:p w14:paraId="47AFD863" w14:textId="77777777" w:rsidR="00F5389C" w:rsidRDefault="00F5389C" w:rsidP="00F5389C"/>
    <w:p w14:paraId="400D3C09" w14:textId="77777777" w:rsidR="00F5389C" w:rsidRDefault="00F5389C" w:rsidP="00F5389C">
      <w:pPr>
        <w:rPr>
          <w:i/>
        </w:rPr>
      </w:pPr>
      <w:r>
        <w:rPr>
          <w:i/>
        </w:rPr>
        <w:t>Flow cytometry</w:t>
      </w:r>
    </w:p>
    <w:p w14:paraId="56C4F897" w14:textId="77777777" w:rsidR="00F5389C" w:rsidRDefault="00F5389C" w:rsidP="00F5389C">
      <w:pPr>
        <w:rPr>
          <w:i/>
        </w:rPr>
      </w:pPr>
      <w:r>
        <w:t xml:space="preserve">As detailed in previous manuscripts and reproduced here for </w:t>
      </w:r>
      <w:proofErr w:type="spellStart"/>
      <w:r>
        <w:t>convenience</w:t>
      </w:r>
      <w:r>
        <w:fldChar w:fldCharType="begin" w:fldLock="1"/>
      </w:r>
      <w:r>
        <w:instrText>ADDIN CSL_CITATION {"citationItems":[{"id":"ITEM-1","itemData":{"DOI":"10.1038/s41586-020-2588-y","ISBN":"4158602025","ISSN":"14764687","PMID":"32717743","abstract":"Recent studies have provided insights into the pathogenesis of coronavirus disease 2019 (COVID-19)1–4. Yet, longitudinal immunological correlates of disease outcome remain unclear. Here, we serially analysed immune responses in 113 COVID-19 patients with moderate (non-ICU) and severe (ICU) disease. Immune profiling revealed an overall increase in innate cell lineages with a concomitant reduction in T cell number. We identify an association between early, elevated cytokines and worse disease outcomes. Following an early increase in cytokines, COVID-19 patients with moderate disease displayed a progressive reduction in type-1 (antiviral) and type-3 (antifungal) responses. In contrast, patients with severe disease maintained these elevated responses throughout the course of disease. Moreover, severe disease was accompanied by an increase in multiple type 2 (anti-helminths) effectors including, IL-5, IL-13, IgE and eosinophils. Unsupervised clustering analysis identified 4 immune signatures, representing (A) growth factors, (B) type-2/3 cytokines, (C) mixed type-1/2/3 cytokines, and (D) chemokines that correlated with three distinct disease trajectories of patients. The immune profile of patients who recovered with moderate disease was enriched in tissue reparative growth factor signature (A), while the profile for those with worsened disease trajectory had elevated levels of all four signatures. Thus, we identified development of a maladapted immune response profile associated with severe COVID-19 outcome and early immune signatures that correlate with divergent disease trajectories.","author":[{"dropping-particle":"","family":"Lucas","given":"Carolina","non-dropping-particle":"","parse-names":false,"suffix":""},{"dropping-particle":"","family":"Wong","given":"Patrick","non-dropping-particle":"","parse-names":false,"suffix":""},{"dropping-particle":"","family":"Klein","given":"Jon","non-dropping-particle":"","parse-names":false,"suffix":""},{"dropping-particle":"","family":"Castro","given":"Tiago B.R.","non-dropping-particle":"","parse-names":false,"suffix":""},{"dropping-particle":"","family":"Silva","given":"Julio","non-dropping-particle":"","parse-names":false,"suffix":""},{"dropping-particle":"","family":"Sundaram","given":"Maria","non-dropping-particle":"","parse-names":false,"suffix":""},{"dropping-particle":"","family":"Ellingson","given":"Mallory K.","non-dropping-particle":"","parse-names":false,"suffix":""},{"dropping-particle":"","family":"Mao","given":"Tianyang","non-dropping-particle":"","parse-names":false,"suffix":""},{"dropping-particle":"","family":"Oh","given":"Ji Eun","non-dropping-particle":"","parse-names":false,"suffix":""},{"dropping-particle":"","family":"Israelow","given":"Benjamin","non-dropping-particle":"","parse-names":false,"suffix":""},{"dropping-particle":"","family":"Takahashi","given":"Takehiro","non-dropping-particle":"","parse-names":false,"suffix":""},{"dropping-particle":"","family":"Tokuyama","given":"Maria","non-dropping-particle":"","parse-names":false,"suffix":""},{"dropping-particle":"","family":"Lu","given":"Peiwen","non-dropping-particle":"","parse-names":false,"suffix":""},{"dropping-particle":"","family":"Venkataraman","given":"Arvind","non-dropping-particle":"","parse-names":false,"suffix":""},{"dropping-particle":"","family":"Park","given":"Annsea","non-dropping-particle":"","parse-names":false,"suffix":""},{"dropping-particle":"","family":"Mohanty","given":"Subhasis","non-dropping-particle":"","parse-names":false,"suffix":""},{"dropping-particle":"","family":"Wang","given":"Haowei","non-dropping-particle":"","parse-names":false,"suffix":""},{"dropping-particle":"","family":"Wyllie","given":"Anne L.","non-dropping-particle":"","parse-names":false,"suffix":""},{"dropping-particle":"","family":"Vogels","given":"Chantal B.F.","non-dropping-particle":"","parse-names":false,"suffix":""},{"dropping-particle":"","family":"Earnest","given":"Rebecca","non-dropping-particle":"","parse-names":false,"suffix":""},{"dropping-particle":"","family":"Lapidus","given":"Sarah","non-dropping-particle":"","parse-names":false,"suffix":""},{"dropping-particle":"","family":"Ott","given":"Isabel M.","non-dropping-particle":"","parse-names":false,"suffix":""},{"dropping-particle":"","family":"Moore","given":"Adam J.","non-dropping-particle":"","parse-names":false,"suffix":""},{"dropping-particle":"","family":"Muenker","given":"M. Catherine","non-dropping-particle":"","parse-names":false,"suffix":""},{"dropping-particle":"","family":"Fournier","given":"John B.","non-dropping-particle":"","parse-names":false,"suffix":""},{"dropping-particle":"","family":"Campbell","given":"Melissa","non-dropping-particle":"","parse-names":false,"suffix":""},{"dropping-particle":"","family":"Odio","given":"Camila D.","non-dropping-particle":"","parse-names":false,"suffix":""},{"dropping-particle":"","family":"Casanovas-Massana","given":"Arnau","non-dropping-particle":"","parse-names":false,"suffix":""},{"dropping-particle":"","family":"Obaid","given":"Abeer","non-dropping-particle":"","parse-names":false,"suffix":""},{"dropping-particle":"","family":"Lu-Culligan","given":"Alice","non-dropping-particle":"","parse-names":false,"suffix":""},{"dropping-particle":"","family":"Nelson","given":"Allison","non-dropping-particle":"","parse-names":false,"suffix":""},{"dropping-particle":"","family":"Brito","given":"Anderson","non-dropping-particle":"","parse-names":false,"suffix":""},{"dropping-particle":"","family":"Nunez","given":"Angela","non-dropping-particle":"","parse-names":false,"suffix":""},{"dropping-particle":"","family":"Martin","given":"Anjelica","non-dropping-particle":"","parse-names":false,"suffix":""},{"dropping-particle":"","family":"Watkins","given":"Annie","non-dropping-particle":"","parse-names":false,"suffix":""},{"dropping-particle":"","family":"Geng","given":"Bertie","non-dropping-particle":"","parse-names":false,"suffix":""},{"dropping-particle":"","family":"Kalinich","given":"Chaney","non-dropping-particle":"","parse-names":false,"suffix":""},{"dropping-particle":"","family":"Harden","given":"Christina","non-dropping-particle":"","parse-names":false,"suffix":""},{"dropping-particle":"","family":"Todeasa","given":"Codruta","non-dropping-particle":"","parse-names":false,"suffix":""},{"dropping-particle":"","family":"Jensen","given":"Cole","non-dropping-particle":"","parse-names":false,"suffix":""},{"dropping-particle":"","family":"Kim","given":"Daniel","non-dropping-particle":"","parse-names":false,"suffix":""},{"dropping-particle":"","family":"McDonald","given":"David","non-dropping-particle":"","parse-names":false,"suffix":""},{"dropping-particle":"","family":"Shepard","given":"Denise","non-dropping-particle":"","parse-names":false,"suffix":""},{"dropping-particle":"","family":"Courchaine","given":"Edward","non-dropping-particle":"","parse-names":false,"suffix":""},{"dropping-particle":"","family":"White","given":"Elizabeth B.","non-dropping-particle":"","parse-names":false,"suffix":""},{"dropping-particle":"","family":"Song","given":"Eric","non-dropping-particle":"","parse-names":false,"suffix":""},{"dropping-particle":"","family":"Silva","given":"Erin","non-dropping-particle":"","parse-names":false,"suffix":""},{"dropping-particle":"","family":"Kudo","given":"Eriko","non-dropping-particle":"","parse-names":false,"suffix":""},{"dropping-particle":"","family":"DeIuliis","given":"Giuseppe","non-dropping-particle":"","parse-names":false,"suffix":""},{"dropping-particle":"","family":"Rahming","given":"Harold","non-dropping-particle":"","parse-names":false,"suffix":""},{"dropping-particle":"","family":"Park","given":"Hong Jai","non-dropping-particle":"","parse-names":false,"suffix":""},{"dropping-particle":"","family":"Matos","given":"Irene","non-dropping-particle":"","parse-names":false,"suffix":""},{"dropping-particle":"","family":"Nouws","given":"Jessica","non-dropping-particle":"","parse-names":false,"suffix":""},{"dropping-particle":"","family":"Valdez","given":"Jordan","non-dropping-particle":"","parse-names":false,"suffix":""},{"dropping-particle":"","family":"Fauver","given":"Joseph","non-dropping-particle":"","parse-names":false,"suffix":""},{"dropping-particle":"","family":"Lim","given":"Joseph","non-dropping-particle":"","parse-names":false,"suffix":""},{"dropping-particle":"","family":"Rose","given":"Kadi Ann","non-dropping-particle":"","parse-names":false,"suffix":""},{"dropping-particle":"","family":"Anastasio","given":"Kelly","non-dropping-particle":"","parse-names":false,"suffix":""},{"dropping-particle":"","family":"Brower","given":"Kristina","non-dropping-particle":"","parse-names":false,"suffix":""},{"dropping-particle":"","family":"Glick","given":"Laura","non-dropping-particle":"","parse-names":false,"suffix":""},{"dropping-particle":"","family":"Sharma","given":"Lokesh","non-dropping-particle":"","parse-names":false,"suffix":""},{"dropping-particle":"","family":"Sewanan","given":"Lorenzo","non-dropping-particle":"","parse-names":false,"suffix":""},{"dropping-particle":"","family":"Knaggs","given":"Lynda","non-dropping-particle":"","parse-names":false,"suffix":""},{"dropping-particle":"","family":"Minasyan","given":"Maksym","non-dropping-particle":"","parse-names":false,"suffix":""},{"dropping-particle":"","family":"Batsu","given":"Maria","non-dropping-particle":"","parse-names":false,"suffix":""},{"dropping-particle":"","family":"Petrone","given":"Mary","non-dropping-particle":"","parse-names":false,"suffix":""},{"dropping-particle":"","family":"Kuang","given":"Maxine","non-dropping-particle":"","parse-names":false,"suffix":""},{"dropping-particle":"","family":"Nakahata","given":"Maura","non-dropping-particle":"","parse-names":false,"suffix":""},{"dropping-particle":"","family":"Campbell","given":"Melissa","non-dropping-particle":"","parse-names":false,"suffix":""},{"dropping-particle":"","family":"Linehan","given":"Melissa","non-dropping-particle":"","parse-names":false,"suffix":""},{"dropping-particle":"","family":"Askenase","given":"Michael H.","non-dropping-particle":"","parse-names":false,"suffix":""},{"dropping-particle":"","family":"Simonov","given":"Michael","non-dropping-particle":"","parse-names":false,"suffix":""},{"dropping-particle":"","family":"Smolgovsky","given":"Mikhail","non-dropping-particle":"","parse-names":false,"suffix":""},{"dropping-particle":"","family":"Sonnert","given":"Nicole","non-dropping-particle":"","parse-names":false,"suffix":""},{"dropping-particle":"","family":"Naushad","given":"Nida","non-dropping-particle":"","parse-names":false,"suffix":""},{"dropping-particle":"","family":"Vijayakumar","given":"Pavithra","non-dropping-particle":"","parse-names":false,"suffix":""},{"dropping-particle":"","family":"Martinello","given":"Rick","non-dropping-particle":"","parse-names":false,"suffix":""},{"dropping-particle":"","family":"Datta","given":"Rupak","non-dropping-particle":"","parse-names":false,"suffix":""},{"dropping-particle":"","family":"Handoko","given":"Ryan","non-dropping-particle":"","parse-names":false,"suffix":""},{"dropping-particle":"","family":"Bermejo","given":"Santos","non-dropping-particle":"","parse-names":false,"suffix":""},{"dropping-particle":"","family":"Prophet","given":"Sarah","non-dropping-particle":"","parse-names":false,"suffix":""},{"dropping-particle":"","family":"Bickerton","given":"Sean","non-dropping-particle":"","parse-names":false,"suffix":""},{"dropping-particle":"","family":"Velazquez","given":"Sofia","non-dropping-particle":"","parse-names":false,"suffix":""},{"dropping-particle":"","family":"Alpert","given":"Tara","non-dropping-particle":"","parse-names":false,"suffix":""},{"dropping-particle":"","family":"Rice","given":"Tyler","non-dropping-particle":"","parse-names":false,"suffix":""},{"dropping-particle":"","family":"Khoury-Hanold","given":"William","non-dropping-particle":"","parse-names":false,"suffix":""},{"dropping-particle":"","family":"Peng","given":"Xiaohua","non-dropping-particle":"","parse-names":false,"suffix":""},{"dropping-particle":"","family":"Yang","given":"Yexin","non-dropping-particle":"","parse-names":false,"suffix":""},{"dropping-particle":"","family":"Cao","given":"Yiyun","non-dropping-particle":"","parse-names":false,"suffix":""},{"dropping-particle":"","family":"Strong","given":"Yvette","non-dropping-particle":"","parse-names":false,"suffix":""},{"dropping-particle":"","family":"Herbst","given":"Roy","non-dropping-particle":"","parse-names":false,"suffix":""},{"dropping-particle":"","family":"Shaw","given":"Albert C.","non-dropping-particle":"","parse-names":false,"suffix":""},{"dropping-particle":"","family":"Medzhitov","given":"Ruslan","non-dropping-particle":"","parse-names":false,"suffix":""},{"dropping-particle":"","family":"Schulz","given":"Wade L.","non-dropping-particle":"","parse-names":false,"suffix":""},{"dropping-particle":"","family":"Grubaugh","given":"Nathan D.","non-dropping-particle":"","parse-names":false,"suffix":""},{"dropping-particle":"","family":"Cruz","given":"Charles","non-dropping-particle":"Dela","parse-names":false,"suffix":""},{"dropping-particle":"","family":"Farhadian","given":"Shelli","non-dropping-particle":"","parse-names":false,"suffix":""},{"dropping-particle":"","family":"Ko","given":"Albert I.","non-dropping-particle":"","parse-names":false,"suffix":""},{"dropping-particle":"","family":"Omer","given":"Saad B.","non-dropping-particle":"","parse-names":false,"suffix":""},{"dropping-particle":"","family":"Iwasaki","given":"Akiko","non-dropping-particle":"","parse-names":false,"suffix":""}],"container-title":"Nature","id":"ITEM-1","issue":"June","issued":{"date-parts":[["2020"]]},"title":"Longitudinal analyses reveal immunological misfiring in severe COVID-19","type":"article-journal","volume":"584"},"uris":["http://www.mendeley.com/documents/?uuid=6b35c15c-2430-4671-bb93-427ed897744e"]}],"mendeley":{"formattedCitation":"&lt;sup&gt;52&lt;/sup&gt;","plainTextFormattedCitation":"52","previouslyFormattedCitation":"&lt;sup&gt;52&lt;/sup&gt;"},"properties":{"noteIndex":0},"schema":"https://github.com/citation-style-language/schema/raw/master/csl-citation.json"}</w:instrText>
      </w:r>
      <w:r>
        <w:fldChar w:fldCharType="separate"/>
      </w:r>
      <w:r>
        <w:rPr>
          <w:noProof/>
          <w:vertAlign w:val="superscript"/>
        </w:rPr>
        <w:t>52</w:t>
      </w:r>
      <w:proofErr w:type="spellEnd"/>
      <w:r>
        <w:fldChar w:fldCharType="end"/>
      </w:r>
      <w:r>
        <w:t xml:space="preserve">, antibody clones and vendors used for flow cytometry analysis were as follows: </w:t>
      </w:r>
      <w:proofErr w:type="spellStart"/>
      <w:r>
        <w:t>BB515</w:t>
      </w:r>
      <w:proofErr w:type="spellEnd"/>
      <w:r>
        <w:t xml:space="preserve"> anti-</w:t>
      </w:r>
      <w:proofErr w:type="spellStart"/>
      <w:r>
        <w:t>hHLA</w:t>
      </w:r>
      <w:proofErr w:type="spellEnd"/>
      <w:r>
        <w:t>-DR (</w:t>
      </w:r>
      <w:proofErr w:type="spellStart"/>
      <w:r>
        <w:t>G46</w:t>
      </w:r>
      <w:proofErr w:type="spellEnd"/>
      <w:r>
        <w:t xml:space="preserve">-6) (1:400) (BD Biosciences), </w:t>
      </w:r>
      <w:proofErr w:type="spellStart"/>
      <w:r>
        <w:t>BV785</w:t>
      </w:r>
      <w:proofErr w:type="spellEnd"/>
      <w:r>
        <w:t xml:space="preserve"> anti-</w:t>
      </w:r>
      <w:proofErr w:type="spellStart"/>
      <w:r>
        <w:t>hCD16</w:t>
      </w:r>
      <w:proofErr w:type="spellEnd"/>
      <w:r>
        <w:t xml:space="preserve"> (</w:t>
      </w:r>
      <w:proofErr w:type="spellStart"/>
      <w:r>
        <w:t>3G8</w:t>
      </w:r>
      <w:proofErr w:type="spellEnd"/>
      <w:r>
        <w:t>) (1:100) (</w:t>
      </w:r>
      <w:proofErr w:type="spellStart"/>
      <w:r>
        <w:t>BioLegend</w:t>
      </w:r>
      <w:proofErr w:type="spellEnd"/>
      <w:r>
        <w:t>), PE-</w:t>
      </w:r>
      <w:proofErr w:type="spellStart"/>
      <w:r>
        <w:t>Cy7</w:t>
      </w:r>
      <w:proofErr w:type="spellEnd"/>
      <w:r>
        <w:t xml:space="preserve"> anti-</w:t>
      </w:r>
      <w:proofErr w:type="spellStart"/>
      <w:r>
        <w:t>hCD14</w:t>
      </w:r>
      <w:proofErr w:type="spellEnd"/>
      <w:r>
        <w:t xml:space="preserve"> (</w:t>
      </w:r>
      <w:proofErr w:type="spellStart"/>
      <w:r>
        <w:t>HCD14</w:t>
      </w:r>
      <w:proofErr w:type="spellEnd"/>
      <w:r>
        <w:t>) (1:300) (</w:t>
      </w:r>
      <w:proofErr w:type="spellStart"/>
      <w:r>
        <w:t>BioLegend</w:t>
      </w:r>
      <w:proofErr w:type="spellEnd"/>
      <w:r>
        <w:t xml:space="preserve">), </w:t>
      </w:r>
      <w:proofErr w:type="spellStart"/>
      <w:r>
        <w:t>BV605</w:t>
      </w:r>
      <w:proofErr w:type="spellEnd"/>
      <w:r>
        <w:t xml:space="preserve"> anti-</w:t>
      </w:r>
      <w:proofErr w:type="spellStart"/>
      <w:r>
        <w:t>hCD3</w:t>
      </w:r>
      <w:proofErr w:type="spellEnd"/>
      <w:r>
        <w:t xml:space="preserve"> (</w:t>
      </w:r>
      <w:proofErr w:type="spellStart"/>
      <w:r>
        <w:t>UCHT1</w:t>
      </w:r>
      <w:proofErr w:type="spellEnd"/>
      <w:r>
        <w:t>) (1:300) (</w:t>
      </w:r>
      <w:proofErr w:type="spellStart"/>
      <w:r>
        <w:t>BioLegend</w:t>
      </w:r>
      <w:proofErr w:type="spellEnd"/>
      <w:r>
        <w:t xml:space="preserve">), </w:t>
      </w:r>
      <w:proofErr w:type="spellStart"/>
      <w:r>
        <w:t>BV711</w:t>
      </w:r>
      <w:proofErr w:type="spellEnd"/>
      <w:r>
        <w:t xml:space="preserve"> anti-</w:t>
      </w:r>
      <w:proofErr w:type="spellStart"/>
      <w:r>
        <w:t>hCD19</w:t>
      </w:r>
      <w:proofErr w:type="spellEnd"/>
      <w:r>
        <w:t xml:space="preserve"> (</w:t>
      </w:r>
      <w:proofErr w:type="spellStart"/>
      <w:r>
        <w:t>SJ25C1</w:t>
      </w:r>
      <w:proofErr w:type="spellEnd"/>
      <w:r>
        <w:t xml:space="preserve">) (1:300) (BD Biosciences), </w:t>
      </w:r>
      <w:proofErr w:type="spellStart"/>
      <w:r>
        <w:t>AlexaFluor647</w:t>
      </w:r>
      <w:proofErr w:type="spellEnd"/>
      <w:r>
        <w:t xml:space="preserve"> anti-</w:t>
      </w:r>
      <w:proofErr w:type="spellStart"/>
      <w:r>
        <w:t>hCD1c</w:t>
      </w:r>
      <w:proofErr w:type="spellEnd"/>
      <w:r>
        <w:t xml:space="preserve"> (</w:t>
      </w:r>
      <w:proofErr w:type="spellStart"/>
      <w:r>
        <w:t>L161</w:t>
      </w:r>
      <w:proofErr w:type="spellEnd"/>
      <w:r>
        <w:t>) (1:150) (</w:t>
      </w:r>
      <w:proofErr w:type="spellStart"/>
      <w:r>
        <w:t>BioLegend</w:t>
      </w:r>
      <w:proofErr w:type="spellEnd"/>
      <w:r>
        <w:t>), biotin anti-</w:t>
      </w:r>
      <w:proofErr w:type="spellStart"/>
      <w:r>
        <w:t>hCD141</w:t>
      </w:r>
      <w:proofErr w:type="spellEnd"/>
      <w:r>
        <w:t xml:space="preserve"> (</w:t>
      </w:r>
      <w:proofErr w:type="spellStart"/>
      <w:r>
        <w:t>M80</w:t>
      </w:r>
      <w:proofErr w:type="spellEnd"/>
      <w:r>
        <w:t>) (1:150) (</w:t>
      </w:r>
      <w:proofErr w:type="spellStart"/>
      <w:r>
        <w:t>BioLegend</w:t>
      </w:r>
      <w:proofErr w:type="spellEnd"/>
      <w:r>
        <w:t>), PE-</w:t>
      </w:r>
      <w:proofErr w:type="spellStart"/>
      <w:r>
        <w:t>Dazzle594</w:t>
      </w:r>
      <w:proofErr w:type="spellEnd"/>
      <w:r>
        <w:t xml:space="preserve"> anti-</w:t>
      </w:r>
      <w:proofErr w:type="spellStart"/>
      <w:r>
        <w:t>hCD56</w:t>
      </w:r>
      <w:proofErr w:type="spellEnd"/>
      <w:r>
        <w:t xml:space="preserve"> (</w:t>
      </w:r>
      <w:proofErr w:type="spellStart"/>
      <w:r>
        <w:t>HCD56</w:t>
      </w:r>
      <w:proofErr w:type="spellEnd"/>
      <w:r>
        <w:t>) (1:300) (</w:t>
      </w:r>
      <w:proofErr w:type="spellStart"/>
      <w:r>
        <w:t>BioLegend</w:t>
      </w:r>
      <w:proofErr w:type="spellEnd"/>
      <w:r>
        <w:t>), PE anti-</w:t>
      </w:r>
      <w:proofErr w:type="spellStart"/>
      <w:r>
        <w:t>hCD304</w:t>
      </w:r>
      <w:proofErr w:type="spellEnd"/>
      <w:r>
        <w:t xml:space="preserve"> (</w:t>
      </w:r>
      <w:proofErr w:type="spellStart"/>
      <w:r>
        <w:t>12C2</w:t>
      </w:r>
      <w:proofErr w:type="spellEnd"/>
      <w:r>
        <w:t>) (1:300) (</w:t>
      </w:r>
      <w:proofErr w:type="spellStart"/>
      <w:r>
        <w:t>BioLegend</w:t>
      </w:r>
      <w:proofErr w:type="spellEnd"/>
      <w:r>
        <w:t xml:space="preserve">), </w:t>
      </w:r>
      <w:proofErr w:type="spellStart"/>
      <w:r>
        <w:t>APCFire750</w:t>
      </w:r>
      <w:proofErr w:type="spellEnd"/>
      <w:r>
        <w:t xml:space="preserve"> anti-</w:t>
      </w:r>
      <w:proofErr w:type="spellStart"/>
      <w:r>
        <w:t>hCD11b</w:t>
      </w:r>
      <w:proofErr w:type="spellEnd"/>
      <w:r>
        <w:t xml:space="preserve"> (</w:t>
      </w:r>
      <w:proofErr w:type="spellStart"/>
      <w:r>
        <w:t>ICRF44</w:t>
      </w:r>
      <w:proofErr w:type="spellEnd"/>
      <w:r>
        <w:t>) (1:100) (</w:t>
      </w:r>
      <w:proofErr w:type="spellStart"/>
      <w:r>
        <w:t>BioLegend</w:t>
      </w:r>
      <w:proofErr w:type="spellEnd"/>
      <w:r>
        <w:t xml:space="preserve">), </w:t>
      </w:r>
      <w:proofErr w:type="spellStart"/>
      <w:r>
        <w:t>PerCP</w:t>
      </w:r>
      <w:proofErr w:type="spellEnd"/>
      <w:r>
        <w:t>/</w:t>
      </w:r>
      <w:proofErr w:type="spellStart"/>
      <w:r>
        <w:t>Cy5.5</w:t>
      </w:r>
      <w:proofErr w:type="spellEnd"/>
      <w:r>
        <w:t xml:space="preserve"> anti-</w:t>
      </w:r>
      <w:proofErr w:type="spellStart"/>
      <w:r>
        <w:t>hCD66b</w:t>
      </w:r>
      <w:proofErr w:type="spellEnd"/>
      <w:r>
        <w:t xml:space="preserve"> (</w:t>
      </w:r>
      <w:proofErr w:type="spellStart"/>
      <w:r>
        <w:t>G10F5</w:t>
      </w:r>
      <w:proofErr w:type="spellEnd"/>
      <w:r>
        <w:t xml:space="preserve">) (1:200) (BD Biosciences), </w:t>
      </w:r>
      <w:proofErr w:type="spellStart"/>
      <w:r>
        <w:t>BV785</w:t>
      </w:r>
      <w:proofErr w:type="spellEnd"/>
      <w:r>
        <w:t xml:space="preserve"> anti-</w:t>
      </w:r>
      <w:proofErr w:type="spellStart"/>
      <w:r>
        <w:t>hCD4</w:t>
      </w:r>
      <w:proofErr w:type="spellEnd"/>
      <w:r>
        <w:t xml:space="preserve"> (</w:t>
      </w:r>
      <w:proofErr w:type="spellStart"/>
      <w:r>
        <w:t>SK3</w:t>
      </w:r>
      <w:proofErr w:type="spellEnd"/>
      <w:r>
        <w:t>) (1:200) (</w:t>
      </w:r>
      <w:proofErr w:type="spellStart"/>
      <w:r>
        <w:t>BioLegend</w:t>
      </w:r>
      <w:proofErr w:type="spellEnd"/>
      <w:r>
        <w:t xml:space="preserve">), </w:t>
      </w:r>
      <w:proofErr w:type="spellStart"/>
      <w:r>
        <w:t>APCFire750</w:t>
      </w:r>
      <w:proofErr w:type="spellEnd"/>
      <w:r>
        <w:t xml:space="preserve"> or PE-</w:t>
      </w:r>
      <w:proofErr w:type="spellStart"/>
      <w:r>
        <w:t>Cy7</w:t>
      </w:r>
      <w:proofErr w:type="spellEnd"/>
      <w:r>
        <w:t xml:space="preserve"> or </w:t>
      </w:r>
      <w:proofErr w:type="spellStart"/>
      <w:r>
        <w:t>BV711</w:t>
      </w:r>
      <w:proofErr w:type="spellEnd"/>
      <w:r>
        <w:t xml:space="preserve"> anti-</w:t>
      </w:r>
      <w:proofErr w:type="spellStart"/>
      <w:r>
        <w:t>hCD8</w:t>
      </w:r>
      <w:proofErr w:type="spellEnd"/>
      <w:r>
        <w:t xml:space="preserve"> (</w:t>
      </w:r>
      <w:proofErr w:type="spellStart"/>
      <w:r>
        <w:t>SK1</w:t>
      </w:r>
      <w:proofErr w:type="spellEnd"/>
      <w:r>
        <w:t>) (1:200) (</w:t>
      </w:r>
      <w:proofErr w:type="spellStart"/>
      <w:r>
        <w:t>BioLegend</w:t>
      </w:r>
      <w:proofErr w:type="spellEnd"/>
      <w:r>
        <w:t xml:space="preserve">), </w:t>
      </w:r>
      <w:proofErr w:type="spellStart"/>
      <w:r>
        <w:t>BV421</w:t>
      </w:r>
      <w:proofErr w:type="spellEnd"/>
      <w:r>
        <w:t xml:space="preserve"> anti-</w:t>
      </w:r>
      <w:proofErr w:type="spellStart"/>
      <w:r>
        <w:t>hCCR7</w:t>
      </w:r>
      <w:proofErr w:type="spellEnd"/>
      <w:r>
        <w:t xml:space="preserve"> (</w:t>
      </w:r>
      <w:proofErr w:type="spellStart"/>
      <w:r>
        <w:t>G043H7</w:t>
      </w:r>
      <w:proofErr w:type="spellEnd"/>
      <w:r>
        <w:t>) (1:50) (</w:t>
      </w:r>
      <w:proofErr w:type="spellStart"/>
      <w:r>
        <w:t>BioLegend</w:t>
      </w:r>
      <w:proofErr w:type="spellEnd"/>
      <w:r>
        <w:t xml:space="preserve">), </w:t>
      </w:r>
      <w:proofErr w:type="spellStart"/>
      <w:r>
        <w:t>AlexaFluor</w:t>
      </w:r>
      <w:proofErr w:type="spellEnd"/>
      <w:r>
        <w:t xml:space="preserve"> 700 anti-</w:t>
      </w:r>
      <w:proofErr w:type="spellStart"/>
      <w:r>
        <w:t>hCD45RA</w:t>
      </w:r>
      <w:proofErr w:type="spellEnd"/>
      <w:r>
        <w:t xml:space="preserve"> (</w:t>
      </w:r>
      <w:proofErr w:type="spellStart"/>
      <w:r>
        <w:t>HI100</w:t>
      </w:r>
      <w:proofErr w:type="spellEnd"/>
      <w:r>
        <w:t>) (1:200) (BD Biosciences), PE anti-</w:t>
      </w:r>
      <w:proofErr w:type="spellStart"/>
      <w:r>
        <w:t>hPD1</w:t>
      </w:r>
      <w:proofErr w:type="spellEnd"/>
      <w:r>
        <w:t xml:space="preserve"> (</w:t>
      </w:r>
      <w:proofErr w:type="spellStart"/>
      <w:r>
        <w:t>EH12.2H7</w:t>
      </w:r>
      <w:proofErr w:type="spellEnd"/>
      <w:r>
        <w:t>) (1:200) (</w:t>
      </w:r>
      <w:proofErr w:type="spellStart"/>
      <w:r>
        <w:t>BioLegend</w:t>
      </w:r>
      <w:proofErr w:type="spellEnd"/>
      <w:r>
        <w:t>), APC anti-</w:t>
      </w:r>
      <w:proofErr w:type="spellStart"/>
      <w:r>
        <w:t>hTIM3</w:t>
      </w:r>
      <w:proofErr w:type="spellEnd"/>
      <w:r>
        <w:t xml:space="preserve"> (</w:t>
      </w:r>
      <w:proofErr w:type="spellStart"/>
      <w:r>
        <w:t>F38-2E2</w:t>
      </w:r>
      <w:proofErr w:type="spellEnd"/>
      <w:r>
        <w:t>) (1:50) (</w:t>
      </w:r>
      <w:proofErr w:type="spellStart"/>
      <w:r>
        <w:t>BioLegend</w:t>
      </w:r>
      <w:proofErr w:type="spellEnd"/>
      <w:r>
        <w:t xml:space="preserve">), </w:t>
      </w:r>
      <w:proofErr w:type="spellStart"/>
      <w:r>
        <w:t>BV711</w:t>
      </w:r>
      <w:proofErr w:type="spellEnd"/>
      <w:r>
        <w:t xml:space="preserve"> anti-</w:t>
      </w:r>
      <w:proofErr w:type="spellStart"/>
      <w:r>
        <w:t>hCD38</w:t>
      </w:r>
      <w:proofErr w:type="spellEnd"/>
      <w:r>
        <w:t xml:space="preserve"> (</w:t>
      </w:r>
      <w:proofErr w:type="spellStart"/>
      <w:r>
        <w:t>HIT2</w:t>
      </w:r>
      <w:proofErr w:type="spellEnd"/>
      <w:r>
        <w:t>) (1:200) (</w:t>
      </w:r>
      <w:proofErr w:type="spellStart"/>
      <w:r>
        <w:t>BioLegend</w:t>
      </w:r>
      <w:proofErr w:type="spellEnd"/>
      <w:r>
        <w:t xml:space="preserve">), </w:t>
      </w:r>
      <w:proofErr w:type="spellStart"/>
      <w:r>
        <w:t>BB700</w:t>
      </w:r>
      <w:proofErr w:type="spellEnd"/>
      <w:r>
        <w:t xml:space="preserve"> anti-</w:t>
      </w:r>
      <w:proofErr w:type="spellStart"/>
      <w:r>
        <w:t>hCXCR5</w:t>
      </w:r>
      <w:proofErr w:type="spellEnd"/>
      <w:r>
        <w:t xml:space="preserve"> (</w:t>
      </w:r>
      <w:proofErr w:type="spellStart"/>
      <w:r>
        <w:t>RF8B2</w:t>
      </w:r>
      <w:proofErr w:type="spellEnd"/>
      <w:r>
        <w:t>) (1:50) (BD Biosciences), PE-</w:t>
      </w:r>
      <w:proofErr w:type="spellStart"/>
      <w:r>
        <w:t>Cy7</w:t>
      </w:r>
      <w:proofErr w:type="spellEnd"/>
      <w:r>
        <w:t xml:space="preserve"> anti-</w:t>
      </w:r>
      <w:proofErr w:type="spellStart"/>
      <w:r>
        <w:t>hCD127</w:t>
      </w:r>
      <w:proofErr w:type="spellEnd"/>
      <w:r>
        <w:t xml:space="preserve"> (</w:t>
      </w:r>
      <w:proofErr w:type="spellStart"/>
      <w:r>
        <w:t>HIL-7R-M21</w:t>
      </w:r>
      <w:proofErr w:type="spellEnd"/>
      <w:r>
        <w:t>) (1:50) (</w:t>
      </w:r>
      <w:proofErr w:type="spellStart"/>
      <w:r>
        <w:t>BioLegend</w:t>
      </w:r>
      <w:proofErr w:type="spellEnd"/>
      <w:r>
        <w:t>), PE-</w:t>
      </w:r>
      <w:proofErr w:type="spellStart"/>
      <w:r>
        <w:t>CF594</w:t>
      </w:r>
      <w:proofErr w:type="spellEnd"/>
      <w:r>
        <w:t xml:space="preserve"> anti-</w:t>
      </w:r>
      <w:proofErr w:type="spellStart"/>
      <w:r>
        <w:t>hCD25</w:t>
      </w:r>
      <w:proofErr w:type="spellEnd"/>
      <w:r>
        <w:t xml:space="preserve"> (</w:t>
      </w:r>
      <w:proofErr w:type="spellStart"/>
      <w:r>
        <w:t>BC96</w:t>
      </w:r>
      <w:proofErr w:type="spellEnd"/>
      <w:r>
        <w:t xml:space="preserve">) (1:200) (BD Biosciences), </w:t>
      </w:r>
      <w:proofErr w:type="spellStart"/>
      <w:r>
        <w:t>BV711</w:t>
      </w:r>
      <w:proofErr w:type="spellEnd"/>
      <w:r>
        <w:t xml:space="preserve"> anti-</w:t>
      </w:r>
      <w:proofErr w:type="spellStart"/>
      <w:r>
        <w:t>hCD127</w:t>
      </w:r>
      <w:proofErr w:type="spellEnd"/>
      <w:r>
        <w:t xml:space="preserve"> (</w:t>
      </w:r>
      <w:proofErr w:type="spellStart"/>
      <w:r>
        <w:t>HIL-7R-M21</w:t>
      </w:r>
      <w:proofErr w:type="spellEnd"/>
      <w:r>
        <w:t xml:space="preserve">) (1:50) (BD Biosciences), </w:t>
      </w:r>
      <w:proofErr w:type="spellStart"/>
      <w:r>
        <w:t>BV421</w:t>
      </w:r>
      <w:proofErr w:type="spellEnd"/>
      <w:r>
        <w:t xml:space="preserve"> anti-</w:t>
      </w:r>
      <w:proofErr w:type="spellStart"/>
      <w:r>
        <w:t>hIL17a</w:t>
      </w:r>
      <w:proofErr w:type="spellEnd"/>
      <w:r>
        <w:t xml:space="preserve"> (</w:t>
      </w:r>
      <w:proofErr w:type="spellStart"/>
      <w:r>
        <w:t>N49</w:t>
      </w:r>
      <w:proofErr w:type="spellEnd"/>
      <w:r>
        <w:t xml:space="preserve">-653) (1:100) (BD Biosciences), </w:t>
      </w:r>
      <w:proofErr w:type="spellStart"/>
      <w:r>
        <w:t>AlexaFluor</w:t>
      </w:r>
      <w:proofErr w:type="spellEnd"/>
      <w:r>
        <w:t xml:space="preserve"> 700 anti-</w:t>
      </w:r>
      <w:proofErr w:type="spellStart"/>
      <w:r>
        <w:t>hTNFa</w:t>
      </w:r>
      <w:proofErr w:type="spellEnd"/>
      <w:r>
        <w:t xml:space="preserve"> (</w:t>
      </w:r>
      <w:proofErr w:type="spellStart"/>
      <w:r>
        <w:t>MAb11</w:t>
      </w:r>
      <w:proofErr w:type="spellEnd"/>
      <w:r>
        <w:t>) (1:100) (</w:t>
      </w:r>
      <w:proofErr w:type="spellStart"/>
      <w:r>
        <w:t>BioLegend</w:t>
      </w:r>
      <w:proofErr w:type="spellEnd"/>
      <w:r>
        <w:t>), PE or APC/</w:t>
      </w:r>
      <w:proofErr w:type="spellStart"/>
      <w:r>
        <w:t>Fire750</w:t>
      </w:r>
      <w:proofErr w:type="spellEnd"/>
      <w:r>
        <w:t xml:space="preserve"> anti-</w:t>
      </w:r>
      <w:proofErr w:type="spellStart"/>
      <w:r>
        <w:t>hIFNy</w:t>
      </w:r>
      <w:proofErr w:type="spellEnd"/>
      <w:r>
        <w:t xml:space="preserve"> (</w:t>
      </w:r>
      <w:proofErr w:type="spellStart"/>
      <w:r>
        <w:t>4S.B3</w:t>
      </w:r>
      <w:proofErr w:type="spellEnd"/>
      <w:r>
        <w:t>) (1:60) (</w:t>
      </w:r>
      <w:proofErr w:type="spellStart"/>
      <w:r>
        <w:t>BioLegend</w:t>
      </w:r>
      <w:proofErr w:type="spellEnd"/>
      <w:r>
        <w:t xml:space="preserve">), </w:t>
      </w:r>
      <w:proofErr w:type="spellStart"/>
      <w:r>
        <w:t>FITC</w:t>
      </w:r>
      <w:proofErr w:type="spellEnd"/>
      <w:r>
        <w:t xml:space="preserve"> anti-</w:t>
      </w:r>
      <w:proofErr w:type="spellStart"/>
      <w:r>
        <w:t>hGranzymeB</w:t>
      </w:r>
      <w:proofErr w:type="spellEnd"/>
      <w:r>
        <w:t xml:space="preserve"> (</w:t>
      </w:r>
      <w:proofErr w:type="spellStart"/>
      <w:r>
        <w:t>GB11</w:t>
      </w:r>
      <w:proofErr w:type="spellEnd"/>
      <w:r>
        <w:t>) (1:200) (</w:t>
      </w:r>
      <w:proofErr w:type="spellStart"/>
      <w:r>
        <w:t>BioLegend</w:t>
      </w:r>
      <w:proofErr w:type="spellEnd"/>
      <w:r>
        <w:t xml:space="preserve">), </w:t>
      </w:r>
      <w:proofErr w:type="spellStart"/>
      <w:r>
        <w:t>AlexaFluor</w:t>
      </w:r>
      <w:proofErr w:type="spellEnd"/>
      <w:r>
        <w:t xml:space="preserve"> 647 anti-</w:t>
      </w:r>
      <w:proofErr w:type="spellStart"/>
      <w:r>
        <w:t>hIL</w:t>
      </w:r>
      <w:proofErr w:type="spellEnd"/>
      <w:r>
        <w:t>-4 (</w:t>
      </w:r>
      <w:proofErr w:type="spellStart"/>
      <w:r>
        <w:t>8D4</w:t>
      </w:r>
      <w:proofErr w:type="spellEnd"/>
      <w:r>
        <w:t>-8) (1:100) (</w:t>
      </w:r>
      <w:proofErr w:type="spellStart"/>
      <w:r>
        <w:t>BioLegend</w:t>
      </w:r>
      <w:proofErr w:type="spellEnd"/>
      <w:r>
        <w:t xml:space="preserve">), </w:t>
      </w:r>
      <w:proofErr w:type="spellStart"/>
      <w:r>
        <w:t>BB700</w:t>
      </w:r>
      <w:proofErr w:type="spellEnd"/>
      <w:r>
        <w:t xml:space="preserve"> anti-</w:t>
      </w:r>
      <w:proofErr w:type="spellStart"/>
      <w:r>
        <w:t>hCD183</w:t>
      </w:r>
      <w:proofErr w:type="spellEnd"/>
      <w:r>
        <w:t>/</w:t>
      </w:r>
      <w:proofErr w:type="spellStart"/>
      <w:r>
        <w:t>CXCR3</w:t>
      </w:r>
      <w:proofErr w:type="spellEnd"/>
      <w:r>
        <w:t xml:space="preserve"> (</w:t>
      </w:r>
      <w:proofErr w:type="spellStart"/>
      <w:r>
        <w:t>1C6</w:t>
      </w:r>
      <w:proofErr w:type="spellEnd"/>
      <w:r>
        <w:t>/</w:t>
      </w:r>
      <w:proofErr w:type="spellStart"/>
      <w:r>
        <w:t>CXCR3</w:t>
      </w:r>
      <w:proofErr w:type="spellEnd"/>
      <w:r>
        <w:t>) (1:100) (BD Biosciences), PE-</w:t>
      </w:r>
      <w:proofErr w:type="spellStart"/>
      <w:r>
        <w:t>Cy7</w:t>
      </w:r>
      <w:proofErr w:type="spellEnd"/>
      <w:r>
        <w:t xml:space="preserve"> anti-</w:t>
      </w:r>
      <w:proofErr w:type="spellStart"/>
      <w:r>
        <w:t>hIL</w:t>
      </w:r>
      <w:proofErr w:type="spellEnd"/>
      <w:r>
        <w:t>-6 (</w:t>
      </w:r>
      <w:proofErr w:type="spellStart"/>
      <w:r>
        <w:t>MQ2-13A5</w:t>
      </w:r>
      <w:proofErr w:type="spellEnd"/>
      <w:r>
        <w:t>) (1:50) (</w:t>
      </w:r>
      <w:proofErr w:type="spellStart"/>
      <w:r>
        <w:t>BioLegend</w:t>
      </w:r>
      <w:proofErr w:type="spellEnd"/>
      <w:r>
        <w:t>), PE anti-</w:t>
      </w:r>
      <w:proofErr w:type="spellStart"/>
      <w:r>
        <w:t>hIL</w:t>
      </w:r>
      <w:proofErr w:type="spellEnd"/>
      <w:r>
        <w:t xml:space="preserve">-2 (5344.111) (1:50) (BD Biosciences), </w:t>
      </w:r>
      <w:proofErr w:type="spellStart"/>
      <w:r>
        <w:t>BV785</w:t>
      </w:r>
      <w:proofErr w:type="spellEnd"/>
      <w:r>
        <w:t xml:space="preserve"> anti-</w:t>
      </w:r>
      <w:proofErr w:type="spellStart"/>
      <w:r>
        <w:t>hCD19</w:t>
      </w:r>
      <w:proofErr w:type="spellEnd"/>
      <w:r>
        <w:t xml:space="preserve"> (</w:t>
      </w:r>
      <w:proofErr w:type="spellStart"/>
      <w:r>
        <w:t>SJ25C1</w:t>
      </w:r>
      <w:proofErr w:type="spellEnd"/>
      <w:r>
        <w:t>) (1:300) (</w:t>
      </w:r>
      <w:proofErr w:type="spellStart"/>
      <w:r>
        <w:t>BioLegend</w:t>
      </w:r>
      <w:proofErr w:type="spellEnd"/>
      <w:r>
        <w:t xml:space="preserve">), </w:t>
      </w:r>
      <w:proofErr w:type="spellStart"/>
      <w:r>
        <w:t>BV421</w:t>
      </w:r>
      <w:proofErr w:type="spellEnd"/>
      <w:r>
        <w:t xml:space="preserve"> anti-</w:t>
      </w:r>
      <w:proofErr w:type="spellStart"/>
      <w:r>
        <w:t>hCD138</w:t>
      </w:r>
      <w:proofErr w:type="spellEnd"/>
      <w:r>
        <w:t xml:space="preserve"> (</w:t>
      </w:r>
      <w:proofErr w:type="spellStart"/>
      <w:r>
        <w:t>MI15</w:t>
      </w:r>
      <w:proofErr w:type="spellEnd"/>
      <w:r>
        <w:t>) (1:300) (</w:t>
      </w:r>
      <w:proofErr w:type="spellStart"/>
      <w:r>
        <w:t>BioLegend</w:t>
      </w:r>
      <w:proofErr w:type="spellEnd"/>
      <w:r>
        <w:t xml:space="preserve">), </w:t>
      </w:r>
      <w:proofErr w:type="spellStart"/>
      <w:r>
        <w:t>AlexaFluor700</w:t>
      </w:r>
      <w:proofErr w:type="spellEnd"/>
      <w:r>
        <w:t xml:space="preserve"> anti-</w:t>
      </w:r>
      <w:proofErr w:type="spellStart"/>
      <w:r>
        <w:t>hCD20</w:t>
      </w:r>
      <w:proofErr w:type="spellEnd"/>
      <w:r>
        <w:t xml:space="preserve"> (</w:t>
      </w:r>
      <w:proofErr w:type="spellStart"/>
      <w:r>
        <w:t>2H7</w:t>
      </w:r>
      <w:proofErr w:type="spellEnd"/>
      <w:r>
        <w:t>) (1:200) (</w:t>
      </w:r>
      <w:proofErr w:type="spellStart"/>
      <w:r>
        <w:t>BioLegend</w:t>
      </w:r>
      <w:proofErr w:type="spellEnd"/>
      <w:r>
        <w:t xml:space="preserve">), </w:t>
      </w:r>
      <w:proofErr w:type="spellStart"/>
      <w:r>
        <w:t>AlexaFluor</w:t>
      </w:r>
      <w:proofErr w:type="spellEnd"/>
      <w:r>
        <w:t xml:space="preserve"> 647 anti-</w:t>
      </w:r>
      <w:proofErr w:type="spellStart"/>
      <w:r>
        <w:t>hCD27</w:t>
      </w:r>
      <w:proofErr w:type="spellEnd"/>
      <w:r>
        <w:t xml:space="preserve"> (M-</w:t>
      </w:r>
      <w:proofErr w:type="spellStart"/>
      <w:r>
        <w:t>T271</w:t>
      </w:r>
      <w:proofErr w:type="spellEnd"/>
      <w:r>
        <w:t>) (1:350) (</w:t>
      </w:r>
      <w:proofErr w:type="spellStart"/>
      <w:r>
        <w:t>BioLegend</w:t>
      </w:r>
      <w:proofErr w:type="spellEnd"/>
      <w:r>
        <w:t>), PE/</w:t>
      </w:r>
      <w:proofErr w:type="spellStart"/>
      <w:r>
        <w:t>Dazzle594</w:t>
      </w:r>
      <w:proofErr w:type="spellEnd"/>
      <w:r>
        <w:t xml:space="preserve"> anti-</w:t>
      </w:r>
      <w:proofErr w:type="spellStart"/>
      <w:r>
        <w:t>hIgD</w:t>
      </w:r>
      <w:proofErr w:type="spellEnd"/>
      <w:r>
        <w:t xml:space="preserve"> (</w:t>
      </w:r>
      <w:proofErr w:type="spellStart"/>
      <w:r>
        <w:t>IA6</w:t>
      </w:r>
      <w:proofErr w:type="spellEnd"/>
      <w:r>
        <w:t>-2) (1:400) (</w:t>
      </w:r>
      <w:proofErr w:type="spellStart"/>
      <w:r>
        <w:t>BioLegend</w:t>
      </w:r>
      <w:proofErr w:type="spellEnd"/>
      <w:r>
        <w:t>), PE-</w:t>
      </w:r>
      <w:proofErr w:type="spellStart"/>
      <w:r>
        <w:t>Cy7</w:t>
      </w:r>
      <w:proofErr w:type="spellEnd"/>
      <w:r>
        <w:t xml:space="preserve"> anti-</w:t>
      </w:r>
      <w:proofErr w:type="spellStart"/>
      <w:r>
        <w:t>hCD86</w:t>
      </w:r>
      <w:proofErr w:type="spellEnd"/>
      <w:r>
        <w:t xml:space="preserve"> (</w:t>
      </w:r>
      <w:proofErr w:type="spellStart"/>
      <w:r>
        <w:t>IT2.2</w:t>
      </w:r>
      <w:proofErr w:type="spellEnd"/>
      <w:r>
        <w:t>) (1:100) (</w:t>
      </w:r>
      <w:proofErr w:type="spellStart"/>
      <w:r>
        <w:t>BioLegend</w:t>
      </w:r>
      <w:proofErr w:type="spellEnd"/>
      <w:r>
        <w:t>), APC/</w:t>
      </w:r>
      <w:proofErr w:type="spellStart"/>
      <w:r>
        <w:t>Fire750</w:t>
      </w:r>
      <w:proofErr w:type="spellEnd"/>
      <w:r>
        <w:t xml:space="preserve"> anti-</w:t>
      </w:r>
      <w:proofErr w:type="spellStart"/>
      <w:r>
        <w:t>hIgM</w:t>
      </w:r>
      <w:proofErr w:type="spellEnd"/>
      <w:r>
        <w:t xml:space="preserve"> (</w:t>
      </w:r>
      <w:proofErr w:type="spellStart"/>
      <w:r>
        <w:t>MHM</w:t>
      </w:r>
      <w:proofErr w:type="spellEnd"/>
      <w:r>
        <w:t>-88) (1:250) (</w:t>
      </w:r>
      <w:proofErr w:type="spellStart"/>
      <w:r>
        <w:t>BioLegend</w:t>
      </w:r>
      <w:proofErr w:type="spellEnd"/>
      <w:r>
        <w:t xml:space="preserve">), </w:t>
      </w:r>
      <w:proofErr w:type="spellStart"/>
      <w:r>
        <w:t>BV605</w:t>
      </w:r>
      <w:proofErr w:type="spellEnd"/>
      <w:r>
        <w:t xml:space="preserve"> anti-</w:t>
      </w:r>
      <w:proofErr w:type="spellStart"/>
      <w:r>
        <w:t>hCD24</w:t>
      </w:r>
      <w:proofErr w:type="spellEnd"/>
      <w:r>
        <w:t xml:space="preserve"> (</w:t>
      </w:r>
      <w:proofErr w:type="spellStart"/>
      <w:r>
        <w:t>ML5</w:t>
      </w:r>
      <w:proofErr w:type="spellEnd"/>
      <w:r>
        <w:t>) (1:200) (</w:t>
      </w:r>
      <w:proofErr w:type="spellStart"/>
      <w:r>
        <w:t>BioLegend</w:t>
      </w:r>
      <w:proofErr w:type="spellEnd"/>
      <w:r>
        <w:t xml:space="preserve">), </w:t>
      </w:r>
      <w:proofErr w:type="spellStart"/>
      <w:r>
        <w:t>BV421</w:t>
      </w:r>
      <w:proofErr w:type="spellEnd"/>
      <w:r>
        <w:t xml:space="preserve"> anti-</w:t>
      </w:r>
      <w:proofErr w:type="spellStart"/>
      <w:r>
        <w:t>hCD10</w:t>
      </w:r>
      <w:proofErr w:type="spellEnd"/>
      <w:r>
        <w:t xml:space="preserve"> (</w:t>
      </w:r>
      <w:proofErr w:type="spellStart"/>
      <w:r>
        <w:t>HI10a</w:t>
      </w:r>
      <w:proofErr w:type="spellEnd"/>
      <w:r>
        <w:t>) (1:200) (</w:t>
      </w:r>
      <w:proofErr w:type="spellStart"/>
      <w:r>
        <w:t>BioLegend</w:t>
      </w:r>
      <w:proofErr w:type="spellEnd"/>
      <w:r>
        <w:t xml:space="preserve">), </w:t>
      </w:r>
      <w:proofErr w:type="spellStart"/>
      <w:r>
        <w:t>BV421</w:t>
      </w:r>
      <w:proofErr w:type="spellEnd"/>
      <w:r>
        <w:t xml:space="preserve"> anti-</w:t>
      </w:r>
      <w:proofErr w:type="spellStart"/>
      <w:r>
        <w:t>CDh15</w:t>
      </w:r>
      <w:proofErr w:type="spellEnd"/>
      <w:r>
        <w:t xml:space="preserve"> (</w:t>
      </w:r>
      <w:proofErr w:type="spellStart"/>
      <w:r>
        <w:t>SSEA</w:t>
      </w:r>
      <w:proofErr w:type="spellEnd"/>
      <w:r>
        <w:t>-1) (1:200) (</w:t>
      </w:r>
      <w:proofErr w:type="spellStart"/>
      <w:r>
        <w:t>BioLegend</w:t>
      </w:r>
      <w:proofErr w:type="spellEnd"/>
      <w:r>
        <w:t xml:space="preserve">), </w:t>
      </w:r>
      <w:proofErr w:type="spellStart"/>
      <w:r>
        <w:t>AlexaFluor</w:t>
      </w:r>
      <w:proofErr w:type="spellEnd"/>
      <w:r>
        <w:t xml:space="preserve"> 700 Streptavidin (1:300) (</w:t>
      </w:r>
      <w:proofErr w:type="spellStart"/>
      <w:r>
        <w:t>ThermoFisher</w:t>
      </w:r>
      <w:proofErr w:type="spellEnd"/>
      <w:r>
        <w:t xml:space="preserve">), </w:t>
      </w:r>
      <w:proofErr w:type="spellStart"/>
      <w:r>
        <w:t>BV605</w:t>
      </w:r>
      <w:proofErr w:type="spellEnd"/>
      <w:r>
        <w:t xml:space="preserve"> Streptavidin (1:300) (</w:t>
      </w:r>
      <w:proofErr w:type="spellStart"/>
      <w:r>
        <w:t>BioLegend</w:t>
      </w:r>
      <w:proofErr w:type="spellEnd"/>
      <w:r>
        <w:t>). In brief, freshly isolated PBMCs were plated at 1–2 × 10</w:t>
      </w:r>
      <w:r>
        <w:rPr>
          <w:vertAlign w:val="superscript"/>
        </w:rPr>
        <w:t>6</w:t>
      </w:r>
      <w:r>
        <w:t xml:space="preserve"> cells per well in a 96-well U-bottom plate. Cells were resuspended in Live/Dead Fixable Aqua (</w:t>
      </w:r>
      <w:proofErr w:type="spellStart"/>
      <w:r>
        <w:t>ThermoFisher</w:t>
      </w:r>
      <w:proofErr w:type="spellEnd"/>
      <w:r>
        <w:t xml:space="preserve">) for 20 min at 4 °C. Following a wash, cells were blocked with Human </w:t>
      </w:r>
      <w:proofErr w:type="spellStart"/>
      <w:r>
        <w:t>TruStan</w:t>
      </w:r>
      <w:proofErr w:type="spellEnd"/>
      <w:r>
        <w:t xml:space="preserve"> </w:t>
      </w:r>
      <w:proofErr w:type="spellStart"/>
      <w:r>
        <w:t>FcX</w:t>
      </w:r>
      <w:proofErr w:type="spellEnd"/>
      <w:r>
        <w:t xml:space="preserve"> (</w:t>
      </w:r>
      <w:proofErr w:type="spellStart"/>
      <w:r>
        <w:t>BioLegend</w:t>
      </w:r>
      <w:proofErr w:type="spellEnd"/>
      <w:r>
        <w:t xml:space="preserve">) for 10 min at RT. Cocktails of desired staining antibodies were added directly to this mixture for 30 min at RT. For reinfection stains, cells were first washed and supernatant aspirated; then to each cell pellet a cocktail of secondary markers was added for 30 min at 4 °C. Prior to analysis, cells were washed and resuspended in 100 </w:t>
      </w:r>
      <w:proofErr w:type="spellStart"/>
      <w:r>
        <w:t>μl</w:t>
      </w:r>
      <w:proofErr w:type="spellEnd"/>
      <w:r>
        <w:t xml:space="preserve"> 4% PFA for 30 min at 4 °C. Following this incubation, cells were washed and prepared for analysis on an Attune NXT (</w:t>
      </w:r>
      <w:proofErr w:type="spellStart"/>
      <w:r>
        <w:t>ThermoFisher</w:t>
      </w:r>
      <w:proofErr w:type="spellEnd"/>
      <w:r>
        <w:t xml:space="preserve">). Data were </w:t>
      </w:r>
      <w:proofErr w:type="spellStart"/>
      <w:r>
        <w:t>analysed</w:t>
      </w:r>
      <w:proofErr w:type="spellEnd"/>
      <w:r>
        <w:t xml:space="preserve"> using </w:t>
      </w:r>
      <w:proofErr w:type="spellStart"/>
      <w:r>
        <w:t>FlowJo</w:t>
      </w:r>
      <w:proofErr w:type="spellEnd"/>
      <w:r>
        <w:t xml:space="preserve"> software version 10.6 software (Tree Star). The specific sets of markers used to identify each subset of cells are summarized in Extended Data Fig. 9 of Lucas et al. (2020)</w:t>
      </w:r>
      <w:r>
        <w:fldChar w:fldCharType="begin" w:fldLock="1"/>
      </w:r>
      <w:r>
        <w:instrText>ADDIN CSL_CITATION {"citationItems":[{"id":"ITEM-1","itemData":{"DOI":"10.1038/s41586-020-2588-y","ISSN":"0028-0836","author":[{"dropping-particle":"","family":"Lucas","given":"Carolina","non-dropping-particle":"","parse-names":false,"suffix":""},{"dropping-particle":"","family":"Wong","given":"Patrick","non-dropping-particle":"","parse-names":false,"suffix":""},{"dropping-particle":"","family":"Klein","given":"Jonathan","non-dropping-particle":"","parse-names":false,"suffix":""},{"dropping-particle":"","family":"Castro","given":"Tiago B. R.","non-dropping-particle":"","parse-names":false,"suffix":""},{"dropping-particle":"","family":"Silva","given":"Julio","non-dropping-particle":"","parse-names":false,"suffix":""},{"dropping-particle":"","family":"Sundaram","given":"Maria","non-dropping-particle":"","parse-names":false,"suffix":""},{"dropping-particle":"","family":"Ellingson","given":"Mallory K.","non-dropping-particle":"","parse-names":false,"suffix":""},{"dropping-particle":"","family":"Mao","given":"Tianyang","non-dropping-particle":"","parse-names":false,"suffix":""},{"dropping-particle":"","family":"Oh","given":"Ji Eun","non-dropping-particle":"","parse-names":false,"suffix":""},{"dropping-particle":"","family":"Israelow","given":"Benjamin","non-dropping-particle":"","parse-names":false,"suffix":""},{"dropping-particle":"","family":"Takahashi","given":"Takehiro","non-dropping-particle":"","parse-names":false,"suffix":""},{"dropping-particle":"","family":"Tokuyama","given":"Maria","non-dropping-particle":"","parse-names":false,"suffix":""},{"dropping-particle":"","family":"Lu","given":"Peiwen","non-dropping-particle":"","parse-names":false,"suffix":""},{"dropping-particle":"","family":"Venkataraman","given":"Arvind","non-dropping-particle":"","parse-names":false,"suffix":""},{"dropping-particle":"","family":"Park","given":"Annsea","non-dropping-particle":"","parse-names":false,"suffix":""},{"dropping-particle":"","family":"Mohanty","given":"Subhasis","non-dropping-particle":"","parse-names":false,"suffix":""},{"dropping-particle":"","family":"Wang","given":"Haowei","non-dropping-particle":"","parse-names":false,"suffix":""},{"dropping-particle":"","family":"Wyllie","given":"Anne L.","non-dropping-particle":"","parse-names":false,"suffix":""},{"dropping-particle":"","family":"Vogels","given":"Chantal B. F.","non-dropping-particle":"","parse-names":false,"suffix":""},{"dropping-particle":"","family":"Earnest","given":"Rebecca","non-dropping-particle":"","parse-names":false,"suffix":""},{"dropping-particle":"","family":"Lapidus","given":"Sarah","non-dropping-particle":"","parse-names":false,"suffix":""},{"dropping-particle":"","family":"Ott","given":"Isabel M.","non-dropping-particle":"","parse-names":false,"suffix":""},{"dropping-particle":"","family":"Moore","given":"Adam J.","non-dropping-particle":"","parse-names":false,"suffix":""},{"dropping-particle":"","family":"Muenker","given":"M. Catherine","non-dropping-particle":"","parse-names":false,"suffix":""},{"dropping-particle":"","family":"Fournier","given":"John B.","non-dropping-particle":"","parse-names":false,"suffix":""},{"dropping-particle":"","family":"Campbell","given":"Melissa","non-dropping-particle":"","parse-names":false,"suffix":""},{"dropping-particle":"","family":"Odio","given":"Camila D.","non-dropping-particle":"","parse-names":false,"suffix":""},{"dropping-particle":"","family":"Casanovas-Massana","given":"Arnau","non-dropping-particle":"","parse-names":false,"suffix":""},{"dropping-particle":"","family":"Herbst","given":"Roy","non-dropping-particle":"","parse-names":false,"suffix":""},{"dropping-particle":"","family":"Shaw","given":"Albert C.","non-dropping-particle":"","parse-names":false,"suffix":""},{"dropping-particle":"","family":"Medzhitov","given":"Ruslan","non-dropping-particle":"","parse-names":false,"suffix":""},{"dropping-particle":"","family":"Schulz","given":"Wade L.","non-dropping-particle":"","parse-names":false,"suffix":""},{"dropping-particle":"","family":"Grubaugh","given":"Nathan D.","non-dropping-particle":"","parse-names":false,"suffix":""},{"dropping-particle":"","family":"Cruz","given":"Charles","non-dropping-particle":"Dela","parse-names":false,"suffix":""},{"dropping-particle":"","family":"Farhadian","given":"Shelli","non-dropping-particle":"","parse-names":false,"suffix":""},{"dropping-particle":"","family":"Ko","given":"Albert I.","non-dropping-particle":"","parse-names":false,"suffix":""},{"dropping-particle":"","family":"Omer","given":"Saad B.","non-dropping-particle":"","parse-names":false,"suffix":""},{"dropping-particle":"","family":"Iwasaki","given":"Akiko","non-dropping-particle":"","parse-names":false,"suffix":""}],"container-title":"Nature","id":"ITEM-1","issue":"7821","issued":{"date-parts":[["2020","8","20"]]},"page":"463-469","title":"Longitudinal analyses reveal immunological misfiring in severe COVID-19","type":"article-journal","volume":"584"},"uris":["http://www.mendeley.com/documents/?uuid=62810d33-e400-4133-8806-045df6d14781"]}],"mendeley":{"formattedCitation":"&lt;sup&gt;33&lt;/sup&gt;","plainTextFormattedCitation":"33","previouslyFormattedCitation":"&lt;sup&gt;33&lt;/sup&gt;"},"properties":{"noteIndex":0},"schema":"https://github.com/citation-style-language/schema/raw/master/csl-citation.json"}</w:instrText>
      </w:r>
      <w:r>
        <w:fldChar w:fldCharType="separate"/>
      </w:r>
      <w:r>
        <w:rPr>
          <w:noProof/>
          <w:vertAlign w:val="superscript"/>
        </w:rPr>
        <w:t>33</w:t>
      </w:r>
      <w:r>
        <w:fldChar w:fldCharType="end"/>
      </w:r>
      <w:r>
        <w:t xml:space="preserve">. </w:t>
      </w:r>
    </w:p>
    <w:p w14:paraId="5D819218" w14:textId="77777777" w:rsidR="00F5389C" w:rsidRDefault="00F5389C" w:rsidP="00F5389C">
      <w:pPr>
        <w:rPr>
          <w:i/>
        </w:rPr>
      </w:pPr>
    </w:p>
    <w:p w14:paraId="4ECE895F" w14:textId="77777777" w:rsidR="00F5389C" w:rsidRDefault="00F5389C" w:rsidP="00F5389C">
      <w:pPr>
        <w:rPr>
          <w:i/>
        </w:rPr>
      </w:pPr>
      <w:r>
        <w:rPr>
          <w:i/>
        </w:rPr>
        <w:t>SARS-CoV-2 specific-antibody measurements</w:t>
      </w:r>
    </w:p>
    <w:p w14:paraId="6478D581" w14:textId="77777777" w:rsidR="00F5389C" w:rsidRDefault="00F5389C" w:rsidP="00F5389C">
      <w:proofErr w:type="spellStart"/>
      <w:r>
        <w:t>ELISAs</w:t>
      </w:r>
      <w:proofErr w:type="spellEnd"/>
      <w:r>
        <w:t xml:space="preserve"> were performed as previously described and reproduced here for </w:t>
      </w:r>
      <w:proofErr w:type="spellStart"/>
      <w:r>
        <w:t>convenience</w:t>
      </w:r>
      <w:r>
        <w:fldChar w:fldCharType="begin" w:fldLock="1"/>
      </w:r>
      <w:r>
        <w:instrText>ADDIN CSL_CITATION {"citationItems":[{"id":"ITEM-1","itemData":{"DOI":"10.1038/s41591-020-0913-5","ISSN":"1546170X","PMID":"32398876","abstract":"Here, we describe a serological enzyme-linked immunosorbent assay for the screening and identification of human SARS-CoV-2 seroconverters. This assay does not require the handling of infectious virus, can be adjusted to detect different antibody types in serum and plasma and is amenable to scaling. Serological assays are of critical importance to help define previous exposure to SARS-CoV-2 in populations, identify highly reactive human donors for convalescent plasma therapy and investigate correlates of protection.","author":[{"dropping-particle":"","family":"Amanat","given":"Fatima","non-dropping-particle":"","parse-names":false,"suffix":""},{"dropping-particle":"","family":"Stadlbauer","given":"Daniel","non-dropping-particle":"","parse-names":false,"suffix":""},{"dropping-particle":"","family":"Strohmeier","given":"Shirin","non-dropping-particle":"","parse-names":false,"suffix":""},{"dropping-particle":"","family":"Nguyen","given":"Thi H.O.","non-dropping-particle":"","parse-names":false,"suffix":""},{"dropping-particle":"","family":"Chromikova","given":"Veronika","non-dropping-particle":"","parse-names":false,"suffix":""},{"dropping-particle":"","family":"McMahon","given":"Meagan","non-dropping-particle":"","parse-names":false,"suffix":""},{"dropping-particle":"","family":"Jiang","given":"Kaijun","non-dropping-particle":"","parse-names":false,"suffix":""},{"dropping-particle":"","family":"Arunkumar","given":"Guha Asthagiri","non-dropping-particle":"","parse-names":false,"suffix":""},{"dropping-particle":"","family":"Jurczyszak","given":"Denise","non-dropping-particle":"","parse-names":false,"suffix":""},{"dropping-particle":"","family":"Polanco","given":"Jose","non-dropping-particle":"","parse-names":false,"suffix":""},{"dropping-particle":"","family":"Bermudez-Gonzalez","given":"Maria","non-dropping-particle":"","parse-names":false,"suffix":""},{"dropping-particle":"","family":"Kleiner","given":"Giulio","non-dropping-particle":"","parse-names":false,"suffix":""},{"dropping-particle":"","family":"Aydillo","given":"Teresa","non-dropping-particle":"","parse-names":false,"suffix":""},{"dropping-particle":"","family":"Miorin","given":"Lisa","non-dropping-particle":"","parse-names":false,"suffix":""},{"dropping-particle":"","family":"Fierer","given":"Daniel S.","non-dropping-particle":"","parse-names":false,"suffix":""},{"dropping-particle":"","family":"Lugo","given":"Luz Amarilis","non-dropping-particle":"","parse-names":false,"suffix":""},{"dropping-particle":"","family":"Kojic","given":"Erna Milunka","non-dropping-particle":"","parse-names":false,"suffix":""},{"dropping-particle":"","family":"Stoever","given":"Jonathan","non-dropping-particle":"","parse-names":false,"suffix":""},{"dropping-particle":"","family":"Liu","given":"Sean T.H.","non-dropping-particle":"","parse-names":false,"suffix":""},{"dropping-particle":"","family":"Cunningham-Rundles","given":"Charlotte","non-dropping-particle":"","parse-names":false,"suffix":""},{"dropping-particle":"","family":"Felgner","given":"Philip L.","non-dropping-particle":"","parse-names":false,"suffix":""},{"dropping-particle":"","family":"Moran","given":"Thomas","non-dropping-particle":"","parse-names":false,"suffix":""},{"dropping-particle":"","family":"García-Sastre","given":"Adolfo","non-dropping-particle":"","parse-names":false,"suffix":""},{"dropping-particle":"","family":"Caplivski","given":"Daniel","non-dropping-particle":"","parse-names":false,"suffix":""},{"dropping-particle":"","family":"Cheng","given":"Allen C.","non-dropping-particle":"","parse-names":false,"suffix":""},{"dropping-particle":"","family":"Kedzierska","given":"Katherine","non-dropping-particle":"","parse-names":false,"suffix":""},{"dropping-particle":"","family":"Vapalahti","given":"Olli","non-dropping-particle":"","parse-names":false,"suffix":""},{"dropping-particle":"","family":"Hepojoki","given":"Jussi M.","non-dropping-particle":"","parse-names":false,"suffix":""},{"dropping-particle":"","family":"Simon","given":"Viviana","non-dropping-particle":"","parse-names":false,"suffix":""},{"dropping-particle":"","family":"Krammer","given":"Florian","non-dropping-particle":"","parse-names":false,"suffix":""}],"container-title":"Nature Medicine","id":"ITEM-1","issue":"7","issued":{"date-parts":[["2020"]]},"page":"1033-1036","publisher":"Springer US","title":"A serological assay to detect SARS-CoV-2 seroconversion in humans","type":"article-journal","volume":"26"},"uris":["http://www.mendeley.com/documents/?uuid=7ef4e211-73e4-4fdc-aa90-17029319798c"]},{"id":"ITEM-2","itemData":{"DOI":"10.1038/s41586-020-2588-y","ISBN":"4158602025","ISSN":"14764687","PMID":"32717743","abstract":"Recent studies have provided insights into the pathogenesis of coronavirus disease 2019 (COVID-19)1–4. Yet, longitudinal immunological correlates of disease outcome remain unclear. Here, we serially analysed immune responses in 113 COVID-19 patients with moderate (non-ICU) and severe (ICU) disease. Immune profiling revealed an overall increase in innate cell lineages with a concomitant reduction in T cell number. We identify an association between early, elevated cytokines and worse disease outcomes. Following an early increase in cytokines, COVID-19 patients with moderate disease displayed a progressive reduction in type-1 (antiviral) and type-3 (antifungal) responses. In contrast, patients with severe disease maintained these elevated responses throughout the course of disease. Moreover, severe disease was accompanied by an increase in multiple type 2 (anti-helminths) effectors including, IL-5, IL-13, IgE and eosinophils. Unsupervised clustering analysis identified 4 immune signatures, representing (A) growth factors, (B) type-2/3 cytokines, (C) mixed type-1/2/3 cytokines, and (D) chemokines that correlated with three distinct disease trajectories of patients. The immune profile of patients who recovered with moderate disease was enriched in tissue reparative growth factor signature (A), while the profile for those with worsened disease trajectory had elevated levels of all four signatures. Thus, we identified development of a maladapted immune response profile associated with severe COVID-19 outcome and early immune signatures that correlate with divergent disease trajectories.","author":[{"dropping-particle":"","family":"Lucas","given":"Carolina","non-dropping-particle":"","parse-names":false,"suffix":""},{"dropping-particle":"","family":"Wong","given":"Patrick","non-dropping-particle":"","parse-names":false,"suffix":""},{"dropping-particle":"","family":"Klein","given":"Jon","non-dropping-particle":"","parse-names":false,"suffix":""},{"dropping-particle":"","family":"Castro","given":"Tiago B.R.","non-dropping-particle":"","parse-names":false,"suffix":""},{"dropping-particle":"","family":"Silva","given":"Julio","non-dropping-particle":"","parse-names":false,"suffix":""},{"dropping-particle":"","family":"Sundaram","given":"Maria","non-dropping-particle":"","parse-names":false,"suffix":""},{"dropping-particle":"","family":"Ellingson","given":"Mallory K.","non-dropping-particle":"","parse-names":false,"suffix":""},{"dropping-particle":"","family":"Mao","given":"Tianyang","non-dropping-particle":"","parse-names":false,"suffix":""},{"dropping-particle":"","family":"Oh","given":"Ji Eun","non-dropping-particle":"","parse-names":false,"suffix":""},{"dropping-particle":"","family":"Israelow","given":"Benjamin","non-dropping-particle":"","parse-names":false,"suffix":""},{"dropping-particle":"","family":"Takahashi","given":"Takehiro","non-dropping-particle":"","parse-names":false,"suffix":""},{"dropping-particle":"","family":"Tokuyama","given":"Maria","non-dropping-particle":"","parse-names":false,"suffix":""},{"dropping-particle":"","family":"Lu","given":"Peiwen","non-dropping-particle":"","parse-names":false,"suffix":""},{"dropping-particle":"","family":"Venkataraman","given":"Arvind","non-dropping-particle":"","parse-names":false,"suffix":""},{"dropping-particle":"","family":"Park","given":"Annsea","non-dropping-particle":"","parse-names":false,"suffix":""},{"dropping-particle":"","family":"Mohanty","given":"Subhasis","non-dropping-particle":"","parse-names":false,"suffix":""},{"dropping-particle":"","family":"Wang","given":"Haowei","non-dropping-particle":"","parse-names":false,"suffix":""},{"dropping-particle":"","family":"Wyllie","given":"Anne L.","non-dropping-particle":"","parse-names":false,"suffix":""},{"dropping-particle":"","family":"Vogels","given":"Chantal B.F.","non-dropping-particle":"","parse-names":false,"suffix":""},{"dropping-particle":"","family":"Earnest","given":"Rebecca","non-dropping-particle":"","parse-names":false,"suffix":""},{"dropping-particle":"","family":"Lapidus","given":"Sarah","non-dropping-particle":"","parse-names":false,"suffix":""},{"dropping-particle":"","family":"Ott","given":"Isabel M.","non-dropping-particle":"","parse-names":false,"suffix":""},{"dropping-particle":"","family":"Moore","given":"Adam J.","non-dropping-particle":"","parse-names":false,"suffix":""},{"dropping-particle":"","family":"Muenker","given":"M. Catherine","non-dropping-particle":"","parse-names":false,"suffix":""},{"dropping-particle":"","family":"Fournier","given":"John B.","non-dropping-particle":"","parse-names":false,"suffix":""},{"dropping-particle":"","family":"Campbell","given":"Melissa","non-dropping-particle":"","parse-names":false,"suffix":""},{"dropping-particle":"","family":"Odio","given":"Camila D.","non-dropping-particle":"","parse-names":false,"suffix":""},{"dropping-particle":"","family":"Casanovas-Massana","given":"Arnau","non-dropping-particle":"","parse-names":false,"suffix":""},{"dropping-particle":"","family":"Obaid","given":"Abeer","non-dropping-particle":"","parse-names":false,"suffix":""},{"dropping-particle":"","family":"Lu-Culligan","given":"Alice","non-dropping-particle":"","parse-names":false,"suffix":""},{"dropping-particle":"","family":"Nelson","given":"Allison","non-dropping-particle":"","parse-names":false,"suffix":""},{"dropping-particle":"","family":"Brito","given":"Anderson","non-dropping-particle":"","parse-names":false,"suffix":""},{"dropping-particle":"","family":"Nunez","given":"Angela","non-dropping-particle":"","parse-names":false,"suffix":""},{"dropping-particle":"","family":"Martin","given":"Anjelica","non-dropping-particle":"","parse-names":false,"suffix":""},{"dropping-particle":"","family":"Watkins","given":"Annie","non-dropping-particle":"","parse-names":false,"suffix":""},{"dropping-particle":"","family":"Geng","given":"Bertie","non-dropping-particle":"","parse-names":false,"suffix":""},{"dropping-particle":"","family":"Kalinich","given":"Chaney","non-dropping-particle":"","parse-names":false,"suffix":""},{"dropping-particle":"","family":"Harden","given":"Christina","non-dropping-particle":"","parse-names":false,"suffix":""},{"dropping-particle":"","family":"Todeasa","given":"Codruta","non-dropping-particle":"","parse-names":false,"suffix":""},{"dropping-particle":"","family":"Jensen","given":"Cole","non-dropping-particle":"","parse-names":false,"suffix":""},{"dropping-particle":"","family":"Kim","given":"Daniel","non-dropping-particle":"","parse-names":false,"suffix":""},{"dropping-particle":"","family":"McDonald","given":"David","non-dropping-particle":"","parse-names":false,"suffix":""},{"dropping-particle":"","family":"Shepard","given":"Denise","non-dropping-particle":"","parse-names":false,"suffix":""},{"dropping-particle":"","family":"Courchaine","given":"Edward","non-dropping-particle":"","parse-names":false,"suffix":""},{"dropping-particle":"","family":"White","given":"Elizabeth B.","non-dropping-particle":"","parse-names":false,"suffix":""},{"dropping-particle":"","family":"Song","given":"Eric","non-dropping-particle":"","parse-names":false,"suffix":""},{"dropping-particle":"","family":"Silva","given":"Erin","non-dropping-particle":"","parse-names":false,"suffix":""},{"dropping-particle":"","family":"Kudo","given":"Eriko","non-dropping-particle":"","parse-names":false,"suffix":""},{"dropping-particle":"","family":"DeIuliis","given":"Giuseppe","non-dropping-particle":"","parse-names":false,"suffix":""},{"dropping-particle":"","family":"Rahming","given":"Harold","non-dropping-particle":"","parse-names":false,"suffix":""},{"dropping-particle":"","family":"Park","given":"Hong Jai","non-dropping-particle":"","parse-names":false,"suffix":""},{"dropping-particle":"","family":"Matos","given":"Irene","non-dropping-particle":"","parse-names":false,"suffix":""},{"dropping-particle":"","family":"Nouws","given":"Jessica","non-dropping-particle":"","parse-names":false,"suffix":""},{"dropping-particle":"","family":"Valdez","given":"Jordan","non-dropping-particle":"","parse-names":false,"suffix":""},{"dropping-particle":"","family":"Fauver","given":"Joseph","non-dropping-particle":"","parse-names":false,"suffix":""},{"dropping-particle":"","family":"Lim","given":"Joseph","non-dropping-particle":"","parse-names":false,"suffix":""},{"dropping-particle":"","family":"Rose","given":"Kadi Ann","non-dropping-particle":"","parse-names":false,"suffix":""},{"dropping-particle":"","family":"Anastasio","given":"Kelly","non-dropping-particle":"","parse-names":false,"suffix":""},{"dropping-particle":"","family":"Brower","given":"Kristina","non-dropping-particle":"","parse-names":false,"suffix":""},{"dropping-particle":"","family":"Glick","given":"Laura","non-dropping-particle":"","parse-names":false,"suffix":""},{"dropping-particle":"","family":"Sharma","given":"Lokesh","non-dropping-particle":"","parse-names":false,"suffix":""},{"dropping-particle":"","family":"Sewanan","given":"Lorenzo","non-dropping-particle":"","parse-names":false,"suffix":""},{"dropping-particle":"","family":"Knaggs","given":"Lynda","non-dropping-particle":"","parse-names":false,"suffix":""},{"dropping-particle":"","family":"Minasyan","given":"Maksym","non-dropping-particle":"","parse-names":false,"suffix":""},{"dropping-particle":"","family":"Batsu","given":"Maria","non-dropping-particle":"","parse-names":false,"suffix":""},{"dropping-particle":"","family":"Petrone","given":"Mary","non-dropping-particle":"","parse-names":false,"suffix":""},{"dropping-particle":"","family":"Kuang","given":"Maxine","non-dropping-particle":"","parse-names":false,"suffix":""},{"dropping-particle":"","family":"Nakahata","given":"Maura","non-dropping-particle":"","parse-names":false,"suffix":""},{"dropping-particle":"","family":"Campbell","given":"Melissa","non-dropping-particle":"","parse-names":false,"suffix":""},{"dropping-particle":"","family":"Linehan","given":"Melissa","non-dropping-particle":"","parse-names":false,"suffix":""},{"dropping-particle":"","family":"Askenase","given":"Michael H.","non-dropping-particle":"","parse-names":false,"suffix":""},{"dropping-particle":"","family":"Simonov","given":"Michael","non-dropping-particle":"","parse-names":false,"suffix":""},{"dropping-particle":"","family":"Smolgovsky","given":"Mikhail","non-dropping-particle":"","parse-names":false,"suffix":""},{"dropping-particle":"","family":"Sonnert","given":"Nicole","non-dropping-particle":"","parse-names":false,"suffix":""},{"dropping-particle":"","family":"Naushad","given":"Nida","non-dropping-particle":"","parse-names":false,"suffix":""},{"dropping-particle":"","family":"Vijayakumar","given":"Pavithra","non-dropping-particle":"","parse-names":false,"suffix":""},{"dropping-particle":"","family":"Martinello","given":"Rick","non-dropping-particle":"","parse-names":false,"suffix":""},{"dropping-particle":"","family":"Datta","given":"Rupak","non-dropping-particle":"","parse-names":false,"suffix":""},{"dropping-particle":"","family":"Handoko","given":"Ryan","non-dropping-particle":"","parse-names":false,"suffix":""},{"dropping-particle":"","family":"Bermejo","given":"Santos","non-dropping-particle":"","parse-names":false,"suffix":""},{"dropping-particle":"","family":"Prophet","given":"Sarah","non-dropping-particle":"","parse-names":false,"suffix":""},{"dropping-particle":"","family":"Bickerton","given":"Sean","non-dropping-particle":"","parse-names":false,"suffix":""},{"dropping-particle":"","family":"Velazquez","given":"Sofia","non-dropping-particle":"","parse-names":false,"suffix":""},{"dropping-particle":"","family":"Alpert","given":"Tara","non-dropping-particle":"","parse-names":false,"suffix":""},{"dropping-particle":"","family":"Rice","given":"Tyler","non-dropping-particle":"","parse-names":false,"suffix":""},{"dropping-particle":"","family":"Khoury-Hanold","given":"William","non-dropping-particle":"","parse-names":false,"suffix":""},{"dropping-particle":"","family":"Peng","given":"Xiaohua","non-dropping-particle":"","parse-names":false,"suffix":""},{"dropping-particle":"","family":"Yang","given":"Yexin","non-dropping-particle":"","parse-names":false,"suffix":""},{"dropping-particle":"","family":"Cao","given":"Yiyun","non-dropping-particle":"","parse-names":false,"suffix":""},{"dropping-particle":"","family":"Strong","given":"Yvette","non-dropping-particle":"","parse-names":false,"suffix":""},{"dropping-particle":"","family":"Herbst","given":"Roy","non-dropping-particle":"","parse-names":false,"suffix":""},{"dropping-particle":"","family":"Shaw","given":"Albert C.","non-dropping-particle":"","parse-names":false,"suffix":""},{"dropping-particle":"","family":"Medzhitov","given":"Ruslan","non-dropping-particle":"","parse-names":false,"suffix":""},{"dropping-particle":"","family":"Schulz","given":"Wade L.","non-dropping-particle":"","parse-names":false,"suffix":""},{"dropping-particle":"","family":"Grubaugh","given":"Nathan D.","non-dropping-particle":"","parse-names":false,"suffix":""},{"dropping-particle":"","family":"Cruz","given":"Charles","non-dropping-particle":"Dela","parse-names":false,"suffix":""},{"dropping-particle":"","family":"Farhadian","given":"Shelli","non-dropping-particle":"","parse-names":false,"suffix":""},{"dropping-particle":"","family":"Ko","given":"Albert I.","non-dropping-particle":"","parse-names":false,"suffix":""},{"dropping-particle":"","family":"Omer","given":"Saad B.","non-dropping-particle":"","parse-names":false,"suffix":""},{"dropping-particle":"","family":"Iwasaki","given":"Akiko","non-dropping-particle":"","parse-names":false,"suffix":""}],"container-title":"Nature","id":"ITEM-2","issue":"June","issued":{"date-parts":[["2020"]]},"title":"Longitudinal analyses reveal immunological misfiring in severe COVID-19","type":"article-journal","volume":"584"},"uris":["http://www.mendeley.com/documents/?uuid=6b35c15c-2430-4671-bb93-427ed897744e"]}],"mendeley":{"formattedCitation":"&lt;sup&gt;52,64&lt;/sup&gt;","plainTextFormattedCitation":"52,64","previouslyFormattedCitation":"&lt;sup&gt;52,64&lt;/sup&gt;"},"properties":{"noteIndex":0},"schema":"https://github.com/citation-style-language/schema/raw/master/csl-citation.json"}</w:instrText>
      </w:r>
      <w:r>
        <w:fldChar w:fldCharType="separate"/>
      </w:r>
      <w:r>
        <w:rPr>
          <w:noProof/>
          <w:vertAlign w:val="superscript"/>
        </w:rPr>
        <w:t>52,64</w:t>
      </w:r>
      <w:proofErr w:type="spellEnd"/>
      <w:r>
        <w:fldChar w:fldCharType="end"/>
      </w:r>
      <w:r>
        <w:t xml:space="preserve">. Briefly, Triton X-100 and RNase A were added to serum samples at final concentrations of 0.5% and </w:t>
      </w:r>
      <w:proofErr w:type="spellStart"/>
      <w:r>
        <w:t>0.5mg</w:t>
      </w:r>
      <w:proofErr w:type="spellEnd"/>
      <w:r>
        <w:t xml:space="preserve">/ml respectively and incubated at room temperature (RT) for 30 minutes before use to reduce risk from any potential virus in serum. 96-well </w:t>
      </w:r>
      <w:proofErr w:type="spellStart"/>
      <w:r>
        <w:t>MaxiSorp</w:t>
      </w:r>
      <w:proofErr w:type="spellEnd"/>
      <w:r>
        <w:t xml:space="preserve"> plates (Thermo Scientific #442404) were coated with 50 </w:t>
      </w:r>
      <w:proofErr w:type="spellStart"/>
      <w:r>
        <w:t>μl</w:t>
      </w:r>
      <w:proofErr w:type="spellEnd"/>
      <w:r>
        <w:t xml:space="preserve">/well of recombinant SARS </w:t>
      </w:r>
      <w:proofErr w:type="spellStart"/>
      <w:r>
        <w:t>Cov</w:t>
      </w:r>
      <w:proofErr w:type="spellEnd"/>
      <w:r>
        <w:t xml:space="preserve">-2 </w:t>
      </w:r>
      <w:proofErr w:type="spellStart"/>
      <w:r>
        <w:t>S1</w:t>
      </w:r>
      <w:proofErr w:type="spellEnd"/>
      <w:r>
        <w:t xml:space="preserve"> protein (</w:t>
      </w:r>
      <w:proofErr w:type="spellStart"/>
      <w:r>
        <w:t>ACROBiosystems</w:t>
      </w:r>
      <w:proofErr w:type="spellEnd"/>
      <w:r>
        <w:t xml:space="preserve"> #S1N-C52H3-100ug) at a concentration of 2 </w:t>
      </w:r>
      <w:proofErr w:type="spellStart"/>
      <w:r>
        <w:t>μg</w:t>
      </w:r>
      <w:proofErr w:type="spellEnd"/>
      <w:r>
        <w:t xml:space="preserve">/ml in PBS and were incubated overnight at 4 °C. The coating buffer was removed, and plates were incubated for </w:t>
      </w:r>
      <w:proofErr w:type="spellStart"/>
      <w:r>
        <w:t>1h</w:t>
      </w:r>
      <w:proofErr w:type="spellEnd"/>
      <w:r>
        <w:t xml:space="preserve"> at RT with 200 </w:t>
      </w:r>
      <w:proofErr w:type="spellStart"/>
      <w:r>
        <w:t>μl</w:t>
      </w:r>
      <w:proofErr w:type="spellEnd"/>
      <w:r>
        <w:t xml:space="preserve"> of blocking solution (PBS with 0.1% Tween-20, 3% milk powder). Serum was diluted 1:50 in dilution solution (PBS with 0.1% Tween-20, 1% milk powder) and 100 </w:t>
      </w:r>
      <w:proofErr w:type="spellStart"/>
      <w:r>
        <w:t>μl</w:t>
      </w:r>
      <w:proofErr w:type="spellEnd"/>
      <w:r>
        <w:t xml:space="preserve"> of diluted serum was added for two hours at RT. Plates were washed three times with PBS-T (PBS with 0.1% Tween-20) and 50 </w:t>
      </w:r>
      <w:proofErr w:type="spellStart"/>
      <w:r>
        <w:t>μl</w:t>
      </w:r>
      <w:proofErr w:type="spellEnd"/>
      <w:r>
        <w:t xml:space="preserve"> of </w:t>
      </w:r>
      <w:proofErr w:type="spellStart"/>
      <w:r>
        <w:t>HRP</w:t>
      </w:r>
      <w:proofErr w:type="spellEnd"/>
      <w:r>
        <w:t xml:space="preserve"> anti-Human IgG Antibody (</w:t>
      </w:r>
      <w:proofErr w:type="spellStart"/>
      <w:r>
        <w:t>GenScript</w:t>
      </w:r>
      <w:proofErr w:type="spellEnd"/>
      <w:r>
        <w:t xml:space="preserve"> #A00166, 1:5,000) or anti-Human IgM-Peroxidase Antibody (Sigma-Aldrich #A6907, 1:5,000) diluted in dilution solution added to each well. After 1 h of incubation at RT, plates were washed three times with PBS-T. Plates were developed with 100 </w:t>
      </w:r>
      <w:proofErr w:type="spellStart"/>
      <w:r>
        <w:t>μl</w:t>
      </w:r>
      <w:proofErr w:type="spellEnd"/>
      <w:r>
        <w:t xml:space="preserve"> of </w:t>
      </w:r>
      <w:proofErr w:type="spellStart"/>
      <w:r>
        <w:t>TMB</w:t>
      </w:r>
      <w:proofErr w:type="spellEnd"/>
      <w:r>
        <w:t xml:space="preserve"> Substrate Reagent Set (BD Biosciences #555214) and the reaction was stopped after 15 min by the addition of 2 N sulfuric acid. Plates were then read at a wavelength of 450 nm and </w:t>
      </w:r>
      <w:proofErr w:type="spellStart"/>
      <w:r>
        <w:t>570nm</w:t>
      </w:r>
      <w:proofErr w:type="spellEnd"/>
      <w:r>
        <w:t xml:space="preserve">. </w:t>
      </w:r>
    </w:p>
    <w:p w14:paraId="0AA3A775" w14:textId="77777777" w:rsidR="00F5389C" w:rsidRDefault="00F5389C" w:rsidP="00F5389C"/>
    <w:p w14:paraId="435BF511" w14:textId="77777777" w:rsidR="00F5389C" w:rsidRDefault="00F5389C" w:rsidP="00F5389C">
      <w:pPr>
        <w:rPr>
          <w:i/>
        </w:rPr>
      </w:pPr>
      <w:r>
        <w:rPr>
          <w:i/>
        </w:rPr>
        <w:t>Cytokine and chemokine measurements</w:t>
      </w:r>
    </w:p>
    <w:p w14:paraId="39D5648B" w14:textId="77777777" w:rsidR="00F5389C" w:rsidRDefault="00F5389C" w:rsidP="00F5389C">
      <w:r>
        <w:t xml:space="preserve">Patient serum was isolated as already described in this manuscript and previously </w:t>
      </w:r>
      <w:proofErr w:type="spellStart"/>
      <w:r>
        <w:t>reported</w:t>
      </w:r>
      <w:r>
        <w:fldChar w:fldCharType="begin" w:fldLock="1"/>
      </w:r>
      <w:r>
        <w:instrText>ADDIN CSL_CITATION {"citationItems":[{"id":"ITEM-1","itemData":{"DOI":"10.1038/s41586-020-2588-y","ISBN":"4158602025","ISSN":"14764687","PMID":"32717743","abstract":"Recent studies have provided insights into the pathogenesis of coronavirus disease 2019 (COVID-19)1–4. Yet, longitudinal immunological correlates of disease outcome remain unclear. Here, we serially analysed immune responses in 113 COVID-19 patients with moderate (non-ICU) and severe (ICU) disease. Immune profiling revealed an overall increase in innate cell lineages with a concomitant reduction in T cell number. We identify an association between early, elevated cytokines and worse disease outcomes. Following an early increase in cytokines, COVID-19 patients with moderate disease displayed a progressive reduction in type-1 (antiviral) and type-3 (antifungal) responses. In contrast, patients with severe disease maintained these elevated responses throughout the course of disease. Moreover, severe disease was accompanied by an increase in multiple type 2 (anti-helminths) effectors including, IL-5, IL-13, IgE and eosinophils. Unsupervised clustering analysis identified 4 immune signatures, representing (A) growth factors, (B) type-2/3 cytokines, (C) mixed type-1/2/3 cytokines, and (D) chemokines that correlated with three distinct disease trajectories of patients. The immune profile of patients who recovered with moderate disease was enriched in tissue reparative growth factor signature (A), while the profile for those with worsened disease trajectory had elevated levels of all four signatures. Thus, we identified development of a maladapted immune response profile associated with severe COVID-19 outcome and early immune signatures that correlate with divergent disease trajectories.","author":[{"dropping-particle":"","family":"Lucas","given":"Carolina","non-dropping-particle":"","parse-names":false,"suffix":""},{"dropping-particle":"","family":"Wong","given":"Patrick","non-dropping-particle":"","parse-names":false,"suffix":""},{"dropping-particle":"","family":"Klein","given":"Jon","non-dropping-particle":"","parse-names":false,"suffix":""},{"dropping-particle":"","family":"Castro","given":"Tiago B.R.","non-dropping-particle":"","parse-names":false,"suffix":""},{"dropping-particle":"","family":"Silva","given":"Julio","non-dropping-particle":"","parse-names":false,"suffix":""},{"dropping-particle":"","family":"Sundaram","given":"Maria","non-dropping-particle":"","parse-names":false,"suffix":""},{"dropping-particle":"","family":"Ellingson","given":"Mallory K.","non-dropping-particle":"","parse-names":false,"suffix":""},{"dropping-particle":"","family":"Mao","given":"Tianyang","non-dropping-particle":"","parse-names":false,"suffix":""},{"dropping-particle":"","family":"Oh","given":"Ji Eun","non-dropping-particle":"","parse-names":false,"suffix":""},{"dropping-particle":"","family":"Israelow","given":"Benjamin","non-dropping-particle":"","parse-names":false,"suffix":""},{"dropping-particle":"","family":"Takahashi","given":"Takehiro","non-dropping-particle":"","parse-names":false,"suffix":""},{"dropping-particle":"","family":"Tokuyama","given":"Maria","non-dropping-particle":"","parse-names":false,"suffix":""},{"dropping-particle":"","family":"Lu","given":"Peiwen","non-dropping-particle":"","parse-names":false,"suffix":""},{"dropping-particle":"","family":"Venkataraman","given":"Arvind","non-dropping-particle":"","parse-names":false,"suffix":""},{"dropping-particle":"","family":"Park","given":"Annsea","non-dropping-particle":"","parse-names":false,"suffix":""},{"dropping-particle":"","family":"Mohanty","given":"Subhasis","non-dropping-particle":"","parse-names":false,"suffix":""},{"dropping-particle":"","family":"Wang","given":"Haowei","non-dropping-particle":"","parse-names":false,"suffix":""},{"dropping-particle":"","family":"Wyllie","given":"Anne L.","non-dropping-particle":"","parse-names":false,"suffix":""},{"dropping-particle":"","family":"Vogels","given":"Chantal B.F.","non-dropping-particle":"","parse-names":false,"suffix":""},{"dropping-particle":"","family":"Earnest","given":"Rebecca","non-dropping-particle":"","parse-names":false,"suffix":""},{"dropping-particle":"","family":"Lapidus","given":"Sarah","non-dropping-particle":"","parse-names":false,"suffix":""},{"dropping-particle":"","family":"Ott","given":"Isabel M.","non-dropping-particle":"","parse-names":false,"suffix":""},{"dropping-particle":"","family":"Moore","given":"Adam J.","non-dropping-particle":"","parse-names":false,"suffix":""},{"dropping-particle":"","family":"Muenker","given":"M. Catherine","non-dropping-particle":"","parse-names":false,"suffix":""},{"dropping-particle":"","family":"Fournier","given":"John B.","non-dropping-particle":"","parse-names":false,"suffix":""},{"dropping-particle":"","family":"Campbell","given":"Melissa","non-dropping-particle":"","parse-names":false,"suffix":""},{"dropping-particle":"","family":"Odio","given":"Camila D.","non-dropping-particle":"","parse-names":false,"suffix":""},{"dropping-particle":"","family":"Casanovas-Massana","given":"Arnau","non-dropping-particle":"","parse-names":false,"suffix":""},{"dropping-particle":"","family":"Obaid","given":"Abeer","non-dropping-particle":"","parse-names":false,"suffix":""},{"dropping-particle":"","family":"Lu-Culligan","given":"Alice","non-dropping-particle":"","parse-names":false,"suffix":""},{"dropping-particle":"","family":"Nelson","given":"Allison","non-dropping-particle":"","parse-names":false,"suffix":""},{"dropping-particle":"","family":"Brito","given":"Anderson","non-dropping-particle":"","parse-names":false,"suffix":""},{"dropping-particle":"","family":"Nunez","given":"Angela","non-dropping-particle":"","parse-names":false,"suffix":""},{"dropping-particle":"","family":"Martin","given":"Anjelica","non-dropping-particle":"","parse-names":false,"suffix":""},{"dropping-particle":"","family":"Watkins","given":"Annie","non-dropping-particle":"","parse-names":false,"suffix":""},{"dropping-particle":"","family":"Geng","given":"Bertie","non-dropping-particle":"","parse-names":false,"suffix":""},{"dropping-particle":"","family":"Kalinich","given":"Chaney","non-dropping-particle":"","parse-names":false,"suffix":""},{"dropping-particle":"","family":"Harden","given":"Christina","non-dropping-particle":"","parse-names":false,"suffix":""},{"dropping-particle":"","family":"Todeasa","given":"Codruta","non-dropping-particle":"","parse-names":false,"suffix":""},{"dropping-particle":"","family":"Jensen","given":"Cole","non-dropping-particle":"","parse-names":false,"suffix":""},{"dropping-particle":"","family":"Kim","given":"Daniel","non-dropping-particle":"","parse-names":false,"suffix":""},{"dropping-particle":"","family":"McDonald","given":"David","non-dropping-particle":"","parse-names":false,"suffix":""},{"dropping-particle":"","family":"Shepard","given":"Denise","non-dropping-particle":"","parse-names":false,"suffix":""},{"dropping-particle":"","family":"Courchaine","given":"Edward","non-dropping-particle":"","parse-names":false,"suffix":""},{"dropping-particle":"","family":"White","given":"Elizabeth B.","non-dropping-particle":"","parse-names":false,"suffix":""},{"dropping-particle":"","family":"Song","given":"Eric","non-dropping-particle":"","parse-names":false,"suffix":""},{"dropping-particle":"","family":"Silva","given":"Erin","non-dropping-particle":"","parse-names":false,"suffix":""},{"dropping-particle":"","family":"Kudo","given":"Eriko","non-dropping-particle":"","parse-names":false,"suffix":""},{"dropping-particle":"","family":"DeIuliis","given":"Giuseppe","non-dropping-particle":"","parse-names":false,"suffix":""},{"dropping-particle":"","family":"Rahming","given":"Harold","non-dropping-particle":"","parse-names":false,"suffix":""},{"dropping-particle":"","family":"Park","given":"Hong Jai","non-dropping-particle":"","parse-names":false,"suffix":""},{"dropping-particle":"","family":"Matos","given":"Irene","non-dropping-particle":"","parse-names":false,"suffix":""},{"dropping-particle":"","family":"Nouws","given":"Jessica","non-dropping-particle":"","parse-names":false,"suffix":""},{"dropping-particle":"","family":"Valdez","given":"Jordan","non-dropping-particle":"","parse-names":false,"suffix":""},{"dropping-particle":"","family":"Fauver","given":"Joseph","non-dropping-particle":"","parse-names":false,"suffix":""},{"dropping-particle":"","family":"Lim","given":"Joseph","non-dropping-particle":"","parse-names":false,"suffix":""},{"dropping-particle":"","family":"Rose","given":"Kadi Ann","non-dropping-particle":"","parse-names":false,"suffix":""},{"dropping-particle":"","family":"Anastasio","given":"Kelly","non-dropping-particle":"","parse-names":false,"suffix":""},{"dropping-particle":"","family":"Brower","given":"Kristina","non-dropping-particle":"","parse-names":false,"suffix":""},{"dropping-particle":"","family":"Glick","given":"Laura","non-dropping-particle":"","parse-names":false,"suffix":""},{"dropping-particle":"","family":"Sharma","given":"Lokesh","non-dropping-particle":"","parse-names":false,"suffix":""},{"dropping-particle":"","family":"Sewanan","given":"Lorenzo","non-dropping-particle":"","parse-names":false,"suffix":""},{"dropping-particle":"","family":"Knaggs","given":"Lynda","non-dropping-particle":"","parse-names":false,"suffix":""},{"dropping-particle":"","family":"Minasyan","given":"Maksym","non-dropping-particle":"","parse-names":false,"suffix":""},{"dropping-particle":"","family":"Batsu","given":"Maria","non-dropping-particle":"","parse-names":false,"suffix":""},{"dropping-particle":"","family":"Petrone","given":"Mary","non-dropping-particle":"","parse-names":false,"suffix":""},{"dropping-particle":"","family":"Kuang","given":"Maxine","non-dropping-particle":"","parse-names":false,"suffix":""},{"dropping-particle":"","family":"Nakahata","given":"Maura","non-dropping-particle":"","parse-names":false,"suffix":""},{"dropping-particle":"","family":"Campbell","given":"Melissa","non-dropping-particle":"","parse-names":false,"suffix":""},{"dropping-particle":"","family":"Linehan","given":"Melissa","non-dropping-particle":"","parse-names":false,"suffix":""},{"dropping-particle":"","family":"Askenase","given":"Michael H.","non-dropping-particle":"","parse-names":false,"suffix":""},{"dropping-particle":"","family":"Simonov","given":"Michael","non-dropping-particle":"","parse-names":false,"suffix":""},{"dropping-particle":"","family":"Smolgovsky","given":"Mikhail","non-dropping-particle":"","parse-names":false,"suffix":""},{"dropping-particle":"","family":"Sonnert","given":"Nicole","non-dropping-particle":"","parse-names":false,"suffix":""},{"dropping-particle":"","family":"Naushad","given":"Nida","non-dropping-particle":"","parse-names":false,"suffix":""},{"dropping-particle":"","family":"Vijayakumar","given":"Pavithra","non-dropping-particle":"","parse-names":false,"suffix":""},{"dropping-particle":"","family":"Martinello","given":"Rick","non-dropping-particle":"","parse-names":false,"suffix":""},{"dropping-particle":"","family":"Datta","given":"Rupak","non-dropping-particle":"","parse-names":false,"suffix":""},{"dropping-particle":"","family":"Handoko","given":"Ryan","non-dropping-particle":"","parse-names":false,"suffix":""},{"dropping-particle":"","family":"Bermejo","given":"Santos","non-dropping-particle":"","parse-names":false,"suffix":""},{"dropping-particle":"","family":"Prophet","given":"Sarah","non-dropping-particle":"","parse-names":false,"suffix":""},{"dropping-particle":"","family":"Bickerton","given":"Sean","non-dropping-particle":"","parse-names":false,"suffix":""},{"dropping-particle":"","family":"Velazquez","given":"Sofia","non-dropping-particle":"","parse-names":false,"suffix":""},{"dropping-particle":"","family":"Alpert","given":"Tara","non-dropping-particle":"","parse-names":false,"suffix":""},{"dropping-particle":"","family":"Rice","given":"Tyler","non-dropping-particle":"","parse-names":false,"suffix":""},{"dropping-particle":"","family":"Khoury-Hanold","given":"William","non-dropping-particle":"","parse-names":false,"suffix":""},{"dropping-particle":"","family":"Peng","given":"Xiaohua","non-dropping-particle":"","parse-names":false,"suffix":""},{"dropping-particle":"","family":"Yang","given":"Yexin","non-dropping-particle":"","parse-names":false,"suffix":""},{"dropping-particle":"","family":"Cao","given":"Yiyun","non-dropping-particle":"","parse-names":false,"suffix":""},{"dropping-particle":"","family":"Strong","given":"Yvette","non-dropping-particle":"","parse-names":false,"suffix":""},{"dropping-particle":"","family":"Herbst","given":"Roy","non-dropping-particle":"","parse-names":false,"suffix":""},{"dropping-particle":"","family":"Shaw","given":"Albert C.","non-dropping-particle":"","parse-names":false,"suffix":""},{"dropping-particle":"","family":"Medzhitov","given":"Ruslan","non-dropping-particle":"","parse-names":false,"suffix":""},{"dropping-particle":"","family":"Schulz","given":"Wade L.","non-dropping-particle":"","parse-names":false,"suffix":""},{"dropping-particle":"","family":"Grubaugh","given":"Nathan D.","non-dropping-particle":"","parse-names":false,"suffix":""},{"dropping-particle":"","family":"Cruz","given":"Charles","non-dropping-particle":"Dela","parse-names":false,"suffix":""},{"dropping-particle":"","family":"Farhadian","given":"Shelli","non-dropping-particle":"","parse-names":false,"suffix":""},{"dropping-particle":"","family":"Ko","given":"Albert I.","non-dropping-particle":"","parse-names":false,"suffix":""},{"dropping-particle":"","family":"Omer","given":"Saad B.","non-dropping-particle":"","parse-names":false,"suffix":""},{"dropping-particle":"","family":"Iwasaki","given":"Akiko","non-dropping-particle":"","parse-names":false,"suffix":""}],"container-title":"Nature","id":"ITEM-1","issue":"June","issued":{"date-parts":[["2020"]]},"title":"Longitudinal analyses reveal immunological misfiring in severe COVID-19","type":"article-journal","volume":"584"},"uris":["http://www.mendeley.com/documents/?uuid=6b35c15c-2430-4671-bb93-427ed897744e"]}],"mendeley":{"formattedCitation":"&lt;sup&gt;52&lt;/sup&gt;","plainTextFormattedCitation":"52","previouslyFormattedCitation":"&lt;sup&gt;52&lt;/sup&gt;"},"properties":{"noteIndex":0},"schema":"https://github.com/citation-style-language/schema/raw/master/csl-citation.json"}</w:instrText>
      </w:r>
      <w:r>
        <w:fldChar w:fldCharType="separate"/>
      </w:r>
      <w:r>
        <w:rPr>
          <w:noProof/>
          <w:vertAlign w:val="superscript"/>
        </w:rPr>
        <w:t>52</w:t>
      </w:r>
      <w:proofErr w:type="spellEnd"/>
      <w:r>
        <w:fldChar w:fldCharType="end"/>
      </w:r>
      <w:r>
        <w:rPr>
          <w:rFonts w:eastAsia="Arial Unicode MS"/>
        </w:rPr>
        <w:t>. Briefly, aliquots were stored at −80 °C. Sera were shipped to Eve Technologies (Calgary, Alberta, Canada) on dry ice, and levels of cytokines and chemokines were measured using the Human Cytokine Array/Chemokine Array 71-403 Plex Panel (</w:t>
      </w:r>
      <w:proofErr w:type="spellStart"/>
      <w:r>
        <w:rPr>
          <w:rFonts w:eastAsia="Arial Unicode MS"/>
        </w:rPr>
        <w:t>HD71</w:t>
      </w:r>
      <w:proofErr w:type="spellEnd"/>
      <w:r>
        <w:rPr>
          <w:rFonts w:eastAsia="Arial Unicode MS"/>
        </w:rPr>
        <w:t>). All samples were measured upon the first thaw.</w:t>
      </w:r>
    </w:p>
    <w:p w14:paraId="4A7EFA64" w14:textId="77777777" w:rsidR="00F5389C" w:rsidRDefault="00F5389C" w:rsidP="00F5389C"/>
    <w:p w14:paraId="0458BCA0" w14:textId="77777777" w:rsidR="00F5389C" w:rsidRDefault="00F5389C" w:rsidP="00F5389C">
      <w:pPr>
        <w:rPr>
          <w:i/>
        </w:rPr>
      </w:pPr>
      <w:r>
        <w:rPr>
          <w:i/>
        </w:rPr>
        <w:t>Cell lines and virus</w:t>
      </w:r>
    </w:p>
    <w:p w14:paraId="5B4907FC" w14:textId="77777777" w:rsidR="00F5389C" w:rsidRDefault="00F5389C" w:rsidP="00F5389C">
      <w:pPr>
        <w:rPr>
          <w:highlight w:val="white"/>
        </w:rPr>
      </w:pPr>
      <w:r>
        <w:t xml:space="preserve">As previously </w:t>
      </w:r>
      <w:proofErr w:type="spellStart"/>
      <w:r>
        <w:t>reported</w:t>
      </w:r>
      <w:r>
        <w:fldChar w:fldCharType="begin" w:fldLock="1"/>
      </w:r>
      <w:r>
        <w:instrText>ADDIN CSL_CITATION {"citationItems":[{"id":"ITEM-1","itemData":{"DOI":"10.1101/2020.12.18.20248331","PMID":"33398304","abstract":"Recent studies have provided insights into innate and adaptive immune dynamics in coronavirus disease 2019 (COVID-19). Yet, the exact feature of antibody responses that governs COVID-19 disease outcomes remain unclear. Here, we analysed humoral immune responses in 209 asymptomatic, mild, moderate and severe COVID-19 patients over time to probe the nature of antibody responses in disease severity and mortality. We observed a correlation between anti-Spike (S) IgG levels, length of hospitalization and clinical parameters associated with worse clinical progression. While high anti-S IgG levels correlated with worse disease severity, such correlation was time-dependent. Deceased patients did not have higher overall humoral response than live discharged patients. However, they mounted a robust, yet delayed response, measured by anti-S, anti-RBD IgG, and neutralizing antibody (NAb) levels, compared to survivors. Delayed seroconversion kinetics correlated with impaired viral control in deceased patients. Finally, while sera from 89% of patients displayed some neutralization capacity during their disease course, NAb generation prior to 14 days of disease onset emerged as a key factor for recovery. These data indicate that COVID-19 mortality does not correlate with the cross-sectional antiviral antibody levels per se , but rather with the delayed kinetics of NAb production.","author":[{"dropping-particle":"","family":"Lucas","given":"Carolina","non-dropping-particle":"","parse-names":false,"suffix":""},{"dropping-particle":"","family":"Klein","given":"Jon","non-dropping-particle":"","parse-names":false,"suffix":""},{"dropping-particle":"","family":"Sundaram","given":"Maria","non-dropping-particle":"","parse-names":false,"suffix":""},{"dropping-particle":"","family":"Liu","given":"Feimei","non-dropping-particle":"","parse-names":false,"suffix":""},{"dropping-particle":"","family":"Wong","given":"Patrick","non-dropping-particle":"","parse-names":false,"suffix":""},{"dropping-particle":"","family":"Silva","given":"Julio","non-dropping-particle":"","parse-names":false,"suffix":""},{"dropping-particle":"","family":"Mao","given":"Tianyang","non-dropping-particle":"","parse-names":false,"suffix":""},{"dropping-particle":"","family":"Oh","given":"Ji Eun","non-dropping-particle":"","parse-names":false,"suffix":""},{"dropping-particle":"","family":"Tokuyama","given":"Maria","non-dropping-particle":"","parse-names":false,"suffix":""},{"dropping-particle":"","family":"Lu","given":"Peiwen","non-dropping-particle":"","parse-names":false,"suffix":""},{"dropping-particle":"","family":"Venkataraman","given":"Arvind","non-dropping-particle":"","parse-names":false,"suffix":""},{"dropping-particle":"","family":"Park","given":"Annsea","non-dropping-particle":"","parse-names":false,"suffix":""},{"dropping-particle":"","family":"Israelow","given":"Benjamin","non-dropping-particle":"","parse-names":false,"suffix":""},{"dropping-particle":"","family":"Wyllie","given":"Anne L","non-dropping-particle":"","parse-names":false,"suffix":""},{"dropping-particle":"","family":"Vogels","given":"Chantal B F","non-dropping-particle":"","parse-names":false,"suffix":""},{"dropping-particle":"","family":"Muenker","given":"M Catherine","non-dropping-particle":"","parse-names":false,"suffix":""},{"dropping-particle":"","family":"Casanovas-Massana","given":"Arnau","non-dropping-particle":"","parse-names":false,"suffix":""},{"dropping-particle":"","family":"Schulz","given":"Wade L","non-dropping-particle":"","parse-names":false,"suffix":""},{"dropping-particle":"","family":"Zell","given":"Joseph","non-dropping-particle":"","parse-names":false,"suffix":""},{"dropping-particle":"","family":"Campbell","given":"Melissa","non-dropping-particle":"","parse-names":false,"suffix":""},{"dropping-particle":"","family":"Fournier","given":"John B","non-dropping-particle":"","parse-names":false,"suffix":""},{"dropping-particle":"","family":"Grubaugh","given":"Nathan D","non-dropping-particle":"","parse-names":false,"suffix":""},{"dropping-particle":"","family":"Farhadian","given":"Shelli","non-dropping-particle":"","parse-names":false,"suffix":""},{"dropping-particle":"V","family":"Wisnewski","given":"Adam","non-dropping-particle":"","parse-names":false,"suffix":""},{"dropping-particle":"Dela","family":"Cruz","given":"Charles","non-dropping-particle":"","parse-names":false,"suffix":""},{"dropping-particle":"","family":"Omer","given":"Saad","non-dropping-particle":"","parse-names":false,"suffix":""},{"dropping-particle":"","family":"Ko","given":"Albert I","non-dropping-particle":"","parse-names":false,"suffix":""},{"dropping-particle":"","family":"Ring","given":"Aaron","non-dropping-particle":"","parse-names":false,"suffix":""},{"dropping-particle":"","family":"Iwasaki","given":"Akiko","non-dropping-particle":"","parse-names":false,"suffix":""}],"container-title":"medRxiv : the preprint server for health sciences","id":"ITEM-1","issued":{"date-parts":[["2020","12","22"]]},"title":"Kinetics of antibody responses dictate COVID-19 outcome.","type":"article-journal"},"uris":["http://www.mendeley.com/documents/?uuid=14c1ca82-3f27-4925-8d5d-aabaddf91f8e"]}],"mendeley":{"formattedCitation":"&lt;sup&gt;65&lt;/sup&gt;","plainTextFormattedCitation":"65","previouslyFormattedCitation":"&lt;sup&gt;54&lt;/sup&gt;"},"properties":{"noteIndex":0},"schema":"https://github.com/citation-style-language/schema/raw/master/csl-citation.json"}</w:instrText>
      </w:r>
      <w:r>
        <w:fldChar w:fldCharType="separate"/>
      </w:r>
      <w:r>
        <w:rPr>
          <w:noProof/>
          <w:vertAlign w:val="superscript"/>
        </w:rPr>
        <w:t>65</w:t>
      </w:r>
      <w:proofErr w:type="spellEnd"/>
      <w:r>
        <w:fldChar w:fldCharType="end"/>
      </w:r>
      <w:r>
        <w:t xml:space="preserve">, </w:t>
      </w:r>
      <w:r>
        <w:rPr>
          <w:rFonts w:eastAsia="Arial Unicode MS"/>
        </w:rPr>
        <w:t xml:space="preserve">Vero </w:t>
      </w:r>
      <w:proofErr w:type="spellStart"/>
      <w:r>
        <w:rPr>
          <w:rFonts w:eastAsia="Arial Unicode MS"/>
        </w:rPr>
        <w:t>E6</w:t>
      </w:r>
      <w:proofErr w:type="spellEnd"/>
      <w:r>
        <w:rPr>
          <w:rFonts w:eastAsia="Arial Unicode MS"/>
        </w:rPr>
        <w:t xml:space="preserve"> kidney epithelial cells were cultured in Dulbecco’s Modified Eagle Medium (</w:t>
      </w:r>
      <w:proofErr w:type="spellStart"/>
      <w:r>
        <w:rPr>
          <w:rFonts w:eastAsia="Arial Unicode MS"/>
        </w:rPr>
        <w:t>DMEM</w:t>
      </w:r>
      <w:proofErr w:type="spellEnd"/>
      <w:r>
        <w:rPr>
          <w:rFonts w:eastAsia="Arial Unicode MS"/>
        </w:rPr>
        <w:t>) supplemented with 1% sodium pyruvate (</w:t>
      </w:r>
      <w:proofErr w:type="spellStart"/>
      <w:r>
        <w:rPr>
          <w:rFonts w:eastAsia="Arial Unicode MS"/>
        </w:rPr>
        <w:t>NEAA</w:t>
      </w:r>
      <w:proofErr w:type="spellEnd"/>
      <w:r>
        <w:rPr>
          <w:rFonts w:eastAsia="Arial Unicode MS"/>
        </w:rPr>
        <w:t xml:space="preserve">) and 5% fetal bovine serum (FBS) at </w:t>
      </w:r>
      <w:proofErr w:type="spellStart"/>
      <w:r>
        <w:rPr>
          <w:rFonts w:eastAsia="Arial Unicode MS"/>
        </w:rPr>
        <w:t>37°C</w:t>
      </w:r>
      <w:proofErr w:type="spellEnd"/>
      <w:r>
        <w:rPr>
          <w:rFonts w:eastAsia="Arial Unicode MS"/>
        </w:rPr>
        <w:t xml:space="preserve"> and 5% CO2. The cell line was obtained from the </w:t>
      </w:r>
      <w:proofErr w:type="spellStart"/>
      <w:r>
        <w:rPr>
          <w:rFonts w:eastAsia="Arial Unicode MS"/>
        </w:rPr>
        <w:t>ATCC</w:t>
      </w:r>
      <w:proofErr w:type="spellEnd"/>
      <w:r>
        <w:rPr>
          <w:rFonts w:eastAsia="Arial Unicode MS"/>
        </w:rPr>
        <w:t xml:space="preserve"> and has been tested negative for contamination with mycoplasma. SARS-CoV-2, strain USA-</w:t>
      </w:r>
      <w:proofErr w:type="spellStart"/>
      <w:r>
        <w:rPr>
          <w:rFonts w:eastAsia="Arial Unicode MS"/>
        </w:rPr>
        <w:t>WA1</w:t>
      </w:r>
      <w:proofErr w:type="spellEnd"/>
      <w:r>
        <w:rPr>
          <w:rFonts w:eastAsia="Arial Unicode MS"/>
        </w:rPr>
        <w:t xml:space="preserve">/2020, was obtained from BEI Resources (#NR-52281) and was amplified in Vero </w:t>
      </w:r>
      <w:proofErr w:type="spellStart"/>
      <w:r>
        <w:rPr>
          <w:rFonts w:eastAsia="Arial Unicode MS"/>
        </w:rPr>
        <w:t>E6</w:t>
      </w:r>
      <w:proofErr w:type="spellEnd"/>
      <w:r>
        <w:rPr>
          <w:rFonts w:eastAsia="Arial Unicode MS"/>
        </w:rPr>
        <w:t xml:space="preserve"> cells. Cells were infected at a MOI 0.01 for four three days to generate a working stock and after incubation the supernatant was clarified by centrifugation (</w:t>
      </w:r>
      <w:proofErr w:type="spellStart"/>
      <w:r>
        <w:rPr>
          <w:rFonts w:eastAsia="Arial Unicode MS"/>
        </w:rPr>
        <w:t>450g</w:t>
      </w:r>
      <w:proofErr w:type="spellEnd"/>
      <w:r>
        <w:rPr>
          <w:rFonts w:eastAsia="Arial Unicode MS"/>
        </w:rPr>
        <w:t xml:space="preserve"> × </w:t>
      </w:r>
      <w:proofErr w:type="spellStart"/>
      <w:r>
        <w:rPr>
          <w:rFonts w:eastAsia="Arial Unicode MS"/>
        </w:rPr>
        <w:t>5min</w:t>
      </w:r>
      <w:proofErr w:type="spellEnd"/>
      <w:r>
        <w:rPr>
          <w:rFonts w:eastAsia="Arial Unicode MS"/>
        </w:rPr>
        <w:t xml:space="preserve">) and filtered through a 0.45-micron filter. The pelleted virus was then resuspended in PBS then aliquoted for storage at − </w:t>
      </w:r>
      <w:proofErr w:type="spellStart"/>
      <w:r>
        <w:rPr>
          <w:rFonts w:eastAsia="Arial Unicode MS"/>
        </w:rPr>
        <w:t>80°C</w:t>
      </w:r>
      <w:proofErr w:type="spellEnd"/>
      <w:r>
        <w:rPr>
          <w:rFonts w:eastAsia="Arial Unicode MS"/>
        </w:rPr>
        <w:t xml:space="preserve">. Viral titers were measured by standard plaque assay using Vero </w:t>
      </w:r>
      <w:proofErr w:type="spellStart"/>
      <w:r>
        <w:rPr>
          <w:rFonts w:eastAsia="Arial Unicode MS"/>
        </w:rPr>
        <w:t>E6</w:t>
      </w:r>
      <w:proofErr w:type="spellEnd"/>
      <w:r>
        <w:rPr>
          <w:rFonts w:eastAsia="Arial Unicode MS"/>
        </w:rPr>
        <w:t xml:space="preserve"> cells. All experiments were performed in a biosafety level 3 with the Yale Environmental Health and Safety office approval.</w:t>
      </w:r>
    </w:p>
    <w:p w14:paraId="1BC441CA" w14:textId="77777777" w:rsidR="00F5389C" w:rsidRDefault="00F5389C" w:rsidP="00F5389C">
      <w:pPr>
        <w:rPr>
          <w:i/>
        </w:rPr>
      </w:pPr>
    </w:p>
    <w:p w14:paraId="531CA3CB" w14:textId="77777777" w:rsidR="00F5389C" w:rsidRDefault="00F5389C" w:rsidP="00F5389C">
      <w:pPr>
        <w:rPr>
          <w:i/>
        </w:rPr>
      </w:pPr>
      <w:r>
        <w:rPr>
          <w:i/>
        </w:rPr>
        <w:t>Neutralization assay</w:t>
      </w:r>
    </w:p>
    <w:p w14:paraId="0CC4928B" w14:textId="77777777" w:rsidR="00F5389C" w:rsidRDefault="00F5389C" w:rsidP="00F5389C">
      <w:r>
        <w:t xml:space="preserve">As reported in previous manuscripts and reiterated for </w:t>
      </w:r>
      <w:proofErr w:type="spellStart"/>
      <w:r>
        <w:t>convenience</w:t>
      </w:r>
      <w:r>
        <w:fldChar w:fldCharType="begin" w:fldLock="1"/>
      </w:r>
      <w:r>
        <w:instrText>ADDIN CSL_CITATION {"citationItems":[{"id":"ITEM-1","itemData":{"DOI":"10.1101/2020.12.18.20248331","PMID":"33398304","abstract":"Recent studies have provided insights into innate and adaptive immune dynamics in coronavirus disease 2019 (COVID-19). Yet, the exact feature of antibody responses that governs COVID-19 disease outcomes remain unclear. Here, we analysed humoral immune responses in 209 asymptomatic, mild, moderate and severe COVID-19 patients over time to probe the nature of antibody responses in disease severity and mortality. We observed a correlation between anti-Spike (S) IgG levels, length of hospitalization and clinical parameters associated with worse clinical progression. While high anti-S IgG levels correlated with worse disease severity, such correlation was time-dependent. Deceased patients did not have higher overall humoral response than live discharged patients. However, they mounted a robust, yet delayed response, measured by anti-S, anti-RBD IgG, and neutralizing antibody (NAb) levels, compared to survivors. Delayed seroconversion kinetics correlated with impaired viral control in deceased patients. Finally, while sera from 89% of patients displayed some neutralization capacity during their disease course, NAb generation prior to 14 days of disease onset emerged as a key factor for recovery. These data indicate that COVID-19 mortality does not correlate with the cross-sectional antiviral antibody levels per se , but rather with the delayed kinetics of NAb production.","author":[{"dropping-particle":"","family":"Lucas","given":"Carolina","non-dropping-particle":"","parse-names":false,"suffix":""},{"dropping-particle":"","family":"Klein","given":"Jon","non-dropping-particle":"","parse-names":false,"suffix":""},{"dropping-particle":"","family":"Sundaram","given":"Maria","non-dropping-particle":"","parse-names":false,"suffix":""},{"dropping-particle":"","family":"Liu","given":"Feimei","non-dropping-particle":"","parse-names":false,"suffix":""},{"dropping-particle":"","family":"Wong","given":"Patrick","non-dropping-particle":"","parse-names":false,"suffix":""},{"dropping-particle":"","family":"Silva","given":"Julio","non-dropping-particle":"","parse-names":false,"suffix":""},{"dropping-particle":"","family":"Mao","given":"Tianyang","non-dropping-particle":"","parse-names":false,"suffix":""},{"dropping-particle":"","family":"Oh","given":"Ji Eun","non-dropping-particle":"","parse-names":false,"suffix":""},{"dropping-particle":"","family":"Tokuyama","given":"Maria","non-dropping-particle":"","parse-names":false,"suffix":""},{"dropping-particle":"","family":"Lu","given":"Peiwen","non-dropping-particle":"","parse-names":false,"suffix":""},{"dropping-particle":"","family":"Venkataraman","given":"Arvind","non-dropping-particle":"","parse-names":false,"suffix":""},{"dropping-particle":"","family":"Park","given":"Annsea","non-dropping-particle":"","parse-names":false,"suffix":""},{"dropping-particle":"","family":"Israelow","given":"Benjamin","non-dropping-particle":"","parse-names":false,"suffix":""},{"dropping-particle":"","family":"Wyllie","given":"Anne L","non-dropping-particle":"","parse-names":false,"suffix":""},{"dropping-particle":"","family":"Vogels","given":"Chantal B F","non-dropping-particle":"","parse-names":false,"suffix":""},{"dropping-particle":"","family":"Muenker","given":"M Catherine","non-dropping-particle":"","parse-names":false,"suffix":""},{"dropping-particle":"","family":"Casanovas-Massana","given":"Arnau","non-dropping-particle":"","parse-names":false,"suffix":""},{"dropping-particle":"","family":"Schulz","given":"Wade L","non-dropping-particle":"","parse-names":false,"suffix":""},{"dropping-particle":"","family":"Zell","given":"Joseph","non-dropping-particle":"","parse-names":false,"suffix":""},{"dropping-particle":"","family":"Campbell","given":"Melissa","non-dropping-particle":"","parse-names":false,"suffix":""},{"dropping-particle":"","family":"Fournier","given":"John B","non-dropping-particle":"","parse-names":false,"suffix":""},{"dropping-particle":"","family":"Grubaugh","given":"Nathan D","non-dropping-particle":"","parse-names":false,"suffix":""},{"dropping-particle":"","family":"Farhadian","given":"Shelli","non-dropping-particle":"","parse-names":false,"suffix":""},{"dropping-particle":"V","family":"Wisnewski","given":"Adam","non-dropping-particle":"","parse-names":false,"suffix":""},{"dropping-particle":"Dela","family":"Cruz","given":"Charles","non-dropping-particle":"","parse-names":false,"suffix":""},{"dropping-particle":"","family":"Omer","given":"Saad","non-dropping-particle":"","parse-names":false,"suffix":""},{"dropping-particle":"","family":"Ko","given":"Albert I","non-dropping-particle":"","parse-names":false,"suffix":""},{"dropping-particle":"","family":"Ring","given":"Aaron","non-dropping-particle":"","parse-names":false,"suffix":""},{"dropping-particle":"","family":"Iwasaki","given":"Akiko","non-dropping-particle":"","parse-names":false,"suffix":""}],"container-title":"medRxiv : the preprint server for health sciences","id":"ITEM-1","issued":{"date-parts":[["2020","12","22"]]},"title":"Kinetics of antibody responses dictate COVID-19 outcome.","type":"article-journal"},"uris":["http://www.mendeley.com/documents/?uuid=14c1ca82-3f27-4925-8d5d-aabaddf91f8e"]}],"mendeley":{"formattedCitation":"&lt;sup&gt;65&lt;/sup&gt;","plainTextFormattedCitation":"65","previouslyFormattedCitation":"&lt;sup&gt;54&lt;/sup&gt;"},"properties":{"noteIndex":0},"schema":"https://github.com/citation-style-language/schema/raw/master/csl-citation.json"}</w:instrText>
      </w:r>
      <w:r>
        <w:fldChar w:fldCharType="separate"/>
      </w:r>
      <w:r>
        <w:rPr>
          <w:noProof/>
          <w:vertAlign w:val="superscript"/>
        </w:rPr>
        <w:t>65</w:t>
      </w:r>
      <w:proofErr w:type="spellEnd"/>
      <w:r>
        <w:fldChar w:fldCharType="end"/>
      </w:r>
      <w:r>
        <w:t xml:space="preserve">, patients and healthy donor sera were isolated from whole blood and heat treated for 30 minutes at </w:t>
      </w:r>
      <w:r>
        <w:rPr>
          <w:highlight w:val="white"/>
        </w:rPr>
        <w:t xml:space="preserve">56 °C. Sixfold serially diluted plasma, from 1:10 to 1:2430 were incubated with </w:t>
      </w:r>
      <w:r>
        <w:t xml:space="preserve">SARS-CoV-2 for 1 h at 37 °C. The mixture was subsequently incubated with Vero </w:t>
      </w:r>
      <w:proofErr w:type="spellStart"/>
      <w:r>
        <w:t>E6</w:t>
      </w:r>
      <w:proofErr w:type="spellEnd"/>
      <w:r>
        <w:t xml:space="preserve"> cells in a 6-well plate for 1 hour for infection. Cells were </w:t>
      </w:r>
      <w:r>
        <w:rPr>
          <w:highlight w:val="white"/>
        </w:rPr>
        <w:t xml:space="preserve">overlayed with MEM supplemented </w:t>
      </w:r>
      <w:proofErr w:type="spellStart"/>
      <w:r>
        <w:rPr>
          <w:highlight w:val="white"/>
        </w:rPr>
        <w:t>NaHCO</w:t>
      </w:r>
      <w:r>
        <w:rPr>
          <w:vertAlign w:val="subscript"/>
        </w:rPr>
        <w:t>3</w:t>
      </w:r>
      <w:proofErr w:type="spellEnd"/>
      <w:r>
        <w:rPr>
          <w:highlight w:val="white"/>
        </w:rPr>
        <w:t xml:space="preserve">, 2% FBS, and 0.6% Avicel mixture. Plaques were resolved at </w:t>
      </w:r>
      <w:proofErr w:type="spellStart"/>
      <w:r>
        <w:rPr>
          <w:highlight w:val="white"/>
        </w:rPr>
        <w:t>40h</w:t>
      </w:r>
      <w:proofErr w:type="spellEnd"/>
      <w:r>
        <w:rPr>
          <w:highlight w:val="white"/>
        </w:rPr>
        <w:t xml:space="preserve"> post infection by fixing in 10% formaldehyde for </w:t>
      </w:r>
      <w:proofErr w:type="spellStart"/>
      <w:r>
        <w:rPr>
          <w:highlight w:val="white"/>
        </w:rPr>
        <w:t>1h</w:t>
      </w:r>
      <w:proofErr w:type="spellEnd"/>
      <w:r>
        <w:rPr>
          <w:highlight w:val="white"/>
        </w:rPr>
        <w:t xml:space="preserve"> followed by staining in 0.5% crystal violet. All experiments were performed in parallel with healthy, uninfected control sera to establish degree of protection as reflected in difference in plaque counts.</w:t>
      </w:r>
      <w:bookmarkStart w:id="10" w:name="_jp2hlpwhf33i"/>
      <w:bookmarkStart w:id="11" w:name="_laq8tf7yp5s3"/>
      <w:bookmarkStart w:id="12" w:name="_cnnnikwsxh3f"/>
      <w:bookmarkStart w:id="13" w:name="_x6ksrygqh36k"/>
      <w:bookmarkStart w:id="14" w:name="_ewtm81amdegw"/>
      <w:bookmarkStart w:id="15" w:name="_b6i9il2a5ltg"/>
      <w:bookmarkStart w:id="16" w:name="_q6i9rxazyx7j"/>
      <w:bookmarkStart w:id="17" w:name="_mabwdrv8u1v2"/>
      <w:bookmarkStart w:id="18" w:name="_wixwm2fzilsb"/>
      <w:bookmarkStart w:id="19" w:name="_i932fufnkztd"/>
      <w:bookmarkStart w:id="20" w:name="_4xc9a9teldxz"/>
      <w:bookmarkStart w:id="21" w:name="_gpi460jb0aln"/>
      <w:bookmarkStart w:id="22" w:name="_yqyg0rd29jsh"/>
      <w:bookmarkStart w:id="23" w:name="_qmxgp4qb1d9d"/>
      <w:bookmarkStart w:id="24" w:name="_9myhx2s52lco"/>
      <w:bookmarkStart w:id="25" w:name="_ws5zy2gtiqlv"/>
      <w:bookmarkStart w:id="26" w:name="_s3cr18l2bmx9"/>
      <w:bookmarkStart w:id="27" w:name="_eowd5c8509kx"/>
      <w:bookmarkStart w:id="28" w:name="_8d7voortnmmv"/>
      <w:bookmarkStart w:id="29" w:name="_l8a3q8y62c6g"/>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78767166" w14:textId="77777777" w:rsidR="00F5389C" w:rsidRDefault="00F5389C"/>
    <w:sectPr w:rsidR="00F538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89C"/>
    <w:rsid w:val="00F538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D9FB1"/>
  <w15:chartTrackingRefBased/>
  <w15:docId w15:val="{2106D83C-055B-4364-AE5F-C70F16AED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89C"/>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5389C"/>
    <w:pPr>
      <w:keepNext/>
      <w:keepLines/>
      <w:spacing w:after="60"/>
    </w:pPr>
    <w:rPr>
      <w:sz w:val="52"/>
      <w:szCs w:val="52"/>
    </w:rPr>
  </w:style>
  <w:style w:type="character" w:customStyle="1" w:styleId="TitleChar">
    <w:name w:val="Title Char"/>
    <w:basedOn w:val="DefaultParagraphFont"/>
    <w:link w:val="Title"/>
    <w:uiPriority w:val="10"/>
    <w:rsid w:val="00F5389C"/>
    <w:rPr>
      <w:rFonts w:ascii="Arial" w:eastAsia="Arial" w:hAnsi="Arial" w:cs="Arial"/>
      <w:sz w:val="52"/>
      <w:szCs w:val="52"/>
      <w:lang w:val="en"/>
    </w:rPr>
  </w:style>
  <w:style w:type="character" w:styleId="Hyperlink">
    <w:name w:val="Hyperlink"/>
    <w:basedOn w:val="DefaultParagraphFont"/>
    <w:uiPriority w:val="99"/>
    <w:semiHidden/>
    <w:unhideWhenUsed/>
    <w:rsid w:val="00F538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058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hyperlink" Target="https://paperpile.com/c/wuyqKp/B9ski+ptWhQ"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paperpile.com/c/wuyqKp/B9ski+ptWhQ" TargetMode="Externa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30521</Words>
  <Characters>173974</Characters>
  <Application>Microsoft Office Word</Application>
  <DocSecurity>0</DocSecurity>
  <Lines>1449</Lines>
  <Paragraphs>408</Paragraphs>
  <ScaleCrop>false</ScaleCrop>
  <Company/>
  <LinksUpToDate>false</LinksUpToDate>
  <CharactersWithSpaces>204087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2021-05-05T16:04:00Z</dcterms:created>
  <dcterms:modified xsi:type="dcterms:W3CDTF">2021-05-05T16:05:00Z</dcterms:modified>
</cp:coreProperties>
</file>