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p w:rsidR="009A4B6D" w:rsidRPr="002F38CA" w:rsidP="00932AAB" w14:paraId="7F19CD70" w14:textId="1BEB3B26">
      <w:pPr>
        <w:spacing w:before="0"/>
        <w:rPr>
          <w:sz w:val="12"/>
          <w:szCs w:val="12"/>
          <w:lang w:val="pt-BR"/>
        </w:rPr>
      </w:pPr>
    </w:p>
    <w:tbl>
      <w:tblPr>
        <w:tblStyle w:val="TableGrid"/>
        <w:tblpPr w:leftFromText="180" w:rightFromText="180" w:vertAnchor="page" w:horzAnchor="margin" w:tblpY="15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91"/>
        <w:gridCol w:w="1234"/>
        <w:gridCol w:w="1487"/>
        <w:gridCol w:w="1427"/>
        <w:gridCol w:w="1198"/>
        <w:gridCol w:w="1329"/>
      </w:tblGrid>
      <w:tr w14:paraId="26971A2B" w14:textId="77777777" w:rsidTr="00BD44D8">
        <w:tblPrEx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hRule="exact" w:val="329"/>
        </w:trPr>
        <w:tc>
          <w:tcPr>
            <w:tcW w:w="9066" w:type="dxa"/>
            <w:gridSpan w:val="6"/>
            <w:tcBorders>
              <w:top w:val="single" w:sz="18" w:space="0" w:color="auto"/>
            </w:tcBorders>
            <w:noWrap/>
            <w:vAlign w:val="center"/>
          </w:tcPr>
          <w:p w:rsidR="002F38CA" w:rsidRPr="00BD44D8" w:rsidP="00BD44D8" w14:paraId="0ED543CF" w14:textId="1AA541B5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Supplementary table S</w:t>
            </w:r>
            <w:r w:rsidR="00E11E6C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– Clinical variables on study (mean &amp; SD)</w:t>
            </w:r>
          </w:p>
        </w:tc>
      </w:tr>
      <w:tr w14:paraId="14F97B7A" w14:textId="77777777" w:rsidTr="00BD44D8">
        <w:tblPrEx>
          <w:tblW w:w="0" w:type="auto"/>
          <w:tblLook w:val="04A0"/>
        </w:tblPrEx>
        <w:trPr>
          <w:trHeight w:hRule="exact" w:val="702"/>
        </w:trPr>
        <w:tc>
          <w:tcPr>
            <w:tcW w:w="2391" w:type="dxa"/>
            <w:tcBorders>
              <w:top w:val="single" w:sz="18" w:space="0" w:color="auto"/>
            </w:tcBorders>
            <w:noWrap/>
            <w:vAlign w:val="center"/>
            <w:hideMark/>
          </w:tcPr>
          <w:p w:rsidR="002F38CA" w:rsidRPr="00BD44D8" w:rsidP="00BD44D8" w14:paraId="0DD39F6B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Variable </w:t>
            </w:r>
          </w:p>
        </w:tc>
        <w:tc>
          <w:tcPr>
            <w:tcW w:w="1234" w:type="dxa"/>
            <w:tcBorders>
              <w:top w:val="single" w:sz="18" w:space="0" w:color="auto"/>
            </w:tcBorders>
            <w:noWrap/>
            <w:vAlign w:val="center"/>
            <w:hideMark/>
          </w:tcPr>
          <w:p w:rsidR="002F38CA" w:rsidRPr="00BD44D8" w:rsidP="00BD44D8" w14:paraId="0A977D67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MedOFF</w:t>
            </w:r>
          </w:p>
          <w:p w:rsidR="002F38CA" w:rsidRPr="00BD44D8" w:rsidP="00BD44D8" w14:paraId="70B28E5D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StimOFF</w:t>
            </w:r>
          </w:p>
        </w:tc>
        <w:tc>
          <w:tcPr>
            <w:tcW w:w="1487" w:type="dxa"/>
            <w:tcBorders>
              <w:top w:val="single" w:sz="18" w:space="0" w:color="auto"/>
            </w:tcBorders>
            <w:noWrap/>
            <w:vAlign w:val="center"/>
            <w:hideMark/>
          </w:tcPr>
          <w:p w:rsidR="002F38CA" w:rsidRPr="00BD44D8" w:rsidP="00BD44D8" w14:paraId="0D0C7D99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MedOFF</w:t>
            </w:r>
          </w:p>
          <w:p w:rsidR="002F38CA" w:rsidRPr="00BD44D8" w:rsidP="00BD44D8" w14:paraId="333B1B24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StimON</w:t>
            </w: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427" w:type="dxa"/>
            <w:tcBorders>
              <w:top w:val="single" w:sz="18" w:space="0" w:color="auto"/>
            </w:tcBorders>
            <w:noWrap/>
            <w:vAlign w:val="center"/>
            <w:hideMark/>
          </w:tcPr>
          <w:p w:rsidR="002F38CA" w:rsidRPr="00BD44D8" w:rsidP="00BD44D8" w14:paraId="7D8D15A2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MedON</w:t>
            </w:r>
          </w:p>
          <w:p w:rsidR="002F38CA" w:rsidRPr="00BD44D8" w:rsidP="00BD44D8" w14:paraId="2883D4B9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StimOFF</w:t>
            </w:r>
          </w:p>
        </w:tc>
        <w:tc>
          <w:tcPr>
            <w:tcW w:w="1198" w:type="dxa"/>
            <w:tcBorders>
              <w:top w:val="single" w:sz="18" w:space="0" w:color="auto"/>
            </w:tcBorders>
            <w:noWrap/>
            <w:vAlign w:val="center"/>
            <w:hideMark/>
          </w:tcPr>
          <w:p w:rsidR="002F38CA" w:rsidRPr="00BD44D8" w:rsidP="00BD44D8" w14:paraId="64849432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MedON</w:t>
            </w:r>
          </w:p>
          <w:p w:rsidR="002F38CA" w:rsidRPr="00BD44D8" w:rsidP="00BD44D8" w14:paraId="4D363DF2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ON130Hz</w:t>
            </w:r>
          </w:p>
        </w:tc>
        <w:tc>
          <w:tcPr>
            <w:tcW w:w="1329" w:type="dxa"/>
            <w:tcBorders>
              <w:top w:val="single" w:sz="18" w:space="0" w:color="auto"/>
            </w:tcBorders>
            <w:noWrap/>
            <w:vAlign w:val="center"/>
            <w:hideMark/>
          </w:tcPr>
          <w:p w:rsidR="002F38CA" w:rsidRPr="00BD44D8" w:rsidP="00BD44D8" w14:paraId="34F34974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MedON</w:t>
            </w:r>
          </w:p>
          <w:p w:rsidR="002F38CA" w:rsidRPr="00BD44D8" w:rsidP="00BD44D8" w14:paraId="7455A720" w14:textId="77777777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ON60Hz</w:t>
            </w:r>
          </w:p>
        </w:tc>
      </w:tr>
      <w:tr w14:paraId="183F4A64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4202ACBF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MDS-UPDRS part III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7BA9E26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62.0 ± 9.8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ab/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3F60043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45.9 ± 8.6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618E16EE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49.4 ± 10.5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231292B6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38.6 ± 8.5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1A931953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40.7 ± 9.6</w:t>
            </w:r>
          </w:p>
        </w:tc>
      </w:tr>
      <w:tr w14:paraId="709F7842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4F158B82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MDS-UPDRS Axial score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0895E86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9.8 ± 3.8 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7A005ECC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7.6 ± 3.5 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7B41B39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8.3 ± 3.5 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22938EE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7.4 ± 4.4 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11DD44A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5.6 ± 2.6</w:t>
            </w:r>
          </w:p>
        </w:tc>
      </w:tr>
      <w:tr w14:paraId="2731D4B6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</w:tcPr>
          <w:p w:rsidR="002F38CA" w:rsidRPr="00BD44D8" w:rsidP="00BD44D8" w14:paraId="30D561A8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MDS-UPDRS Non-Axial score</w:t>
            </w:r>
          </w:p>
        </w:tc>
        <w:tc>
          <w:tcPr>
            <w:tcW w:w="1234" w:type="dxa"/>
            <w:noWrap/>
            <w:vAlign w:val="center"/>
          </w:tcPr>
          <w:p w:rsidR="002F38CA" w:rsidRPr="00BD44D8" w:rsidP="00BD44D8" w14:paraId="0510303E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52.2 ± 8.5</w:t>
            </w:r>
          </w:p>
        </w:tc>
        <w:tc>
          <w:tcPr>
            <w:tcW w:w="1487" w:type="dxa"/>
            <w:noWrap/>
            <w:vAlign w:val="center"/>
          </w:tcPr>
          <w:p w:rsidR="002F38CA" w:rsidRPr="00BD44D8" w:rsidP="00BD44D8" w14:paraId="59177591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38.3 ± 8.7</w:t>
            </w:r>
          </w:p>
        </w:tc>
        <w:tc>
          <w:tcPr>
            <w:tcW w:w="1427" w:type="dxa"/>
            <w:noWrap/>
            <w:vAlign w:val="center"/>
          </w:tcPr>
          <w:p w:rsidR="002F38CA" w:rsidRPr="00BD44D8" w:rsidP="00BD44D8" w14:paraId="74061A9B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41.0 ± 8.7</w:t>
            </w:r>
          </w:p>
        </w:tc>
        <w:tc>
          <w:tcPr>
            <w:tcW w:w="1198" w:type="dxa"/>
            <w:noWrap/>
            <w:vAlign w:val="center"/>
          </w:tcPr>
          <w:p w:rsidR="002F38CA" w:rsidRPr="00BD44D8" w:rsidP="00BD44D8" w14:paraId="2937B1D5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31.2 ±7.3</w:t>
            </w:r>
          </w:p>
        </w:tc>
        <w:tc>
          <w:tcPr>
            <w:tcW w:w="1329" w:type="dxa"/>
            <w:noWrap/>
            <w:vAlign w:val="center"/>
          </w:tcPr>
          <w:p w:rsidR="002F38CA" w:rsidRPr="00BD44D8" w:rsidP="00BD44D8" w14:paraId="58AE063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35.1 ± 8.7</w:t>
            </w:r>
          </w:p>
        </w:tc>
      </w:tr>
      <w:tr w14:paraId="764BD9FD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3DBA0456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Item 3.10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24453641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2.6 ± 0.7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0E3F1B61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2.4 ± 0.4  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260A21D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2.6 ± 0.7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6DC0370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2.4 ± 0.6 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020AE04F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2.0 ± 0.4 </w:t>
            </w:r>
          </w:p>
        </w:tc>
      </w:tr>
      <w:tr w14:paraId="0CBCDDE5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56F6ADF5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Item 3.11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507C61E6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3.4 ± 0.8 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4EC4A2D9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2.5 ± 1.5 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68A8470E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3.0 ± 1.2 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1ABAD75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2.4 ± 1.1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0CE372EE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2.0 ± 1.4</w:t>
            </w:r>
          </w:p>
        </w:tc>
      </w:tr>
      <w:tr w14:paraId="78108EB6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44994DF8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Item 3.12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4850EA4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1.9 ± 1.5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63386EB2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1.1 ± 1.5 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06FB98C1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1.2 ± 1.6 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7D1FE1C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1.1 ± 1.6 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4B257BF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0.6 ± 1.1 </w:t>
            </w:r>
          </w:p>
        </w:tc>
      </w:tr>
      <w:tr w14:paraId="64602B9C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2E3FC4DE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SWS time (s) 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5F70501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239.5 ± 198.0 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72BD5B38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152.5 ± 151.2 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65615D84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143.5 ± 112.8 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634D79A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76.5 ± 54.0 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2E3FE5D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71.8 ± 54.2 </w:t>
            </w:r>
          </w:p>
        </w:tc>
      </w:tr>
      <w:tr w14:paraId="404D27EE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5875F1B6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SWS nº FOG events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3FC6BE7D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17.4 ± 15.7 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4686A66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11.2 ± 13.0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36AB04A7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9.3 ± 7.5 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59DE53D5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6.3 ± 7.9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4142F210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5.1 ± 8.3 </w:t>
            </w:r>
          </w:p>
        </w:tc>
      </w:tr>
      <w:tr w14:paraId="5178469C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noWrap/>
            <w:vAlign w:val="center"/>
            <w:hideMark/>
          </w:tcPr>
          <w:p w:rsidR="002F38CA" w:rsidRPr="00BD44D8" w:rsidP="00BD44D8" w14:paraId="6B01A050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H&amp;Y</w:t>
            </w:r>
          </w:p>
        </w:tc>
        <w:tc>
          <w:tcPr>
            <w:tcW w:w="1234" w:type="dxa"/>
            <w:noWrap/>
            <w:vAlign w:val="center"/>
            <w:hideMark/>
          </w:tcPr>
          <w:p w:rsidR="002F38CA" w:rsidRPr="00BD44D8" w:rsidP="00BD44D8" w14:paraId="38700883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3.0 ± 1.1 </w:t>
            </w:r>
          </w:p>
        </w:tc>
        <w:tc>
          <w:tcPr>
            <w:tcW w:w="1487" w:type="dxa"/>
            <w:noWrap/>
            <w:vAlign w:val="center"/>
            <w:hideMark/>
          </w:tcPr>
          <w:p w:rsidR="002F38CA" w:rsidRPr="00BD44D8" w:rsidP="00BD44D8" w14:paraId="3D034F59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2.6 ± 0.9 </w:t>
            </w:r>
          </w:p>
        </w:tc>
        <w:tc>
          <w:tcPr>
            <w:tcW w:w="1427" w:type="dxa"/>
            <w:noWrap/>
            <w:vAlign w:val="center"/>
            <w:hideMark/>
          </w:tcPr>
          <w:p w:rsidR="002F38CA" w:rsidRPr="00BD44D8" w:rsidP="00BD44D8" w14:paraId="4307E74B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2.7 ± 1.1 </w:t>
            </w:r>
          </w:p>
        </w:tc>
        <w:tc>
          <w:tcPr>
            <w:tcW w:w="1198" w:type="dxa"/>
            <w:noWrap/>
            <w:vAlign w:val="center"/>
            <w:hideMark/>
          </w:tcPr>
          <w:p w:rsidR="002F38CA" w:rsidRPr="00BD44D8" w:rsidP="00BD44D8" w14:paraId="2140F98C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2.5 ± 0.9 </w:t>
            </w:r>
          </w:p>
        </w:tc>
        <w:tc>
          <w:tcPr>
            <w:tcW w:w="1329" w:type="dxa"/>
            <w:noWrap/>
            <w:vAlign w:val="center"/>
            <w:hideMark/>
          </w:tcPr>
          <w:p w:rsidR="002F38CA" w:rsidRPr="00BD44D8" w:rsidP="00BD44D8" w14:paraId="54B22668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2.2 ± 0.9 </w:t>
            </w:r>
          </w:p>
        </w:tc>
      </w:tr>
      <w:tr w14:paraId="19AA5B39" w14:textId="77777777" w:rsidTr="00BD44D8">
        <w:tblPrEx>
          <w:tblW w:w="0" w:type="auto"/>
          <w:tblLook w:val="04A0"/>
        </w:tblPrEx>
        <w:trPr>
          <w:trHeight w:hRule="exact" w:val="227"/>
        </w:trPr>
        <w:tc>
          <w:tcPr>
            <w:tcW w:w="2391" w:type="dxa"/>
            <w:tcBorders>
              <w:bottom w:val="single" w:sz="12" w:space="0" w:color="auto"/>
            </w:tcBorders>
            <w:noWrap/>
            <w:vAlign w:val="center"/>
          </w:tcPr>
          <w:p w:rsidR="002F38CA" w:rsidRPr="00BD44D8" w:rsidP="00BD44D8" w14:paraId="0E39BEEB" w14:textId="77777777">
            <w:pPr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AIMS</w:t>
            </w:r>
          </w:p>
        </w:tc>
        <w:tc>
          <w:tcPr>
            <w:tcW w:w="1234" w:type="dxa"/>
            <w:tcBorders>
              <w:bottom w:val="single" w:sz="12" w:space="0" w:color="auto"/>
            </w:tcBorders>
            <w:noWrap/>
            <w:vAlign w:val="center"/>
          </w:tcPr>
          <w:p w:rsidR="002F38CA" w:rsidRPr="00BD44D8" w:rsidP="00BD44D8" w14:paraId="585DF498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4.1 ± 7.9</w:t>
            </w:r>
          </w:p>
        </w:tc>
        <w:tc>
          <w:tcPr>
            <w:tcW w:w="1487" w:type="dxa"/>
            <w:tcBorders>
              <w:bottom w:val="single" w:sz="12" w:space="0" w:color="auto"/>
            </w:tcBorders>
            <w:noWrap/>
            <w:vAlign w:val="center"/>
          </w:tcPr>
          <w:p w:rsidR="002F38CA" w:rsidRPr="00BD44D8" w:rsidP="00BD44D8" w14:paraId="277D400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3.6 ± 6.9</w:t>
            </w:r>
          </w:p>
        </w:tc>
        <w:tc>
          <w:tcPr>
            <w:tcW w:w="1427" w:type="dxa"/>
            <w:tcBorders>
              <w:bottom w:val="single" w:sz="12" w:space="0" w:color="auto"/>
            </w:tcBorders>
            <w:noWrap/>
            <w:vAlign w:val="center"/>
          </w:tcPr>
          <w:p w:rsidR="002F38CA" w:rsidRPr="00BD44D8" w:rsidP="00BD44D8" w14:paraId="0B0E8AC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9.2 ± 9.4</w:t>
            </w:r>
          </w:p>
        </w:tc>
        <w:tc>
          <w:tcPr>
            <w:tcW w:w="1198" w:type="dxa"/>
            <w:tcBorders>
              <w:bottom w:val="single" w:sz="12" w:space="0" w:color="auto"/>
            </w:tcBorders>
            <w:noWrap/>
            <w:vAlign w:val="center"/>
          </w:tcPr>
          <w:p w:rsidR="002F38CA" w:rsidRPr="00BD44D8" w:rsidP="00BD44D8" w14:paraId="47EF21FA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 xml:space="preserve">10.0 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±  12</w:t>
            </w: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.9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noWrap/>
            <w:vAlign w:val="center"/>
          </w:tcPr>
          <w:p w:rsidR="002F38CA" w:rsidRPr="00BD44D8" w:rsidP="00BD44D8" w14:paraId="3BF74F4F" w14:textId="77777777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BD44D8">
              <w:rPr>
                <w:rFonts w:asciiTheme="minorHAnsi" w:hAnsiTheme="minorHAnsi" w:cstheme="minorHAnsi"/>
                <w:sz w:val="16"/>
                <w:szCs w:val="16"/>
              </w:rPr>
              <w:t>12.2 ± 13.0</w:t>
            </w:r>
          </w:p>
        </w:tc>
      </w:tr>
    </w:tbl>
    <w:p w:rsidR="002F38CA" w:rsidP="00932AAB" w14:paraId="2BF4EC56" w14:textId="6E1B6F43">
      <w:pPr>
        <w:rPr>
          <w:sz w:val="12"/>
          <w:szCs w:val="12"/>
        </w:rPr>
      </w:pPr>
    </w:p>
    <w:p w:rsidR="00BD44D8" w:rsidP="002F38CA" w14:paraId="457B2CE3" w14:textId="77777777">
      <w:pPr>
        <w:rPr>
          <w:rFonts w:asciiTheme="majorHAnsi" w:hAnsiTheme="majorHAnsi" w:cstheme="majorHAnsi"/>
          <w:sz w:val="18"/>
          <w:szCs w:val="18"/>
        </w:rPr>
      </w:pPr>
    </w:p>
    <w:p w:rsidR="002F38CA" w:rsidRPr="00BD44D8" w:rsidP="002F38CA" w14:paraId="2D885D3E" w14:textId="7B74A8C3">
      <w:pPr>
        <w:rPr>
          <w:rFonts w:asciiTheme="majorHAnsi" w:hAnsiTheme="majorHAnsi" w:cstheme="majorHAnsi"/>
          <w:sz w:val="28"/>
          <w:szCs w:val="32"/>
        </w:rPr>
      </w:pPr>
      <w:r w:rsidRPr="00BD44D8">
        <w:rPr>
          <w:rFonts w:asciiTheme="majorHAnsi" w:hAnsiTheme="majorHAnsi" w:cstheme="majorHAnsi"/>
          <w:sz w:val="16"/>
          <w:szCs w:val="18"/>
        </w:rPr>
        <w:t xml:space="preserve">Data are </w:t>
      </w:r>
      <w:r w:rsidRPr="00BD44D8">
        <w:rPr>
          <w:rFonts w:asciiTheme="majorHAnsi" w:hAnsiTheme="majorHAnsi" w:cstheme="majorHAnsi"/>
          <w:sz w:val="16"/>
          <w:szCs w:val="18"/>
        </w:rPr>
        <w:t>expressed  as</w:t>
      </w:r>
      <w:r w:rsidRPr="00BD44D8">
        <w:rPr>
          <w:rFonts w:asciiTheme="majorHAnsi" w:hAnsiTheme="majorHAnsi" w:cstheme="majorHAnsi"/>
          <w:sz w:val="16"/>
          <w:szCs w:val="18"/>
        </w:rPr>
        <w:t xml:space="preserve"> mean and standard deviation . Abbrev: MDS UPDRS, Movement Disorders Society Unified Parkinson's Disease Rating Scale; SWS, Stand-Walk sit test; FOG, </w:t>
      </w:r>
      <w:r w:rsidRPr="00BD44D8">
        <w:rPr>
          <w:rFonts w:asciiTheme="majorHAnsi" w:hAnsiTheme="majorHAnsi" w:cstheme="majorHAnsi"/>
          <w:sz w:val="16"/>
          <w:szCs w:val="18"/>
        </w:rPr>
        <w:t>Freezing</w:t>
      </w:r>
      <w:r w:rsidRPr="00BD44D8">
        <w:rPr>
          <w:rFonts w:asciiTheme="majorHAnsi" w:hAnsiTheme="majorHAnsi" w:cstheme="majorHAnsi"/>
          <w:sz w:val="16"/>
          <w:szCs w:val="18"/>
        </w:rPr>
        <w:t xml:space="preserve"> of gait; H&amp;Y, Hoehn and </w:t>
      </w:r>
      <w:r w:rsidRPr="00BD44D8">
        <w:rPr>
          <w:rFonts w:asciiTheme="majorHAnsi" w:hAnsiTheme="majorHAnsi" w:cstheme="majorHAnsi"/>
          <w:sz w:val="16"/>
          <w:szCs w:val="18"/>
        </w:rPr>
        <w:t>Yahr</w:t>
      </w:r>
      <w:r w:rsidRPr="00BD44D8">
        <w:rPr>
          <w:rFonts w:asciiTheme="majorHAnsi" w:hAnsiTheme="majorHAnsi" w:cstheme="majorHAnsi"/>
          <w:sz w:val="16"/>
          <w:szCs w:val="18"/>
        </w:rPr>
        <w:t xml:space="preserve"> Scale; AIMS, Abnormal Involuntary Movement Scale; </w:t>
      </w:r>
      <w:r w:rsidRPr="00BD44D8">
        <w:rPr>
          <w:rFonts w:asciiTheme="majorHAnsi" w:hAnsiTheme="majorHAnsi" w:cstheme="majorHAnsi"/>
          <w:sz w:val="16"/>
          <w:szCs w:val="18"/>
        </w:rPr>
        <w:t>MedOFF-StimOFF</w:t>
      </w:r>
      <w:r w:rsidRPr="00BD44D8">
        <w:rPr>
          <w:rFonts w:asciiTheme="majorHAnsi" w:hAnsiTheme="majorHAnsi" w:cstheme="majorHAnsi"/>
          <w:sz w:val="16"/>
          <w:szCs w:val="18"/>
        </w:rPr>
        <w:t xml:space="preserve">, Medication OFF-Stimulation OFF; </w:t>
      </w:r>
      <w:r w:rsidRPr="00BD44D8">
        <w:rPr>
          <w:rFonts w:asciiTheme="majorHAnsi" w:hAnsiTheme="majorHAnsi" w:cstheme="majorHAnsi"/>
          <w:sz w:val="16"/>
          <w:szCs w:val="18"/>
        </w:rPr>
        <w:t>MedOFF-StimON</w:t>
      </w:r>
      <w:r w:rsidRPr="00BD44D8">
        <w:rPr>
          <w:rFonts w:asciiTheme="majorHAnsi" w:hAnsiTheme="majorHAnsi" w:cstheme="majorHAnsi"/>
          <w:sz w:val="16"/>
          <w:szCs w:val="18"/>
        </w:rPr>
        <w:t xml:space="preserve">, Medication OFF-Stimulation ON; </w:t>
      </w:r>
      <w:r w:rsidRPr="00BD44D8">
        <w:rPr>
          <w:rFonts w:asciiTheme="majorHAnsi" w:hAnsiTheme="majorHAnsi" w:cstheme="majorHAnsi"/>
          <w:sz w:val="16"/>
          <w:szCs w:val="18"/>
        </w:rPr>
        <w:t>MedON-StimOFF</w:t>
      </w:r>
      <w:r w:rsidRPr="00BD44D8">
        <w:rPr>
          <w:rFonts w:asciiTheme="majorHAnsi" w:hAnsiTheme="majorHAnsi" w:cstheme="majorHAnsi"/>
          <w:sz w:val="16"/>
          <w:szCs w:val="18"/>
        </w:rPr>
        <w:t xml:space="preserve">, Medication ON-Stimulation OFF; </w:t>
      </w:r>
      <w:r w:rsidRPr="00BD44D8">
        <w:rPr>
          <w:rFonts w:asciiTheme="majorHAnsi" w:hAnsiTheme="majorHAnsi" w:cstheme="majorHAnsi"/>
          <w:sz w:val="16"/>
          <w:szCs w:val="18"/>
        </w:rPr>
        <w:t>MedON-StimON</w:t>
      </w:r>
      <w:r w:rsidRPr="00BD44D8">
        <w:rPr>
          <w:rFonts w:asciiTheme="majorHAnsi" w:hAnsiTheme="majorHAnsi" w:cstheme="majorHAnsi"/>
          <w:sz w:val="16"/>
          <w:szCs w:val="18"/>
        </w:rPr>
        <w:t xml:space="preserve"> 130 Hz, Medication ON-Stimulation ON 130 Hz; </w:t>
      </w:r>
      <w:r w:rsidRPr="00BD44D8">
        <w:rPr>
          <w:rFonts w:asciiTheme="majorHAnsi" w:hAnsiTheme="majorHAnsi" w:cstheme="majorHAnsi"/>
          <w:sz w:val="16"/>
          <w:szCs w:val="18"/>
        </w:rPr>
        <w:t>MedON-StimON</w:t>
      </w:r>
      <w:r w:rsidRPr="00BD44D8">
        <w:rPr>
          <w:rFonts w:asciiTheme="majorHAnsi" w:hAnsiTheme="majorHAnsi" w:cstheme="majorHAnsi"/>
          <w:sz w:val="16"/>
          <w:szCs w:val="18"/>
        </w:rPr>
        <w:t xml:space="preserve"> 60 Hz, Medication ON-Stimulation ON 60 Hz</w:t>
      </w:r>
    </w:p>
    <w:p w:rsidR="002F38CA" w:rsidRPr="00BD44D8" w:rsidP="00932AAB" w14:paraId="0B93D652" w14:textId="4191D065">
      <w:pPr>
        <w:rPr>
          <w:rFonts w:asciiTheme="majorHAnsi" w:hAnsiTheme="majorHAnsi" w:cstheme="majorHAnsi"/>
          <w:sz w:val="10"/>
          <w:szCs w:val="12"/>
        </w:rPr>
      </w:pPr>
    </w:p>
    <w:p w:rsidR="002F38CA" w:rsidRPr="00D073AF" w:rsidP="00932AAB" w14:paraId="11F48CE9" w14:textId="6DCE6E6E">
      <w:pPr>
        <w:rPr>
          <w:rFonts w:asciiTheme="majorHAnsi" w:hAnsiTheme="majorHAnsi" w:cstheme="majorHAnsi"/>
          <w:sz w:val="12"/>
          <w:szCs w:val="12"/>
        </w:rPr>
      </w:pPr>
    </w:p>
    <w:p w:rsidR="002F38CA" w:rsidRPr="00D073AF" w:rsidP="00932AAB" w14:paraId="236F5D1C" w14:textId="0253CB6D">
      <w:pPr>
        <w:rPr>
          <w:rFonts w:asciiTheme="majorHAnsi" w:hAnsiTheme="majorHAnsi" w:cstheme="majorHAnsi"/>
          <w:sz w:val="12"/>
          <w:szCs w:val="12"/>
        </w:rPr>
      </w:pPr>
    </w:p>
    <w:p w:rsidR="002F38CA" w:rsidRPr="00D073AF" w:rsidP="00932AAB" w14:paraId="63AFB650" w14:textId="66F2113A">
      <w:pPr>
        <w:rPr>
          <w:rFonts w:asciiTheme="majorHAnsi" w:hAnsiTheme="majorHAnsi" w:cstheme="majorHAnsi"/>
          <w:sz w:val="12"/>
          <w:szCs w:val="12"/>
        </w:rPr>
      </w:pPr>
    </w:p>
    <w:p w:rsidR="00D073AF" w:rsidP="00D073AF" w14:paraId="37502D78" w14:textId="4A0577A8"/>
    <w:p w:rsidR="00D073AF" w:rsidP="00D073AF" w14:paraId="4ECC36DB" w14:textId="0B614CB3"/>
    <w:p w:rsidR="00D073AF" w:rsidP="00D073AF" w14:paraId="2EC81A0A" w14:textId="4D9BAF26"/>
    <w:p w:rsidR="00D073AF" w:rsidP="00D073AF" w14:paraId="689B2383" w14:textId="22AE4936"/>
    <w:p w:rsidR="00D073AF" w:rsidP="00D073AF" w14:paraId="133B5052" w14:textId="65851A00"/>
    <w:p w:rsidR="00D073AF" w:rsidP="00D073AF" w14:paraId="3E436564" w14:textId="3A957CAE"/>
    <w:p w:rsidR="00D073AF" w:rsidP="00D073AF" w14:paraId="13DCE067" w14:textId="1B9983F2"/>
    <w:p w:rsidR="00D073AF" w:rsidP="00D073AF" w14:paraId="6B679B0D" w14:textId="00B42E26"/>
    <w:p w:rsidR="00D073AF" w:rsidP="00D073AF" w14:paraId="1B5B14FD" w14:textId="1040F5B2"/>
    <w:p w:rsidR="00D073AF" w:rsidP="00D073AF" w14:paraId="271E6D18" w14:textId="554BEF1F"/>
    <w:p w:rsidR="00D073AF" w:rsidP="00D073AF" w14:paraId="5D215FB3" w14:textId="646139AE"/>
    <w:p w:rsidR="00D073AF" w:rsidP="00D073AF" w14:paraId="00EEB862" w14:textId="612437DB"/>
    <w:p w:rsidR="00D073AF" w:rsidP="00D073AF" w14:paraId="457FA580" w14:textId="4CFCF5BE"/>
    <w:p w:rsidR="00D073AF" w:rsidP="00D073AF" w14:paraId="1F6C567D" w14:textId="1A3EB26F"/>
    <w:p w:rsidR="00D073AF" w:rsidP="00D073AF" w14:paraId="72500890" w14:textId="03657E04"/>
    <w:p w:rsidR="00D073AF" w:rsidP="00D073AF" w14:paraId="67A0231C" w14:textId="056FEA34"/>
    <w:p w:rsidR="00D073AF" w:rsidP="00D073AF" w14:paraId="31787820" w14:textId="75A5360B"/>
    <w:p w:rsidR="00D073AF" w:rsidP="00D073AF" w14:paraId="5E173CB4" w14:textId="3C80B735"/>
    <w:p w:rsidR="00D073AF" w:rsidP="00D073AF" w14:paraId="310142B9" w14:textId="18697E37"/>
    <w:p w:rsidR="00D073AF" w:rsidP="00D073AF" w14:paraId="221BB0A4" w14:textId="1B5440F2"/>
    <w:p w:rsidR="00D073AF" w:rsidP="00D073AF" w14:paraId="0A4C54B1" w14:textId="2D59B66F"/>
    <w:p w:rsidR="00D073AF" w:rsidP="00D073AF" w14:paraId="65B899A3" w14:textId="75EAEFD5"/>
    <w:p w:rsidR="00D073AF" w:rsidP="00D073AF" w14:paraId="50FFB49D" w14:textId="7CC0DD26"/>
    <w:p w:rsidR="00D073AF" w:rsidP="00D073AF" w14:paraId="19ED3840" w14:textId="123200C7"/>
    <w:p w:rsidR="00BD44D8" w:rsidP="00D073AF" w14:paraId="23549AD3" w14:textId="7FC463E5"/>
    <w:p w:rsidR="00BD44D8" w:rsidP="00D073AF" w14:paraId="2C3940D4" w14:textId="2B78C994"/>
    <w:p w:rsidR="00BD44D8" w:rsidP="00D073AF" w14:paraId="53D9EDF5" w14:textId="6A8ABCDF"/>
    <w:p w:rsidR="00BD44D8" w:rsidP="00D073AF" w14:paraId="677CB44A" w14:textId="361D6FB2"/>
    <w:p w:rsidR="00BD44D8" w:rsidP="00D073AF" w14:paraId="2252E053" w14:textId="60748FC4"/>
    <w:p w:rsidR="00BD44D8" w:rsidP="00D073AF" w14:paraId="72BC3435" w14:textId="77777777"/>
    <w:p w:rsidR="00D073AF" w:rsidP="00D073AF" w14:paraId="79BD7515" w14:textId="77777777"/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2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