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01F482" w14:textId="77777777" w:rsidR="00B26216" w:rsidRDefault="00BD0D10" w:rsidP="00BD0D10">
      <w:pPr>
        <w:keepNext/>
        <w:spacing w:line="480" w:lineRule="auto"/>
        <w:rPr>
          <w:sz w:val="20"/>
          <w:szCs w:val="20"/>
        </w:rPr>
      </w:pPr>
      <w:r>
        <w:rPr>
          <w:noProof/>
          <w:sz w:val="20"/>
          <w:szCs w:val="20"/>
        </w:rPr>
        <w:drawing>
          <wp:inline distT="0" distB="0" distL="0" distR="0" wp14:anchorId="1951D436" wp14:editId="583A7FA1">
            <wp:extent cx="4601947" cy="7112000"/>
            <wp:effectExtent l="0" t="0" r="0" b="0"/>
            <wp:docPr id="19525242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2524287" name="Picture 1952524287"/>
                    <pic:cNvPicPr/>
                  </pic:nvPicPr>
                  <pic:blipFill>
                    <a:blip r:embed="rId7" cstate="print">
                      <a:extLst>
                        <a:ext uri="{28A0092B-C50C-407E-A947-70E740481C1C}">
                          <a14:useLocalDpi xmlns:a14="http://schemas.microsoft.com/office/drawing/2010/main" val="0"/>
                        </a:ext>
                      </a:extLst>
                    </a:blip>
                    <a:stretch>
                      <a:fillRect/>
                    </a:stretch>
                  </pic:blipFill>
                  <pic:spPr>
                    <a:xfrm>
                      <a:off x="0" y="0"/>
                      <a:ext cx="4656218" cy="7195872"/>
                    </a:xfrm>
                    <a:prstGeom prst="rect">
                      <a:avLst/>
                    </a:prstGeom>
                  </pic:spPr>
                </pic:pic>
              </a:graphicData>
            </a:graphic>
          </wp:inline>
        </w:drawing>
      </w:r>
    </w:p>
    <w:p w14:paraId="6E2501EB" w14:textId="5A662763" w:rsidR="00BD0D10" w:rsidRPr="00B26216" w:rsidRDefault="00BD0D10" w:rsidP="00BD0D10">
      <w:pPr>
        <w:keepNext/>
        <w:spacing w:line="480" w:lineRule="auto"/>
        <w:rPr>
          <w:sz w:val="20"/>
          <w:szCs w:val="20"/>
        </w:rPr>
      </w:pPr>
      <w:r>
        <w:rPr>
          <w:rFonts w:ascii="Times New Roman" w:eastAsia="Times New Roman" w:hAnsi="Times New Roman" w:cs="Times New Roman"/>
          <w:b/>
          <w:sz w:val="24"/>
          <w:szCs w:val="24"/>
        </w:rPr>
        <w:t xml:space="preserve">Extended Data Figure 1: Active vs relic diagenetic fronts. </w:t>
      </w:r>
      <w:r>
        <w:rPr>
          <w:rFonts w:ascii="Times New Roman" w:eastAsia="Times New Roman" w:hAnsi="Times New Roman" w:cs="Times New Roman"/>
          <w:sz w:val="24"/>
          <w:szCs w:val="24"/>
        </w:rPr>
        <w:t>At the oxidative color transition in section 1 around 50 cm, banding is reddish in color. Beneath that (sections 2-6), banding appears greenish in color.</w:t>
      </w:r>
      <w:r>
        <w:rPr>
          <w:rFonts w:ascii="Times New Roman" w:eastAsia="Times New Roman" w:hAnsi="Times New Roman" w:cs="Times New Roman"/>
          <w:sz w:val="24"/>
          <w:szCs w:val="24"/>
        </w:rPr>
        <w:br w:type="page"/>
      </w:r>
    </w:p>
    <w:p w14:paraId="1CC7872A" w14:textId="77777777" w:rsidR="00BD0D10" w:rsidRDefault="00BD0D10" w:rsidP="00BD0D10">
      <w:pPr>
        <w:keepNext/>
        <w:spacing w:line="48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lastRenderedPageBreak/>
        <w:drawing>
          <wp:inline distT="114300" distB="114300" distL="114300" distR="114300" wp14:anchorId="031868A1" wp14:editId="5A72A21B">
            <wp:extent cx="5943600" cy="4749800"/>
            <wp:effectExtent l="0" t="0" r="0" b="0"/>
            <wp:docPr id="6"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8"/>
                    <a:srcRect/>
                    <a:stretch>
                      <a:fillRect/>
                    </a:stretch>
                  </pic:blipFill>
                  <pic:spPr>
                    <a:xfrm>
                      <a:off x="0" y="0"/>
                      <a:ext cx="5943600" cy="4749800"/>
                    </a:xfrm>
                    <a:prstGeom prst="rect">
                      <a:avLst/>
                    </a:prstGeom>
                    <a:ln/>
                  </pic:spPr>
                </pic:pic>
              </a:graphicData>
            </a:graphic>
          </wp:inline>
        </w:drawing>
      </w:r>
    </w:p>
    <w:p w14:paraId="64A9B0DC" w14:textId="66D70B33" w:rsidR="00BD0D10" w:rsidRPr="00BD0D10" w:rsidRDefault="00BD0D10" w:rsidP="00BD0D10">
      <w:pPr>
        <w:keepNext/>
        <w:spacing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Extended Data Figure 2: U1474 Stable Isotope Data. A, B</w:t>
      </w:r>
      <w:r>
        <w:rPr>
          <w:rFonts w:ascii="Times New Roman" w:eastAsia="Times New Roman" w:hAnsi="Times New Roman" w:cs="Times New Roman"/>
          <w:sz w:val="24"/>
          <w:szCs w:val="24"/>
        </w:rPr>
        <w:t xml:space="preserve">) stable isotope data on foraminiferal tests, </w:t>
      </w:r>
      <w:r>
        <w:rPr>
          <w:rFonts w:ascii="Times New Roman" w:eastAsia="Times New Roman" w:hAnsi="Times New Roman" w:cs="Times New Roman"/>
          <w:b/>
          <w:sz w:val="24"/>
          <w:szCs w:val="24"/>
        </w:rPr>
        <w:t>C, D</w:t>
      </w:r>
      <w:r>
        <w:rPr>
          <w:rFonts w:ascii="Times New Roman" w:eastAsia="Times New Roman" w:hAnsi="Times New Roman" w:cs="Times New Roman"/>
          <w:sz w:val="24"/>
          <w:szCs w:val="24"/>
        </w:rPr>
        <w:t>) foraminiferal test data with vital effects removed. These records were averaged to make our 𝛿</w:t>
      </w:r>
      <w:r>
        <w:rPr>
          <w:rFonts w:ascii="Times New Roman" w:eastAsia="Times New Roman" w:hAnsi="Times New Roman" w:cs="Times New Roman"/>
          <w:sz w:val="24"/>
          <w:szCs w:val="24"/>
          <w:vertAlign w:val="superscript"/>
        </w:rPr>
        <w:t>18</w:t>
      </w:r>
      <w:r>
        <w:rPr>
          <w:rFonts w:ascii="Times New Roman" w:eastAsia="Times New Roman" w:hAnsi="Times New Roman" w:cs="Times New Roman"/>
          <w:sz w:val="24"/>
          <w:szCs w:val="24"/>
        </w:rPr>
        <w:t>O and 𝛿</w:t>
      </w:r>
      <w:r>
        <w:rPr>
          <w:rFonts w:ascii="Times New Roman" w:eastAsia="Times New Roman" w:hAnsi="Times New Roman" w:cs="Times New Roman"/>
          <w:sz w:val="24"/>
          <w:szCs w:val="24"/>
          <w:vertAlign w:val="superscript"/>
        </w:rPr>
        <w:t>13</w:t>
      </w:r>
      <w:r>
        <w:rPr>
          <w:rFonts w:ascii="Times New Roman" w:eastAsia="Times New Roman" w:hAnsi="Times New Roman" w:cs="Times New Roman"/>
          <w:sz w:val="24"/>
          <w:szCs w:val="24"/>
        </w:rPr>
        <w:t>C records.</w:t>
      </w:r>
      <w:r>
        <w:br w:type="page"/>
      </w:r>
    </w:p>
    <w:p w14:paraId="5CF2E62D" w14:textId="77777777" w:rsidR="00BD0D10" w:rsidRDefault="00BD0D10" w:rsidP="00BD0D10">
      <w:pPr>
        <w:keepNext/>
        <w:spacing w:line="48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lastRenderedPageBreak/>
        <w:drawing>
          <wp:inline distT="0" distB="0" distL="0" distR="0" wp14:anchorId="7AC1D9CC" wp14:editId="79CD5ED7">
            <wp:extent cx="5943600" cy="5943600"/>
            <wp:effectExtent l="0" t="0" r="0" b="0"/>
            <wp:docPr id="130619277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6192777" name="Picture 1306192777"/>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6D7528A8" w14:textId="0623D32E" w:rsidR="00BD0D10" w:rsidRPr="00D67F74" w:rsidRDefault="00BD0D10" w:rsidP="00BD0D10">
      <w:pPr>
        <w:keepNext/>
        <w:spacing w:line="480" w:lineRule="auto"/>
        <w:rPr>
          <w:rFonts w:ascii="Times New Roman" w:eastAsia="Times New Roman" w:hAnsi="Times New Roman" w:cs="Times New Roman"/>
          <w:sz w:val="24"/>
          <w:szCs w:val="24"/>
        </w:rPr>
      </w:pPr>
      <w:r w:rsidRPr="00D67F74">
        <w:rPr>
          <w:rFonts w:ascii="Times New Roman" w:eastAsia="Times New Roman" w:hAnsi="Times New Roman" w:cs="Times New Roman"/>
          <w:b/>
          <w:sz w:val="24"/>
          <w:szCs w:val="24"/>
        </w:rPr>
        <w:t>Extended Data Figure 3:</w:t>
      </w:r>
      <w:r w:rsidRPr="00D67F74">
        <w:rPr>
          <w:rFonts w:ascii="Times New Roman" w:eastAsia="Times New Roman" w:hAnsi="Times New Roman" w:cs="Times New Roman"/>
          <w:sz w:val="24"/>
          <w:szCs w:val="24"/>
        </w:rPr>
        <w:t xml:space="preserve"> </w:t>
      </w:r>
      <w:r w:rsidR="00D67F74" w:rsidRPr="00D67F74">
        <w:rPr>
          <w:rFonts w:ascii="Times New Roman" w:eastAsia="Times New Roman" w:hAnsi="Times New Roman" w:cs="Times New Roman"/>
          <w:sz w:val="24"/>
          <w:szCs w:val="24"/>
        </w:rPr>
        <w:t xml:space="preserve"> </w:t>
      </w:r>
      <w:r w:rsidR="00D67F74" w:rsidRPr="00D67F74">
        <w:rPr>
          <w:rFonts w:ascii="Times New Roman" w:eastAsia="Times New Roman" w:hAnsi="Times New Roman" w:cs="Times New Roman"/>
          <w:b/>
          <w:bCs/>
          <w:sz w:val="24"/>
          <w:szCs w:val="24"/>
        </w:rPr>
        <w:t xml:space="preserve">OpenCV </w:t>
      </w:r>
      <w:r w:rsidR="00D67F74" w:rsidRPr="00D67F74">
        <w:rPr>
          <w:rFonts w:ascii="Times New Roman" w:eastAsia="Times New Roman" w:hAnsi="Times New Roman" w:cs="Times New Roman"/>
          <w:b/>
          <w:bCs/>
          <w:i/>
          <w:iCs/>
          <w:sz w:val="24"/>
          <w:szCs w:val="24"/>
        </w:rPr>
        <w:t>inRange</w:t>
      </w:r>
      <w:r w:rsidR="00ED258A">
        <w:rPr>
          <w:rFonts w:ascii="Times New Roman" w:eastAsia="Times New Roman" w:hAnsi="Times New Roman" w:cs="Times New Roman"/>
          <w:b/>
          <w:bCs/>
          <w:i/>
          <w:iCs/>
          <w:sz w:val="24"/>
          <w:szCs w:val="24"/>
        </w:rPr>
        <w:t xml:space="preserve"> </w:t>
      </w:r>
      <w:r w:rsidR="00ED258A" w:rsidRPr="00ED258A">
        <w:rPr>
          <w:rFonts w:ascii="Times New Roman" w:eastAsia="Times New Roman" w:hAnsi="Times New Roman" w:cs="Times New Roman"/>
          <w:b/>
          <w:bCs/>
          <w:sz w:val="24"/>
          <w:szCs w:val="24"/>
        </w:rPr>
        <w:t>function demo</w:t>
      </w:r>
      <w:r w:rsidR="00D67F74" w:rsidRPr="00D67F74">
        <w:rPr>
          <w:rFonts w:ascii="Times New Roman" w:hAnsi="Times New Roman" w:cs="Times New Roman"/>
          <w:b/>
          <w:bCs/>
          <w:sz w:val="24"/>
          <w:szCs w:val="24"/>
        </w:rPr>
        <w:t>.</w:t>
      </w:r>
      <w:r w:rsidR="00D67F74" w:rsidRPr="00D67F74">
        <w:rPr>
          <w:rFonts w:ascii="Times New Roman" w:hAnsi="Times New Roman" w:cs="Times New Roman"/>
          <w:sz w:val="24"/>
          <w:szCs w:val="24"/>
        </w:rPr>
        <w:t xml:space="preserve">  </w:t>
      </w:r>
      <w:r w:rsidR="00D67F74" w:rsidRPr="00D67F74">
        <w:rPr>
          <w:rFonts w:ascii="Times New Roman" w:hAnsi="Times New Roman" w:cs="Times New Roman"/>
          <w:b/>
          <w:bCs/>
          <w:sz w:val="24"/>
          <w:szCs w:val="24"/>
        </w:rPr>
        <w:t>A)</w:t>
      </w:r>
      <w:r w:rsidR="00D67F74" w:rsidRPr="00D67F74">
        <w:rPr>
          <w:rFonts w:ascii="Times New Roman" w:hAnsi="Times New Roman" w:cs="Times New Roman"/>
          <w:sz w:val="24"/>
          <w:szCs w:val="24"/>
        </w:rPr>
        <w:t xml:space="preserve"> Image generated using DALL-E 3 with the prompt “An image that shows horizontal stripes that look like layers of sediment. Some of the layers should be green</w:t>
      </w:r>
      <w:r w:rsidR="00D67F74" w:rsidRPr="00D67F74">
        <w:rPr>
          <w:rFonts w:ascii="Times New Roman" w:hAnsi="Times New Roman" w:cs="Times New Roman"/>
          <w:color w:val="000000" w:themeColor="text1"/>
          <w:sz w:val="24"/>
          <w:szCs w:val="24"/>
        </w:rPr>
        <w:t xml:space="preserve">.” </w:t>
      </w:r>
      <w:r w:rsidR="00D67F74">
        <w:rPr>
          <w:rFonts w:ascii="Times New Roman" w:hAnsi="Times New Roman" w:cs="Times New Roman"/>
          <w:color w:val="000000" w:themeColor="text1"/>
          <w:sz w:val="24"/>
          <w:szCs w:val="24"/>
        </w:rPr>
        <w:t xml:space="preserve"> </w:t>
      </w:r>
      <w:r w:rsidR="00D67F74" w:rsidRPr="00D67F74">
        <w:rPr>
          <w:rFonts w:ascii="Times New Roman" w:hAnsi="Times New Roman" w:cs="Times New Roman"/>
          <w:b/>
          <w:bCs/>
          <w:color w:val="000000" w:themeColor="text1"/>
          <w:sz w:val="24"/>
          <w:szCs w:val="24"/>
        </w:rPr>
        <w:t>B)</w:t>
      </w:r>
      <w:r w:rsidR="00D67F74">
        <w:rPr>
          <w:rFonts w:ascii="Times New Roman" w:hAnsi="Times New Roman" w:cs="Times New Roman"/>
          <w:color w:val="000000" w:themeColor="text1"/>
          <w:sz w:val="24"/>
          <w:szCs w:val="24"/>
        </w:rPr>
        <w:t xml:space="preserve"> Hue-saturation-value </w:t>
      </w:r>
      <w:r w:rsidR="00ED258A">
        <w:rPr>
          <w:rFonts w:ascii="Times New Roman" w:hAnsi="Times New Roman" w:cs="Times New Roman"/>
          <w:color w:val="000000" w:themeColor="text1"/>
          <w:sz w:val="24"/>
          <w:szCs w:val="24"/>
        </w:rPr>
        <w:t xml:space="preserve">(HSV) </w:t>
      </w:r>
      <w:r w:rsidR="00D67F74">
        <w:rPr>
          <w:rFonts w:ascii="Times New Roman" w:hAnsi="Times New Roman" w:cs="Times New Roman"/>
          <w:color w:val="000000" w:themeColor="text1"/>
          <w:sz w:val="24"/>
          <w:szCs w:val="24"/>
        </w:rPr>
        <w:t xml:space="preserve">space divided up into </w:t>
      </w:r>
      <w:r w:rsidR="00ED258A">
        <w:rPr>
          <w:rFonts w:ascii="Times New Roman" w:hAnsi="Times New Roman" w:cs="Times New Roman"/>
          <w:color w:val="000000" w:themeColor="text1"/>
          <w:sz w:val="24"/>
          <w:szCs w:val="24"/>
        </w:rPr>
        <w:t xml:space="preserve">18x10x10 blocks. </w:t>
      </w:r>
      <w:r w:rsidR="00ED258A" w:rsidRPr="00ED258A">
        <w:rPr>
          <w:rFonts w:ascii="Times New Roman" w:hAnsi="Times New Roman" w:cs="Times New Roman"/>
          <w:b/>
          <w:bCs/>
          <w:color w:val="000000" w:themeColor="text1"/>
          <w:sz w:val="24"/>
          <w:szCs w:val="24"/>
        </w:rPr>
        <w:t>C)</w:t>
      </w:r>
      <w:r w:rsidR="00ED258A">
        <w:rPr>
          <w:rFonts w:ascii="Times New Roman" w:hAnsi="Times New Roman" w:cs="Times New Roman"/>
          <w:sz w:val="24"/>
          <w:szCs w:val="24"/>
        </w:rPr>
        <w:t xml:space="preserve">  Image from panel A filtered for green colors. Pixels outside of the filter are more transparent. </w:t>
      </w:r>
      <w:r w:rsidR="00ED258A" w:rsidRPr="00ED258A">
        <w:rPr>
          <w:rFonts w:ascii="Times New Roman" w:hAnsi="Times New Roman" w:cs="Times New Roman"/>
          <w:b/>
          <w:bCs/>
          <w:sz w:val="24"/>
          <w:szCs w:val="24"/>
        </w:rPr>
        <w:t>D)</w:t>
      </w:r>
      <w:r w:rsidR="00ED258A">
        <w:rPr>
          <w:rFonts w:ascii="Times New Roman" w:hAnsi="Times New Roman" w:cs="Times New Roman"/>
          <w:sz w:val="24"/>
          <w:szCs w:val="24"/>
        </w:rPr>
        <w:t xml:space="preserve"> Selected blocks of HSV space used to filter image in panel C. </w:t>
      </w:r>
      <w:r w:rsidRPr="00D67F74">
        <w:rPr>
          <w:rFonts w:ascii="Times New Roman" w:hAnsi="Times New Roman" w:cs="Times New Roman"/>
          <w:sz w:val="24"/>
          <w:szCs w:val="24"/>
        </w:rPr>
        <w:br w:type="page"/>
      </w:r>
      <w:r w:rsidRPr="00D67F74">
        <w:rPr>
          <w:rFonts w:ascii="Times New Roman" w:eastAsia="Times New Roman" w:hAnsi="Times New Roman" w:cs="Times New Roman"/>
          <w:noProof/>
          <w:sz w:val="24"/>
          <w:szCs w:val="24"/>
        </w:rPr>
        <w:lastRenderedPageBreak/>
        <w:drawing>
          <wp:inline distT="114300" distB="114300" distL="114300" distR="114300" wp14:anchorId="56BC6859" wp14:editId="14FBFD1F">
            <wp:extent cx="5943600" cy="5283200"/>
            <wp:effectExtent l="0" t="0" r="0" b="0"/>
            <wp:docPr id="3"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0"/>
                    <a:srcRect/>
                    <a:stretch>
                      <a:fillRect/>
                    </a:stretch>
                  </pic:blipFill>
                  <pic:spPr>
                    <a:xfrm>
                      <a:off x="0" y="0"/>
                      <a:ext cx="5943600" cy="5283200"/>
                    </a:xfrm>
                    <a:prstGeom prst="rect">
                      <a:avLst/>
                    </a:prstGeom>
                    <a:ln/>
                  </pic:spPr>
                </pic:pic>
              </a:graphicData>
            </a:graphic>
          </wp:inline>
        </w:drawing>
      </w:r>
    </w:p>
    <w:p w14:paraId="42A5ACD7" w14:textId="04B956F2" w:rsidR="00BD0D10" w:rsidRPr="00D67F74" w:rsidRDefault="00BD0D10" w:rsidP="00BD0D10">
      <w:pPr>
        <w:keepNext/>
        <w:spacing w:line="480" w:lineRule="auto"/>
        <w:jc w:val="both"/>
        <w:rPr>
          <w:rFonts w:ascii="Times New Roman" w:eastAsia="Times New Roman" w:hAnsi="Times New Roman" w:cs="Times New Roman"/>
          <w:sz w:val="24"/>
          <w:szCs w:val="24"/>
        </w:rPr>
      </w:pPr>
      <w:r w:rsidRPr="00D67F74">
        <w:rPr>
          <w:rFonts w:ascii="Times New Roman" w:eastAsia="Times New Roman" w:hAnsi="Times New Roman" w:cs="Times New Roman"/>
          <w:b/>
          <w:sz w:val="24"/>
          <w:szCs w:val="24"/>
        </w:rPr>
        <w:t>Extended Data Figure 4:</w:t>
      </w:r>
      <w:r w:rsidRPr="00D67F74">
        <w:rPr>
          <w:rFonts w:ascii="Times New Roman" w:eastAsia="Times New Roman" w:hAnsi="Times New Roman" w:cs="Times New Roman"/>
          <w:sz w:val="24"/>
          <w:szCs w:val="24"/>
        </w:rPr>
        <w:t xml:space="preserve"> The 627</w:t>
      </w:r>
      <w:r w:rsidRPr="00D67F74">
        <w:rPr>
          <w:rFonts w:ascii="Times New Roman" w:eastAsia="Times New Roman" w:hAnsi="Times New Roman" w:cs="Times New Roman"/>
          <w:b/>
          <w:sz w:val="24"/>
          <w:szCs w:val="24"/>
        </w:rPr>
        <w:t xml:space="preserve"> </w:t>
      </w:r>
      <w:r w:rsidRPr="00D67F74">
        <w:rPr>
          <w:rFonts w:ascii="Times New Roman" w:eastAsia="Times New Roman" w:hAnsi="Times New Roman" w:cs="Times New Roman"/>
          <w:sz w:val="24"/>
          <w:szCs w:val="24"/>
        </w:rPr>
        <w:t>10x10x10 cubes of HSV space we tested in order to find the range of colors represented in the greening of sediments at U1474. The coordinates of the Munsell Soil Colors acted as a rough guide to limit our search, creating a range for realistic colors in sediment.</w:t>
      </w:r>
      <w:r w:rsidRPr="00D67F74">
        <w:rPr>
          <w:rFonts w:ascii="Times New Roman" w:hAnsi="Times New Roman" w:cs="Times New Roman"/>
          <w:sz w:val="24"/>
          <w:szCs w:val="24"/>
        </w:rPr>
        <w:br w:type="page"/>
      </w:r>
    </w:p>
    <w:p w14:paraId="68E49F07" w14:textId="77777777" w:rsidR="00BD0D10" w:rsidRDefault="00BD0D10" w:rsidP="00BD0D10">
      <w:pPr>
        <w:keepNext/>
        <w:spacing w:line="480" w:lineRule="auto"/>
        <w:jc w:val="center"/>
        <w:rPr>
          <w:rFonts w:ascii="Times New Roman" w:eastAsia="Times New Roman" w:hAnsi="Times New Roman" w:cs="Times New Roman"/>
          <w:sz w:val="24"/>
          <w:szCs w:val="24"/>
        </w:rPr>
      </w:pPr>
    </w:p>
    <w:p w14:paraId="25B5B11A" w14:textId="77777777" w:rsidR="00BD0D10" w:rsidRDefault="00BD0D10" w:rsidP="00BD0D10">
      <w:pPr>
        <w:keepNext/>
        <w:spacing w:line="480" w:lineRule="auto"/>
        <w:jc w:val="center"/>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drawing>
          <wp:inline distT="114300" distB="114300" distL="114300" distR="114300" wp14:anchorId="222A391F" wp14:editId="48DE3034">
            <wp:extent cx="5938838" cy="2636311"/>
            <wp:effectExtent l="0" t="0" r="0" b="0"/>
            <wp:docPr id="1805717306"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1"/>
                    <a:srcRect/>
                    <a:stretch>
                      <a:fillRect/>
                    </a:stretch>
                  </pic:blipFill>
                  <pic:spPr>
                    <a:xfrm>
                      <a:off x="0" y="0"/>
                      <a:ext cx="5938838" cy="2636311"/>
                    </a:xfrm>
                    <a:prstGeom prst="rect">
                      <a:avLst/>
                    </a:prstGeom>
                    <a:ln/>
                  </pic:spPr>
                </pic:pic>
              </a:graphicData>
            </a:graphic>
          </wp:inline>
        </w:drawing>
      </w:r>
    </w:p>
    <w:p w14:paraId="4657F8F4" w14:textId="26430092" w:rsidR="00BD0D10" w:rsidRDefault="00BD0D10" w:rsidP="00BD0D10">
      <w:pPr>
        <w:keepNext/>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Extended Data Figure 4: Testing channels for green sensitivity. </w:t>
      </w:r>
      <w:r>
        <w:rPr>
          <w:rFonts w:ascii="Times New Roman" w:eastAsia="Times New Roman" w:hAnsi="Times New Roman" w:cs="Times New Roman"/>
          <w:sz w:val="24"/>
          <w:szCs w:val="24"/>
        </w:rPr>
        <w:t xml:space="preserve">A demonstration of the intensity of a number of color channels across section U1474 F 2H3. The x-axis is shown in the full resolution provided by the width of the image in pixels. Channels that were determined to be sensitive to only green layers are colored green in this figure. In the GitHub Repository for this paper, this figure is available in interactive form. </w:t>
      </w:r>
      <w:r>
        <w:br w:type="page"/>
      </w:r>
    </w:p>
    <w:p w14:paraId="06885F67" w14:textId="448064D2" w:rsidR="00BD0D10" w:rsidRPr="00BD0D10" w:rsidRDefault="00BD0D10" w:rsidP="00BD0D10">
      <w:pPr>
        <w:keepNext/>
        <w:spacing w:line="48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0EEC21D8" wp14:editId="13DB24FA">
            <wp:extent cx="5943600" cy="5283200"/>
            <wp:effectExtent l="0" t="0" r="0" b="0"/>
            <wp:docPr id="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2"/>
                    <a:srcRect/>
                    <a:stretch>
                      <a:fillRect/>
                    </a:stretch>
                  </pic:blipFill>
                  <pic:spPr>
                    <a:xfrm>
                      <a:off x="0" y="0"/>
                      <a:ext cx="5943600" cy="5283200"/>
                    </a:xfrm>
                    <a:prstGeom prst="rect">
                      <a:avLst/>
                    </a:prstGeom>
                    <a:ln/>
                  </pic:spPr>
                </pic:pic>
              </a:graphicData>
            </a:graphic>
          </wp:inline>
        </w:drawing>
      </w:r>
    </w:p>
    <w:p w14:paraId="52AEA818" w14:textId="6457DDD3" w:rsidR="00BD0D10" w:rsidRDefault="00BD0D10" w:rsidP="00BD0D10">
      <w:pPr>
        <w:keepNext/>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Extended Data Figure 6A: Tested and selected channels for Site U1474. </w:t>
      </w:r>
      <w:r>
        <w:rPr>
          <w:rFonts w:ascii="Times New Roman" w:eastAsia="Times New Roman" w:hAnsi="Times New Roman" w:cs="Times New Roman"/>
          <w:sz w:val="24"/>
          <w:szCs w:val="24"/>
        </w:rPr>
        <w:t>Munsell colors are plotted as dots over the tested channels (low opacity). The channels determined to most exclusively represent green layers are the blocks with high opacity.</w:t>
      </w:r>
      <w:r>
        <w:br w:type="page"/>
      </w:r>
    </w:p>
    <w:p w14:paraId="117382BA" w14:textId="77777777" w:rsidR="00BD0D10" w:rsidRDefault="00BD0D10" w:rsidP="00BD0D10">
      <w:pPr>
        <w:keepNext/>
        <w:spacing w:line="48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59264590" wp14:editId="2C478EBD">
            <wp:extent cx="5943600" cy="5283200"/>
            <wp:effectExtent l="0" t="0" r="0" b="0"/>
            <wp:docPr id="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5943600" cy="5283200"/>
                    </a:xfrm>
                    <a:prstGeom prst="rect">
                      <a:avLst/>
                    </a:prstGeom>
                    <a:ln/>
                  </pic:spPr>
                </pic:pic>
              </a:graphicData>
            </a:graphic>
          </wp:inline>
        </w:drawing>
      </w:r>
    </w:p>
    <w:p w14:paraId="176AE387" w14:textId="633F7004" w:rsidR="00BD0D10" w:rsidRDefault="00BD0D10" w:rsidP="00BD0D10">
      <w:pPr>
        <w:keepNext/>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Extended Data Figure 6B: Tested and selected channels for Site U1313. </w:t>
      </w:r>
      <w:r>
        <w:rPr>
          <w:rFonts w:ascii="Times New Roman" w:eastAsia="Times New Roman" w:hAnsi="Times New Roman" w:cs="Times New Roman"/>
          <w:sz w:val="24"/>
          <w:szCs w:val="24"/>
        </w:rPr>
        <w:t>Munsell colors are plotted as dots over the tested channels (low opacity). The channels determined to most exclusively represent green layers are the blocks with high opacity.</w:t>
      </w:r>
      <w:r>
        <w:br w:type="page"/>
      </w:r>
    </w:p>
    <w:p w14:paraId="7AA7703B" w14:textId="77777777" w:rsidR="00BD0D10" w:rsidRDefault="00BD0D10" w:rsidP="00BD0D10">
      <w:pPr>
        <w:keepNext/>
        <w:spacing w:line="48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lastRenderedPageBreak/>
        <w:drawing>
          <wp:inline distT="0" distB="0" distL="0" distR="0" wp14:anchorId="503BB1F0" wp14:editId="1D2636C1">
            <wp:extent cx="5943600" cy="4292600"/>
            <wp:effectExtent l="0" t="0" r="0" b="0"/>
            <wp:docPr id="4781146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114661" name="Picture 47811466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4292600"/>
                    </a:xfrm>
                    <a:prstGeom prst="rect">
                      <a:avLst/>
                    </a:prstGeom>
                  </pic:spPr>
                </pic:pic>
              </a:graphicData>
            </a:graphic>
          </wp:inline>
        </w:drawing>
      </w:r>
    </w:p>
    <w:p w14:paraId="29C699BE" w14:textId="02B8390C" w:rsidR="00BD0D10" w:rsidRDefault="00BD0D10" w:rsidP="00BD0D10">
      <w:pPr>
        <w:keepNext/>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Extended Data Figure 7: The co-occurence of banding with glacial conditions.</w:t>
      </w:r>
      <w:r>
        <w:rPr>
          <w:rFonts w:ascii="Times New Roman" w:eastAsia="Times New Roman" w:hAnsi="Times New Roman" w:cs="Times New Roman"/>
          <w:sz w:val="24"/>
          <w:szCs w:val="24"/>
        </w:rPr>
        <w:t xml:space="preserve"> LR04 (grey) and our benthic oxygen isotope stack from Site U1474 (black) plotted alongside the depositional ages of green bands in the record, demarcated by vertical green lines. The blue shaded area glacial periods, times 𝛿</w:t>
      </w:r>
      <w:r>
        <w:rPr>
          <w:rFonts w:ascii="Times New Roman" w:eastAsia="Times New Roman" w:hAnsi="Times New Roman" w:cs="Times New Roman"/>
          <w:sz w:val="24"/>
          <w:szCs w:val="24"/>
          <w:vertAlign w:val="superscript"/>
        </w:rPr>
        <w:t>18</w:t>
      </w:r>
      <w:r>
        <w:rPr>
          <w:rFonts w:ascii="Times New Roman" w:eastAsia="Times New Roman" w:hAnsi="Times New Roman" w:cs="Times New Roman"/>
          <w:sz w:val="24"/>
          <w:szCs w:val="24"/>
        </w:rPr>
        <w:t>O is heavier than 4 per mil. The probability distribution of green bands with respect to 𝛿</w:t>
      </w:r>
      <w:r>
        <w:rPr>
          <w:rFonts w:ascii="Times New Roman" w:eastAsia="Times New Roman" w:hAnsi="Times New Roman" w:cs="Times New Roman"/>
          <w:sz w:val="24"/>
          <w:szCs w:val="24"/>
          <w:vertAlign w:val="superscript"/>
        </w:rPr>
        <w:t>18</w:t>
      </w:r>
      <w:r>
        <w:rPr>
          <w:rFonts w:ascii="Times New Roman" w:eastAsia="Times New Roman" w:hAnsi="Times New Roman" w:cs="Times New Roman"/>
          <w:sz w:val="24"/>
          <w:szCs w:val="24"/>
        </w:rPr>
        <w:t>O is plotted as a histogram in the right panel. The horizontal line represents 𝛿</w:t>
      </w:r>
      <w:r>
        <w:rPr>
          <w:rFonts w:ascii="Times New Roman" w:eastAsia="Times New Roman" w:hAnsi="Times New Roman" w:cs="Times New Roman"/>
          <w:sz w:val="24"/>
          <w:szCs w:val="24"/>
          <w:vertAlign w:val="superscript"/>
        </w:rPr>
        <w:t>18</w:t>
      </w:r>
      <w:r>
        <w:rPr>
          <w:rFonts w:ascii="Times New Roman" w:eastAsia="Times New Roman" w:hAnsi="Times New Roman" w:cs="Times New Roman"/>
          <w:sz w:val="24"/>
          <w:szCs w:val="24"/>
        </w:rPr>
        <w:t xml:space="preserve">O = 4 per mil. </w:t>
      </w:r>
      <w:r>
        <w:rPr>
          <w:rFonts w:ascii="Times New Roman" w:eastAsia="Times New Roman" w:hAnsi="Times New Roman" w:cs="Times New Roman"/>
          <w:sz w:val="24"/>
          <w:szCs w:val="24"/>
        </w:rPr>
        <w:br w:type="page"/>
      </w:r>
    </w:p>
    <w:p w14:paraId="4304CC10" w14:textId="77777777" w:rsidR="00BD0D10" w:rsidRDefault="00BD0D10" w:rsidP="00BD0D10">
      <w:pPr>
        <w:keepNext/>
        <w:spacing w:line="48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5E0F5989" wp14:editId="0DEACB4B">
            <wp:extent cx="5827222" cy="3230935"/>
            <wp:effectExtent l="0" t="0" r="2540" b="0"/>
            <wp:docPr id="191326160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3261604" name="Picture 1913261604"/>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867349" cy="3253184"/>
                    </a:xfrm>
                    <a:prstGeom prst="rect">
                      <a:avLst/>
                    </a:prstGeom>
                  </pic:spPr>
                </pic:pic>
              </a:graphicData>
            </a:graphic>
          </wp:inline>
        </w:drawing>
      </w:r>
    </w:p>
    <w:p w14:paraId="2A156AF0" w14:textId="79E6AF38" w:rsidR="00BD0D10" w:rsidRDefault="00BD0D10" w:rsidP="00BD0D10">
      <w:pPr>
        <w:keepNext/>
        <w:spacing w:line="48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Extended Data Figure 8: Green banding at glacial terminations at IODP Site U1474.</w:t>
      </w:r>
      <w:r>
        <w:rPr>
          <w:rFonts w:ascii="Times New Roman" w:eastAsia="Times New Roman" w:hAnsi="Times New Roman" w:cs="Times New Roman"/>
          <w:bCs/>
          <w:sz w:val="24"/>
          <w:szCs w:val="24"/>
        </w:rPr>
        <w:t xml:space="preserve"> Hole, core, indicated for splice section above. Dated using radiocarbon for glacial termination 1, and alignment to benthic </w:t>
      </w:r>
      <w:r>
        <w:rPr>
          <w:rFonts w:ascii="Times New Roman" w:eastAsia="Times New Roman" w:hAnsi="Times New Roman" w:cs="Times New Roman"/>
          <w:sz w:val="24"/>
          <w:szCs w:val="24"/>
        </w:rPr>
        <w:t>𝛿</w:t>
      </w:r>
      <w:r w:rsidRPr="001B59DE">
        <w:rPr>
          <w:rFonts w:ascii="Times New Roman" w:eastAsia="Times New Roman" w:hAnsi="Times New Roman" w:cs="Times New Roman"/>
          <w:bCs/>
          <w:sz w:val="24"/>
          <w:szCs w:val="24"/>
          <w:vertAlign w:val="superscript"/>
        </w:rPr>
        <w:t>18</w:t>
      </w:r>
      <w:r>
        <w:rPr>
          <w:rFonts w:ascii="Times New Roman" w:eastAsia="Times New Roman" w:hAnsi="Times New Roman" w:cs="Times New Roman"/>
          <w:bCs/>
          <w:sz w:val="24"/>
          <w:szCs w:val="24"/>
        </w:rPr>
        <w:t xml:space="preserve">O for earlier terminations. Age (in thousands of years before present) for Marine Isotope Stage boundary indicated with horizontal black line. Marine Isotope Stage indicated by white number.   </w:t>
      </w:r>
      <w:r>
        <w:br w:type="page"/>
      </w:r>
    </w:p>
    <w:p w14:paraId="12B44CF6" w14:textId="77777777" w:rsidR="00BD0D10" w:rsidRDefault="00BD0D10" w:rsidP="00BD0D10">
      <w:pPr>
        <w:keepNext/>
        <w:spacing w:line="480" w:lineRule="auto"/>
        <w:rPr>
          <w:rFonts w:ascii="Times New Roman" w:eastAsia="Times New Roman" w:hAnsi="Times New Roman" w:cs="Times New Roman"/>
          <w:b/>
          <w:sz w:val="24"/>
          <w:szCs w:val="24"/>
        </w:rPr>
      </w:pPr>
      <w:r>
        <w:rPr>
          <w:rFonts w:ascii="Times New Roman" w:eastAsia="Times New Roman" w:hAnsi="Times New Roman" w:cs="Times New Roman"/>
          <w:noProof/>
          <w:sz w:val="24"/>
          <w:szCs w:val="24"/>
        </w:rPr>
        <w:lastRenderedPageBreak/>
        <w:drawing>
          <wp:inline distT="114300" distB="114300" distL="114300" distR="114300" wp14:anchorId="0385ACA7" wp14:editId="3A3D432F">
            <wp:extent cx="5943600" cy="3302000"/>
            <wp:effectExtent l="0" t="0" r="0" b="0"/>
            <wp:docPr id="10"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6"/>
                    <a:srcRect/>
                    <a:stretch>
                      <a:fillRect/>
                    </a:stretch>
                  </pic:blipFill>
                  <pic:spPr>
                    <a:xfrm>
                      <a:off x="0" y="0"/>
                      <a:ext cx="5943600" cy="3302000"/>
                    </a:xfrm>
                    <a:prstGeom prst="rect">
                      <a:avLst/>
                    </a:prstGeom>
                    <a:ln/>
                  </pic:spPr>
                </pic:pic>
              </a:graphicData>
            </a:graphic>
          </wp:inline>
        </w:drawing>
      </w:r>
    </w:p>
    <w:p w14:paraId="57A7673A" w14:textId="4C25F52E" w:rsidR="00BD0D10" w:rsidRDefault="00BD0D10" w:rsidP="00BD0D10">
      <w:pPr>
        <w:keepNext/>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Extended Data Figure 9: Phasing of green layer formation with respect to insolation. </w:t>
      </w:r>
      <w:r>
        <w:rPr>
          <w:rFonts w:ascii="Times New Roman" w:eastAsia="Times New Roman" w:hAnsi="Times New Roman" w:cs="Times New Roman"/>
          <w:sz w:val="24"/>
          <w:szCs w:val="24"/>
        </w:rPr>
        <w:t>Phase diagrams of the depositional ages with respect to high latitude southern hemisphere (65 S) insolation maxima. U1474 lag</w:t>
      </w:r>
      <w:r w:rsidR="0078339E">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insolation maxima. 1313 layers cluster tightly leading insolation maxima.</w:t>
      </w:r>
      <w:r>
        <w:br w:type="page"/>
      </w:r>
    </w:p>
    <w:p w14:paraId="4C2FF250" w14:textId="77777777" w:rsidR="00BD0D10" w:rsidRDefault="00BD0D10" w:rsidP="00BD0D10">
      <w:pPr>
        <w:keepNext/>
        <w:spacing w:line="48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lastRenderedPageBreak/>
        <w:drawing>
          <wp:inline distT="0" distB="0" distL="0" distR="0" wp14:anchorId="5B47249C" wp14:editId="535459E6">
            <wp:extent cx="5943600" cy="2641600"/>
            <wp:effectExtent l="0" t="0" r="0" b="0"/>
            <wp:docPr id="143479951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799516" name="Picture 1434799516"/>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2641600"/>
                    </a:xfrm>
                    <a:prstGeom prst="rect">
                      <a:avLst/>
                    </a:prstGeom>
                  </pic:spPr>
                </pic:pic>
              </a:graphicData>
            </a:graphic>
          </wp:inline>
        </w:drawing>
      </w:r>
    </w:p>
    <w:p w14:paraId="68ACCB10" w14:textId="01CC60A9" w:rsidR="00BD0D10" w:rsidRPr="00BD0D10" w:rsidRDefault="00BD0D10" w:rsidP="00BD0D10">
      <w:pPr>
        <w:keepNext/>
        <w:spacing w:line="480" w:lineRule="auto"/>
        <w:rPr>
          <w:rFonts w:ascii="Times New Roman" w:eastAsia="Times New Roman" w:hAnsi="Times New Roman" w:cs="Times New Roman"/>
          <w:bCs/>
          <w:sz w:val="24"/>
          <w:szCs w:val="24"/>
        </w:rPr>
      </w:pPr>
      <w:r>
        <w:rPr>
          <w:rFonts w:ascii="Times New Roman" w:eastAsia="Times New Roman" w:hAnsi="Times New Roman" w:cs="Times New Roman"/>
          <w:b/>
          <w:sz w:val="24"/>
          <w:szCs w:val="24"/>
        </w:rPr>
        <w:t>Extended Data Figure 10: Proxy evidence for oxygen variability in the Natal Valley. (A)</w:t>
      </w:r>
      <w:r>
        <w:rPr>
          <w:rFonts w:ascii="Times New Roman" w:eastAsia="Times New Roman" w:hAnsi="Times New Roman" w:cs="Times New Roman"/>
          <w:bCs/>
          <w:sz w:val="24"/>
          <w:szCs w:val="24"/>
        </w:rPr>
        <w:t xml:space="preserve"> Authigenic uranium concentrations from sediment core site MD96-2077</w:t>
      </w:r>
      <w:r w:rsidR="0078339E" w:rsidRPr="0078339E">
        <w:rPr>
          <w:rFonts w:ascii="Times New Roman" w:hAnsi="Times New Roman" w:cs="Times New Roman"/>
          <w:sz w:val="24"/>
          <w:vertAlign w:val="superscript"/>
        </w:rPr>
        <w:t>98</w:t>
      </w:r>
      <w:r>
        <w:rPr>
          <w:rFonts w:ascii="Times New Roman" w:eastAsia="Times New Roman" w:hAnsi="Times New Roman" w:cs="Times New Roman"/>
          <w:bCs/>
          <w:sz w:val="24"/>
          <w:szCs w:val="24"/>
        </w:rPr>
        <w:t xml:space="preserve">. The values are averaged by marine isotope stage. High uranium concentrations indicate reducing conditions. </w:t>
      </w:r>
      <w:r w:rsidRPr="00A807AA">
        <w:rPr>
          <w:rFonts w:ascii="Times New Roman" w:eastAsia="Times New Roman" w:hAnsi="Times New Roman" w:cs="Times New Roman"/>
          <w:b/>
          <w:sz w:val="24"/>
          <w:szCs w:val="24"/>
        </w:rPr>
        <w:t>(B)</w:t>
      </w:r>
      <w:r>
        <w:rPr>
          <w:rFonts w:ascii="Times New Roman" w:eastAsia="Times New Roman" w:hAnsi="Times New Roman" w:cs="Times New Roman"/>
          <w:bCs/>
          <w:sz w:val="24"/>
          <w:szCs w:val="24"/>
        </w:rPr>
        <w:t xml:space="preserve"> Green band abundance at Site U1474 binned by marine isotope stage.</w:t>
      </w:r>
      <w:r>
        <w:br w:type="page"/>
      </w:r>
    </w:p>
    <w:p w14:paraId="47F7076B" w14:textId="77777777" w:rsidR="00BD0D10" w:rsidRDefault="00BD0D10" w:rsidP="00BD0D10">
      <w:pPr>
        <w:keepNext/>
        <w:spacing w:line="48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lastRenderedPageBreak/>
        <w:drawing>
          <wp:inline distT="0" distB="0" distL="0" distR="0" wp14:anchorId="6609B59A" wp14:editId="1D88C81D">
            <wp:extent cx="5943600" cy="2641600"/>
            <wp:effectExtent l="0" t="0" r="0" b="0"/>
            <wp:docPr id="62752286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522865" name="Picture 627522865"/>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2641600"/>
                    </a:xfrm>
                    <a:prstGeom prst="rect">
                      <a:avLst/>
                    </a:prstGeom>
                  </pic:spPr>
                </pic:pic>
              </a:graphicData>
            </a:graphic>
          </wp:inline>
        </w:drawing>
      </w:r>
    </w:p>
    <w:p w14:paraId="588B2E34" w14:textId="65864820" w:rsidR="00BD0D10" w:rsidRPr="00BD0D10" w:rsidRDefault="00BD0D10" w:rsidP="00BD0D10">
      <w:pPr>
        <w:keepNext/>
        <w:spacing w:line="480" w:lineRule="auto"/>
        <w:rPr>
          <w:rFonts w:ascii="Times New Roman" w:eastAsia="Times New Roman" w:hAnsi="Times New Roman" w:cs="Times New Roman"/>
          <w:bCs/>
          <w:sz w:val="24"/>
          <w:szCs w:val="24"/>
        </w:rPr>
      </w:pPr>
      <w:r>
        <w:rPr>
          <w:rFonts w:ascii="Times New Roman" w:eastAsia="Times New Roman" w:hAnsi="Times New Roman" w:cs="Times New Roman"/>
          <w:b/>
          <w:sz w:val="24"/>
          <w:szCs w:val="24"/>
        </w:rPr>
        <w:t>Extended Data Figure 11: Indian Ocean carbonate preservation and green band abundances at Site U1474.</w:t>
      </w:r>
      <w:r>
        <w:rPr>
          <w:rFonts w:ascii="Times New Roman" w:eastAsia="Times New Roman" w:hAnsi="Times New Roman" w:cs="Times New Roman"/>
          <w:bCs/>
          <w:sz w:val="24"/>
          <w:szCs w:val="24"/>
        </w:rPr>
        <w:t xml:space="preserve"> Carbonate preservation indicated by the coarse fraction index of Bassinot et al.</w:t>
      </w:r>
      <w:r w:rsidR="0078339E" w:rsidRPr="0078339E">
        <w:rPr>
          <w:rFonts w:ascii="Times New Roman" w:hAnsi="Times New Roman" w:cs="Times New Roman"/>
          <w:sz w:val="24"/>
          <w:vertAlign w:val="superscript"/>
        </w:rPr>
        <w:t>101</w:t>
      </w:r>
      <w:r>
        <w:rPr>
          <w:rFonts w:ascii="Times New Roman" w:eastAsia="Times New Roman" w:hAnsi="Times New Roman" w:cs="Times New Roman"/>
          <w:bCs/>
          <w:sz w:val="24"/>
          <w:szCs w:val="24"/>
        </w:rPr>
        <w:t>(purple). Vertical bars represent glacial marine isotope stages.</w:t>
      </w:r>
      <w:r>
        <w:rPr>
          <w:rFonts w:ascii="Times New Roman" w:eastAsia="Times New Roman" w:hAnsi="Times New Roman" w:cs="Times New Roman"/>
          <w:b/>
          <w:sz w:val="24"/>
          <w:szCs w:val="24"/>
        </w:rPr>
        <w:br w:type="page"/>
      </w:r>
    </w:p>
    <w:p w14:paraId="2540238A" w14:textId="6FF4C48F" w:rsidR="00BD0D10" w:rsidRPr="00BD0D10" w:rsidRDefault="00BD0D10" w:rsidP="00BD0D10">
      <w:pPr>
        <w:keepNext/>
        <w:spacing w:line="48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lastRenderedPageBreak/>
        <w:drawing>
          <wp:inline distT="114300" distB="114300" distL="114300" distR="114300" wp14:anchorId="2371BAFB" wp14:editId="5D1EFCBC">
            <wp:extent cx="5943600" cy="4749800"/>
            <wp:effectExtent l="0" t="0" r="0" b="0"/>
            <wp:docPr id="8"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9"/>
                    <a:srcRect/>
                    <a:stretch>
                      <a:fillRect/>
                    </a:stretch>
                  </pic:blipFill>
                  <pic:spPr>
                    <a:xfrm>
                      <a:off x="0" y="0"/>
                      <a:ext cx="5943600" cy="4749800"/>
                    </a:xfrm>
                    <a:prstGeom prst="rect">
                      <a:avLst/>
                    </a:prstGeom>
                    <a:ln/>
                  </pic:spPr>
                </pic:pic>
              </a:graphicData>
            </a:graphic>
          </wp:inline>
        </w:drawing>
      </w:r>
      <w:r>
        <w:rPr>
          <w:rFonts w:ascii="Times New Roman" w:eastAsia="Times New Roman" w:hAnsi="Times New Roman" w:cs="Times New Roman"/>
          <w:b/>
          <w:sz w:val="24"/>
          <w:szCs w:val="24"/>
        </w:rPr>
        <w:br/>
        <w:t>Extended Data Figure 12: Constructing a global stack of carbon isotopes. A)</w:t>
      </w:r>
      <w:r>
        <w:rPr>
          <w:rFonts w:ascii="Times New Roman" w:eastAsia="Times New Roman" w:hAnsi="Times New Roman" w:cs="Times New Roman"/>
          <w:sz w:val="24"/>
          <w:szCs w:val="24"/>
        </w:rPr>
        <w:t xml:space="preserve"> Smoothed benthic carbon isotope records </w:t>
      </w:r>
      <w:r>
        <w:rPr>
          <w:rFonts w:ascii="Times New Roman" w:eastAsia="Times New Roman" w:hAnsi="Times New Roman" w:cs="Times New Roman"/>
          <w:b/>
          <w:sz w:val="24"/>
          <w:szCs w:val="24"/>
        </w:rPr>
        <w:t xml:space="preserve">B) </w:t>
      </w:r>
      <w:r>
        <w:rPr>
          <w:rFonts w:ascii="Times New Roman" w:eastAsia="Times New Roman" w:hAnsi="Times New Roman" w:cs="Times New Roman"/>
          <w:sz w:val="24"/>
          <w:szCs w:val="24"/>
        </w:rPr>
        <w:t xml:space="preserve">Mean removed </w:t>
      </w:r>
      <w:r>
        <w:rPr>
          <w:rFonts w:ascii="Times New Roman" w:eastAsia="Times New Roman" w:hAnsi="Times New Roman" w:cs="Times New Roman"/>
          <w:b/>
          <w:sz w:val="24"/>
          <w:szCs w:val="24"/>
        </w:rPr>
        <w:t xml:space="preserve">C) </w:t>
      </w:r>
      <w:r>
        <w:rPr>
          <w:rFonts w:ascii="Times New Roman" w:eastAsia="Times New Roman" w:hAnsi="Times New Roman" w:cs="Times New Roman"/>
          <w:sz w:val="24"/>
          <w:szCs w:val="24"/>
        </w:rPr>
        <w:t>Averaged and mean returned</w:t>
      </w:r>
    </w:p>
    <w:sectPr w:rsidR="00BD0D10" w:rsidRPr="00BD0D10" w:rsidSect="00830639">
      <w:pgSz w:w="12240" w:h="15840"/>
      <w:pgMar w:top="1440" w:right="1440" w:bottom="1440" w:left="1440" w:header="720" w:footer="720" w:gutter="0"/>
      <w:lnNumType w:countBy="1" w:restart="continuous"/>
      <w:pgNumType w:start="1"/>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397A13" w14:textId="77777777" w:rsidR="00830639" w:rsidRDefault="00830639">
      <w:pPr>
        <w:spacing w:line="240" w:lineRule="auto"/>
      </w:pPr>
      <w:r>
        <w:separator/>
      </w:r>
    </w:p>
  </w:endnote>
  <w:endnote w:type="continuationSeparator" w:id="0">
    <w:p w14:paraId="29934031" w14:textId="77777777" w:rsidR="00830639" w:rsidRDefault="0083063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6741B4" w14:textId="77777777" w:rsidR="00830639" w:rsidRDefault="00830639">
      <w:pPr>
        <w:spacing w:line="240" w:lineRule="auto"/>
      </w:pPr>
      <w:r>
        <w:separator/>
      </w:r>
    </w:p>
  </w:footnote>
  <w:footnote w:type="continuationSeparator" w:id="0">
    <w:p w14:paraId="4E1BA912" w14:textId="77777777" w:rsidR="00830639" w:rsidRDefault="00830639">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149D"/>
    <w:rsid w:val="000100C3"/>
    <w:rsid w:val="00013949"/>
    <w:rsid w:val="00013D96"/>
    <w:rsid w:val="000238F0"/>
    <w:rsid w:val="0003169C"/>
    <w:rsid w:val="0003184D"/>
    <w:rsid w:val="00036B7E"/>
    <w:rsid w:val="00042C51"/>
    <w:rsid w:val="0006795B"/>
    <w:rsid w:val="00074A8E"/>
    <w:rsid w:val="00081E2C"/>
    <w:rsid w:val="0008532F"/>
    <w:rsid w:val="0009046A"/>
    <w:rsid w:val="000929B9"/>
    <w:rsid w:val="00093DBB"/>
    <w:rsid w:val="000954CB"/>
    <w:rsid w:val="00095AE8"/>
    <w:rsid w:val="000C728A"/>
    <w:rsid w:val="000E474E"/>
    <w:rsid w:val="00104BF1"/>
    <w:rsid w:val="00117193"/>
    <w:rsid w:val="00122D92"/>
    <w:rsid w:val="00127FD4"/>
    <w:rsid w:val="001401AE"/>
    <w:rsid w:val="00142C21"/>
    <w:rsid w:val="0014435C"/>
    <w:rsid w:val="001661A9"/>
    <w:rsid w:val="00173B10"/>
    <w:rsid w:val="00190F6E"/>
    <w:rsid w:val="00192B32"/>
    <w:rsid w:val="00195488"/>
    <w:rsid w:val="001A0C24"/>
    <w:rsid w:val="001A25E8"/>
    <w:rsid w:val="001B6278"/>
    <w:rsid w:val="001C32CF"/>
    <w:rsid w:val="001C5223"/>
    <w:rsid w:val="001C718B"/>
    <w:rsid w:val="001D4378"/>
    <w:rsid w:val="001D6BE6"/>
    <w:rsid w:val="001E24A7"/>
    <w:rsid w:val="001E2EED"/>
    <w:rsid w:val="001F690C"/>
    <w:rsid w:val="00201523"/>
    <w:rsid w:val="00207147"/>
    <w:rsid w:val="00207916"/>
    <w:rsid w:val="00210897"/>
    <w:rsid w:val="00222EE0"/>
    <w:rsid w:val="00232E73"/>
    <w:rsid w:val="00237878"/>
    <w:rsid w:val="00254356"/>
    <w:rsid w:val="00257E8D"/>
    <w:rsid w:val="0026245E"/>
    <w:rsid w:val="00262600"/>
    <w:rsid w:val="00272EEC"/>
    <w:rsid w:val="00281394"/>
    <w:rsid w:val="00281E98"/>
    <w:rsid w:val="00287469"/>
    <w:rsid w:val="002876B0"/>
    <w:rsid w:val="0029647A"/>
    <w:rsid w:val="002A5A67"/>
    <w:rsid w:val="002A61B4"/>
    <w:rsid w:val="002B0CBF"/>
    <w:rsid w:val="002B301C"/>
    <w:rsid w:val="002B4997"/>
    <w:rsid w:val="002B6E3C"/>
    <w:rsid w:val="002C57AD"/>
    <w:rsid w:val="002D34C0"/>
    <w:rsid w:val="002D5420"/>
    <w:rsid w:val="002D758F"/>
    <w:rsid w:val="002E76F6"/>
    <w:rsid w:val="0030097D"/>
    <w:rsid w:val="003238BF"/>
    <w:rsid w:val="003252EE"/>
    <w:rsid w:val="003401C9"/>
    <w:rsid w:val="00343DD9"/>
    <w:rsid w:val="00347C01"/>
    <w:rsid w:val="00351D93"/>
    <w:rsid w:val="00354BBC"/>
    <w:rsid w:val="00355A10"/>
    <w:rsid w:val="0035784A"/>
    <w:rsid w:val="00370307"/>
    <w:rsid w:val="003772A3"/>
    <w:rsid w:val="003804B6"/>
    <w:rsid w:val="00385618"/>
    <w:rsid w:val="00393B42"/>
    <w:rsid w:val="003A20B9"/>
    <w:rsid w:val="003A2D34"/>
    <w:rsid w:val="003B11AC"/>
    <w:rsid w:val="003E0329"/>
    <w:rsid w:val="003E2C20"/>
    <w:rsid w:val="003E335F"/>
    <w:rsid w:val="003E534B"/>
    <w:rsid w:val="003F1BEA"/>
    <w:rsid w:val="003F214C"/>
    <w:rsid w:val="00405BFB"/>
    <w:rsid w:val="00410411"/>
    <w:rsid w:val="0041097E"/>
    <w:rsid w:val="00411312"/>
    <w:rsid w:val="00413FF2"/>
    <w:rsid w:val="00414866"/>
    <w:rsid w:val="004208CF"/>
    <w:rsid w:val="00423920"/>
    <w:rsid w:val="0045366F"/>
    <w:rsid w:val="00464425"/>
    <w:rsid w:val="00466031"/>
    <w:rsid w:val="00470C3D"/>
    <w:rsid w:val="00476CF6"/>
    <w:rsid w:val="0049149D"/>
    <w:rsid w:val="004B059D"/>
    <w:rsid w:val="004B0B6F"/>
    <w:rsid w:val="004B6A33"/>
    <w:rsid w:val="004C45A5"/>
    <w:rsid w:val="004D1723"/>
    <w:rsid w:val="004D28EF"/>
    <w:rsid w:val="004D3853"/>
    <w:rsid w:val="004D6730"/>
    <w:rsid w:val="004E0872"/>
    <w:rsid w:val="004E407B"/>
    <w:rsid w:val="004F100F"/>
    <w:rsid w:val="004F3E2E"/>
    <w:rsid w:val="004F4A0A"/>
    <w:rsid w:val="00503081"/>
    <w:rsid w:val="00506250"/>
    <w:rsid w:val="00506E64"/>
    <w:rsid w:val="00510338"/>
    <w:rsid w:val="0051197B"/>
    <w:rsid w:val="00516968"/>
    <w:rsid w:val="00522A3C"/>
    <w:rsid w:val="00545DBD"/>
    <w:rsid w:val="005548FE"/>
    <w:rsid w:val="00561927"/>
    <w:rsid w:val="00566726"/>
    <w:rsid w:val="00566FA8"/>
    <w:rsid w:val="00572296"/>
    <w:rsid w:val="005724C2"/>
    <w:rsid w:val="00573854"/>
    <w:rsid w:val="00575588"/>
    <w:rsid w:val="0058724C"/>
    <w:rsid w:val="00587C20"/>
    <w:rsid w:val="00591976"/>
    <w:rsid w:val="005965F8"/>
    <w:rsid w:val="005B06CD"/>
    <w:rsid w:val="005C6D4E"/>
    <w:rsid w:val="005E09DC"/>
    <w:rsid w:val="005E5F27"/>
    <w:rsid w:val="005F4E6F"/>
    <w:rsid w:val="0060171C"/>
    <w:rsid w:val="006023A8"/>
    <w:rsid w:val="006067A6"/>
    <w:rsid w:val="0062122D"/>
    <w:rsid w:val="006252B9"/>
    <w:rsid w:val="0063283C"/>
    <w:rsid w:val="006363C0"/>
    <w:rsid w:val="00641E5F"/>
    <w:rsid w:val="00647869"/>
    <w:rsid w:val="00681975"/>
    <w:rsid w:val="0068702D"/>
    <w:rsid w:val="00695457"/>
    <w:rsid w:val="006A02F7"/>
    <w:rsid w:val="006A0304"/>
    <w:rsid w:val="006A1252"/>
    <w:rsid w:val="006A20C7"/>
    <w:rsid w:val="006A6CD6"/>
    <w:rsid w:val="006C019D"/>
    <w:rsid w:val="006E59D0"/>
    <w:rsid w:val="006E7FD0"/>
    <w:rsid w:val="0071468B"/>
    <w:rsid w:val="007163CB"/>
    <w:rsid w:val="00722F8F"/>
    <w:rsid w:val="00725FA3"/>
    <w:rsid w:val="00727348"/>
    <w:rsid w:val="00731215"/>
    <w:rsid w:val="00733B47"/>
    <w:rsid w:val="007347BB"/>
    <w:rsid w:val="00744B10"/>
    <w:rsid w:val="00754F58"/>
    <w:rsid w:val="0075757D"/>
    <w:rsid w:val="00761DB6"/>
    <w:rsid w:val="00764760"/>
    <w:rsid w:val="00766EC3"/>
    <w:rsid w:val="00777CB9"/>
    <w:rsid w:val="00780150"/>
    <w:rsid w:val="0078339E"/>
    <w:rsid w:val="007875E6"/>
    <w:rsid w:val="00790900"/>
    <w:rsid w:val="007910EC"/>
    <w:rsid w:val="007A54A9"/>
    <w:rsid w:val="007A581A"/>
    <w:rsid w:val="007A7B36"/>
    <w:rsid w:val="007C1D6E"/>
    <w:rsid w:val="007C2C46"/>
    <w:rsid w:val="007C3171"/>
    <w:rsid w:val="007C709C"/>
    <w:rsid w:val="007D5B56"/>
    <w:rsid w:val="007E2C9A"/>
    <w:rsid w:val="007E5361"/>
    <w:rsid w:val="007E5488"/>
    <w:rsid w:val="007F34E0"/>
    <w:rsid w:val="00830639"/>
    <w:rsid w:val="008405BD"/>
    <w:rsid w:val="0084173A"/>
    <w:rsid w:val="00842048"/>
    <w:rsid w:val="00845719"/>
    <w:rsid w:val="008472CE"/>
    <w:rsid w:val="00852882"/>
    <w:rsid w:val="0086016C"/>
    <w:rsid w:val="0086355C"/>
    <w:rsid w:val="00863718"/>
    <w:rsid w:val="00865E3D"/>
    <w:rsid w:val="00872E21"/>
    <w:rsid w:val="00873709"/>
    <w:rsid w:val="0087697B"/>
    <w:rsid w:val="00893126"/>
    <w:rsid w:val="008A1334"/>
    <w:rsid w:val="008A5E24"/>
    <w:rsid w:val="008B1D2D"/>
    <w:rsid w:val="008C165B"/>
    <w:rsid w:val="008D068F"/>
    <w:rsid w:val="008E4916"/>
    <w:rsid w:val="008E7A25"/>
    <w:rsid w:val="008F4E43"/>
    <w:rsid w:val="0090147D"/>
    <w:rsid w:val="00904F23"/>
    <w:rsid w:val="00905F44"/>
    <w:rsid w:val="009130CC"/>
    <w:rsid w:val="0092655F"/>
    <w:rsid w:val="009328CF"/>
    <w:rsid w:val="00942060"/>
    <w:rsid w:val="00947914"/>
    <w:rsid w:val="00950578"/>
    <w:rsid w:val="00962C3E"/>
    <w:rsid w:val="0097361D"/>
    <w:rsid w:val="0098020F"/>
    <w:rsid w:val="00985AB6"/>
    <w:rsid w:val="009A1C73"/>
    <w:rsid w:val="009B5D70"/>
    <w:rsid w:val="009C1C83"/>
    <w:rsid w:val="009C5CE9"/>
    <w:rsid w:val="009C7F94"/>
    <w:rsid w:val="009D09E9"/>
    <w:rsid w:val="009D1100"/>
    <w:rsid w:val="009D3042"/>
    <w:rsid w:val="009E6D69"/>
    <w:rsid w:val="009F2975"/>
    <w:rsid w:val="009F7B27"/>
    <w:rsid w:val="00A054F8"/>
    <w:rsid w:val="00A124B8"/>
    <w:rsid w:val="00A2099E"/>
    <w:rsid w:val="00A259D9"/>
    <w:rsid w:val="00A34CC6"/>
    <w:rsid w:val="00A35E28"/>
    <w:rsid w:val="00A46741"/>
    <w:rsid w:val="00A47D4B"/>
    <w:rsid w:val="00A515CF"/>
    <w:rsid w:val="00A52F00"/>
    <w:rsid w:val="00A75AA3"/>
    <w:rsid w:val="00A77785"/>
    <w:rsid w:val="00A903DD"/>
    <w:rsid w:val="00A9076E"/>
    <w:rsid w:val="00A91663"/>
    <w:rsid w:val="00A9514E"/>
    <w:rsid w:val="00A9709F"/>
    <w:rsid w:val="00A9747A"/>
    <w:rsid w:val="00AC0C93"/>
    <w:rsid w:val="00AD15F6"/>
    <w:rsid w:val="00AE5B13"/>
    <w:rsid w:val="00AF25FC"/>
    <w:rsid w:val="00B25C15"/>
    <w:rsid w:val="00B26216"/>
    <w:rsid w:val="00B40095"/>
    <w:rsid w:val="00B43851"/>
    <w:rsid w:val="00B45735"/>
    <w:rsid w:val="00B47674"/>
    <w:rsid w:val="00B52881"/>
    <w:rsid w:val="00B56399"/>
    <w:rsid w:val="00B62DCE"/>
    <w:rsid w:val="00B91AA4"/>
    <w:rsid w:val="00B926EA"/>
    <w:rsid w:val="00BB4C02"/>
    <w:rsid w:val="00BC2D93"/>
    <w:rsid w:val="00BD0D10"/>
    <w:rsid w:val="00BD14F1"/>
    <w:rsid w:val="00BF267E"/>
    <w:rsid w:val="00C00952"/>
    <w:rsid w:val="00C04104"/>
    <w:rsid w:val="00C05DA4"/>
    <w:rsid w:val="00C124B4"/>
    <w:rsid w:val="00C15B0C"/>
    <w:rsid w:val="00C246E9"/>
    <w:rsid w:val="00C254FA"/>
    <w:rsid w:val="00C41D06"/>
    <w:rsid w:val="00C42EEE"/>
    <w:rsid w:val="00C436A2"/>
    <w:rsid w:val="00C64072"/>
    <w:rsid w:val="00C65856"/>
    <w:rsid w:val="00C676C9"/>
    <w:rsid w:val="00C72F02"/>
    <w:rsid w:val="00C74A16"/>
    <w:rsid w:val="00C854CA"/>
    <w:rsid w:val="00C85E45"/>
    <w:rsid w:val="00C93B20"/>
    <w:rsid w:val="00C96C7B"/>
    <w:rsid w:val="00CA609E"/>
    <w:rsid w:val="00CB6281"/>
    <w:rsid w:val="00CC3B01"/>
    <w:rsid w:val="00CC6F0F"/>
    <w:rsid w:val="00CD1BCE"/>
    <w:rsid w:val="00CD35AA"/>
    <w:rsid w:val="00CD4541"/>
    <w:rsid w:val="00CE7C72"/>
    <w:rsid w:val="00CF0C80"/>
    <w:rsid w:val="00CF2D8A"/>
    <w:rsid w:val="00CF2FA0"/>
    <w:rsid w:val="00CF4BC4"/>
    <w:rsid w:val="00CF583B"/>
    <w:rsid w:val="00D0211F"/>
    <w:rsid w:val="00D07B76"/>
    <w:rsid w:val="00D25083"/>
    <w:rsid w:val="00D33DC3"/>
    <w:rsid w:val="00D34F7C"/>
    <w:rsid w:val="00D378FB"/>
    <w:rsid w:val="00D52382"/>
    <w:rsid w:val="00D643F0"/>
    <w:rsid w:val="00D66812"/>
    <w:rsid w:val="00D67F74"/>
    <w:rsid w:val="00D71999"/>
    <w:rsid w:val="00D71A72"/>
    <w:rsid w:val="00D77972"/>
    <w:rsid w:val="00D82DB3"/>
    <w:rsid w:val="00DB2D7E"/>
    <w:rsid w:val="00DC2A4F"/>
    <w:rsid w:val="00DC6F4A"/>
    <w:rsid w:val="00DD6A4B"/>
    <w:rsid w:val="00DD7908"/>
    <w:rsid w:val="00DF0D83"/>
    <w:rsid w:val="00DF2646"/>
    <w:rsid w:val="00DF600C"/>
    <w:rsid w:val="00E03165"/>
    <w:rsid w:val="00E055EA"/>
    <w:rsid w:val="00E14516"/>
    <w:rsid w:val="00E16514"/>
    <w:rsid w:val="00E237B6"/>
    <w:rsid w:val="00E24626"/>
    <w:rsid w:val="00E27340"/>
    <w:rsid w:val="00E276D2"/>
    <w:rsid w:val="00E35A14"/>
    <w:rsid w:val="00E57406"/>
    <w:rsid w:val="00E64015"/>
    <w:rsid w:val="00E66AE0"/>
    <w:rsid w:val="00E671EE"/>
    <w:rsid w:val="00E67C55"/>
    <w:rsid w:val="00E71AFA"/>
    <w:rsid w:val="00E74194"/>
    <w:rsid w:val="00E82D3C"/>
    <w:rsid w:val="00E85F5D"/>
    <w:rsid w:val="00E9096B"/>
    <w:rsid w:val="00E93291"/>
    <w:rsid w:val="00EA28DA"/>
    <w:rsid w:val="00EB2306"/>
    <w:rsid w:val="00ED214F"/>
    <w:rsid w:val="00ED258A"/>
    <w:rsid w:val="00EF3133"/>
    <w:rsid w:val="00EF7052"/>
    <w:rsid w:val="00F0193E"/>
    <w:rsid w:val="00F02AF1"/>
    <w:rsid w:val="00F035AA"/>
    <w:rsid w:val="00F04AD6"/>
    <w:rsid w:val="00F054B9"/>
    <w:rsid w:val="00F055D8"/>
    <w:rsid w:val="00F065B5"/>
    <w:rsid w:val="00F14624"/>
    <w:rsid w:val="00F2047F"/>
    <w:rsid w:val="00F211AA"/>
    <w:rsid w:val="00F25445"/>
    <w:rsid w:val="00F25465"/>
    <w:rsid w:val="00F26C57"/>
    <w:rsid w:val="00F304B1"/>
    <w:rsid w:val="00F41B16"/>
    <w:rsid w:val="00F5762A"/>
    <w:rsid w:val="00F7527F"/>
    <w:rsid w:val="00F75E86"/>
    <w:rsid w:val="00F8223E"/>
    <w:rsid w:val="00F85E93"/>
    <w:rsid w:val="00F95679"/>
    <w:rsid w:val="00FB6E2E"/>
    <w:rsid w:val="00FD284B"/>
    <w:rsid w:val="00FD3D2E"/>
    <w:rsid w:val="00FE3F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8C65BE"/>
  <w15:docId w15:val="{ECC35DE7-6528-4E4C-A0C8-5B9F26B462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77B5"/>
  </w:style>
  <w:style w:type="paragraph" w:styleId="Heading1">
    <w:name w:val="heading 1"/>
    <w:basedOn w:val="Normal1"/>
    <w:next w:val="Normal1"/>
    <w:pPr>
      <w:keepNext/>
      <w:keepLines/>
      <w:spacing w:before="400" w:after="120"/>
      <w:outlineLvl w:val="0"/>
    </w:pPr>
    <w:rPr>
      <w:sz w:val="40"/>
      <w:szCs w:val="40"/>
    </w:rPr>
  </w:style>
  <w:style w:type="paragraph" w:styleId="Heading2">
    <w:name w:val="heading 2"/>
    <w:basedOn w:val="Normal1"/>
    <w:next w:val="Normal1"/>
    <w:pPr>
      <w:keepNext/>
      <w:keepLines/>
      <w:spacing w:before="360" w:after="120"/>
      <w:outlineLvl w:val="1"/>
    </w:pPr>
    <w:rPr>
      <w:sz w:val="32"/>
      <w:szCs w:val="32"/>
    </w:rPr>
  </w:style>
  <w:style w:type="paragraph" w:styleId="Heading3">
    <w:name w:val="heading 3"/>
    <w:basedOn w:val="Normal1"/>
    <w:next w:val="Normal1"/>
    <w:pPr>
      <w:keepNext/>
      <w:keepLines/>
      <w:spacing w:before="320" w:after="80"/>
      <w:outlineLvl w:val="2"/>
    </w:pPr>
    <w:rPr>
      <w:color w:val="434343"/>
      <w:sz w:val="28"/>
      <w:szCs w:val="28"/>
    </w:rPr>
  </w:style>
  <w:style w:type="paragraph" w:styleId="Heading4">
    <w:name w:val="heading 4"/>
    <w:basedOn w:val="Normal1"/>
    <w:next w:val="Normal1"/>
    <w:pPr>
      <w:keepNext/>
      <w:keepLines/>
      <w:spacing w:before="280" w:after="80"/>
      <w:outlineLvl w:val="3"/>
    </w:pPr>
    <w:rPr>
      <w:color w:val="666666"/>
      <w:sz w:val="24"/>
      <w:szCs w:val="24"/>
    </w:rPr>
  </w:style>
  <w:style w:type="paragraph" w:styleId="Heading5">
    <w:name w:val="heading 5"/>
    <w:basedOn w:val="Normal1"/>
    <w:next w:val="Normal1"/>
    <w:pPr>
      <w:keepNext/>
      <w:keepLines/>
      <w:spacing w:before="240" w:after="80"/>
      <w:outlineLvl w:val="4"/>
    </w:pPr>
    <w:rPr>
      <w:color w:val="666666"/>
    </w:rPr>
  </w:style>
  <w:style w:type="paragraph" w:styleId="Heading6">
    <w:name w:val="heading 6"/>
    <w:basedOn w:val="Normal1"/>
    <w:next w:val="Normal1"/>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table" w:customStyle="1" w:styleId="TableNormal1">
    <w:name w:val="Table Normal1"/>
    <w:tblPr>
      <w:tblCellMar>
        <w:top w:w="0" w:type="dxa"/>
        <w:left w:w="0" w:type="dxa"/>
        <w:bottom w:w="0" w:type="dxa"/>
        <w:right w:w="0" w:type="dxa"/>
      </w:tblCellMar>
    </w:tblPr>
  </w:style>
  <w:style w:type="paragraph" w:styleId="Title">
    <w:name w:val="Title"/>
    <w:basedOn w:val="Normal1"/>
    <w:next w:val="Normal1"/>
    <w:pPr>
      <w:keepNext/>
      <w:keepLines/>
      <w:spacing w:after="60"/>
    </w:pPr>
    <w:rPr>
      <w:sz w:val="52"/>
      <w:szCs w:val="52"/>
    </w:rPr>
  </w:style>
  <w:style w:type="paragraph" w:styleId="Subtitle">
    <w:name w:val="Subtitle"/>
    <w:basedOn w:val="Normal1"/>
    <w:next w:val="Normal1"/>
    <w:pPr>
      <w:keepNext/>
      <w:keepLines/>
      <w:spacing w:after="320"/>
    </w:pPr>
    <w:rPr>
      <w:color w:val="666666"/>
      <w:sz w:val="30"/>
      <w:szCs w:val="30"/>
    </w:rPr>
  </w:style>
  <w:style w:type="table" w:customStyle="1" w:styleId="Table1">
    <w:name w:val="Table1"/>
    <w:basedOn w:val="TableNormal1"/>
    <w:tblPr>
      <w:tblStyleRowBandSize w:val="1"/>
      <w:tblStyleColBandSize w:val="1"/>
      <w:tblCellMar>
        <w:top w:w="100" w:type="dxa"/>
        <w:left w:w="100" w:type="dxa"/>
        <w:bottom w:w="100" w:type="dxa"/>
        <w:right w:w="100" w:type="dxa"/>
      </w:tblCellMar>
    </w:tblPr>
  </w:style>
  <w:style w:type="paragraph" w:styleId="Revision">
    <w:name w:val="Revision"/>
    <w:hidden/>
    <w:uiPriority w:val="99"/>
    <w:semiHidden/>
    <w:rsid w:val="0045366F"/>
    <w:pPr>
      <w:spacing w:line="240" w:lineRule="auto"/>
    </w:pPr>
  </w:style>
  <w:style w:type="character" w:styleId="CommentReference">
    <w:name w:val="annotation reference"/>
    <w:basedOn w:val="DefaultParagraphFont"/>
    <w:uiPriority w:val="99"/>
    <w:semiHidden/>
    <w:unhideWhenUsed/>
    <w:rsid w:val="009C7F94"/>
    <w:rPr>
      <w:sz w:val="16"/>
      <w:szCs w:val="16"/>
    </w:rPr>
  </w:style>
  <w:style w:type="paragraph" w:styleId="CommentText">
    <w:name w:val="annotation text"/>
    <w:basedOn w:val="Normal"/>
    <w:link w:val="CommentTextChar"/>
    <w:uiPriority w:val="99"/>
    <w:semiHidden/>
    <w:unhideWhenUsed/>
    <w:rsid w:val="009C7F94"/>
    <w:pPr>
      <w:spacing w:line="240" w:lineRule="auto"/>
    </w:pPr>
    <w:rPr>
      <w:sz w:val="20"/>
      <w:szCs w:val="20"/>
    </w:rPr>
  </w:style>
  <w:style w:type="character" w:customStyle="1" w:styleId="CommentTextChar">
    <w:name w:val="Comment Text Char"/>
    <w:basedOn w:val="DefaultParagraphFont"/>
    <w:link w:val="CommentText"/>
    <w:uiPriority w:val="99"/>
    <w:semiHidden/>
    <w:rsid w:val="009C7F94"/>
    <w:rPr>
      <w:sz w:val="20"/>
      <w:szCs w:val="20"/>
    </w:rPr>
  </w:style>
  <w:style w:type="paragraph" w:styleId="CommentSubject">
    <w:name w:val="annotation subject"/>
    <w:basedOn w:val="CommentText"/>
    <w:next w:val="CommentText"/>
    <w:link w:val="CommentSubjectChar"/>
    <w:uiPriority w:val="99"/>
    <w:semiHidden/>
    <w:unhideWhenUsed/>
    <w:rsid w:val="009C7F94"/>
    <w:rPr>
      <w:b/>
      <w:bCs/>
    </w:rPr>
  </w:style>
  <w:style w:type="character" w:customStyle="1" w:styleId="CommentSubjectChar">
    <w:name w:val="Comment Subject Char"/>
    <w:basedOn w:val="CommentTextChar"/>
    <w:link w:val="CommentSubject"/>
    <w:uiPriority w:val="99"/>
    <w:semiHidden/>
    <w:rsid w:val="009C7F94"/>
    <w:rPr>
      <w:b/>
      <w:bCs/>
      <w:sz w:val="20"/>
      <w:szCs w:val="20"/>
    </w:rPr>
  </w:style>
  <w:style w:type="character" w:customStyle="1" w:styleId="apple-converted-space">
    <w:name w:val="apple-converted-space"/>
    <w:basedOn w:val="DefaultParagraphFont"/>
    <w:rsid w:val="00B47674"/>
  </w:style>
  <w:style w:type="character" w:styleId="Hyperlink">
    <w:name w:val="Hyperlink"/>
    <w:basedOn w:val="DefaultParagraphFont"/>
    <w:uiPriority w:val="99"/>
    <w:unhideWhenUsed/>
    <w:rsid w:val="00A35E28"/>
    <w:rPr>
      <w:color w:val="0000FF" w:themeColor="hyperlink"/>
      <w:u w:val="single"/>
    </w:rPr>
  </w:style>
  <w:style w:type="character" w:styleId="UnresolvedMention">
    <w:name w:val="Unresolved Mention"/>
    <w:basedOn w:val="DefaultParagraphFont"/>
    <w:uiPriority w:val="99"/>
    <w:semiHidden/>
    <w:unhideWhenUsed/>
    <w:rsid w:val="00A35E28"/>
    <w:rPr>
      <w:color w:val="605E5C"/>
      <w:shd w:val="clear" w:color="auto" w:fill="E1DFDD"/>
    </w:rPr>
  </w:style>
  <w:style w:type="character" w:styleId="FollowedHyperlink">
    <w:name w:val="FollowedHyperlink"/>
    <w:basedOn w:val="DefaultParagraphFont"/>
    <w:uiPriority w:val="99"/>
    <w:semiHidden/>
    <w:unhideWhenUsed/>
    <w:rsid w:val="00C65856"/>
    <w:rPr>
      <w:color w:val="800080" w:themeColor="followedHyperlink"/>
      <w:u w:val="single"/>
    </w:rPr>
  </w:style>
  <w:style w:type="character" w:styleId="LineNumber">
    <w:name w:val="line number"/>
    <w:basedOn w:val="DefaultParagraphFont"/>
    <w:uiPriority w:val="99"/>
    <w:semiHidden/>
    <w:unhideWhenUsed/>
    <w:rsid w:val="00573854"/>
  </w:style>
  <w:style w:type="paragraph" w:styleId="Header">
    <w:name w:val="header"/>
    <w:basedOn w:val="Normal"/>
    <w:link w:val="HeaderChar"/>
    <w:uiPriority w:val="99"/>
    <w:unhideWhenUsed/>
    <w:rsid w:val="00BD0D10"/>
    <w:pPr>
      <w:tabs>
        <w:tab w:val="center" w:pos="4680"/>
        <w:tab w:val="right" w:pos="9360"/>
      </w:tabs>
      <w:spacing w:line="240" w:lineRule="auto"/>
    </w:pPr>
  </w:style>
  <w:style w:type="character" w:customStyle="1" w:styleId="HeaderChar">
    <w:name w:val="Header Char"/>
    <w:basedOn w:val="DefaultParagraphFont"/>
    <w:link w:val="Header"/>
    <w:uiPriority w:val="99"/>
    <w:rsid w:val="00BD0D10"/>
  </w:style>
  <w:style w:type="paragraph" w:styleId="Footer">
    <w:name w:val="footer"/>
    <w:basedOn w:val="Normal"/>
    <w:link w:val="FooterChar"/>
    <w:uiPriority w:val="99"/>
    <w:unhideWhenUsed/>
    <w:rsid w:val="00BD0D10"/>
    <w:pPr>
      <w:tabs>
        <w:tab w:val="center" w:pos="4680"/>
        <w:tab w:val="right" w:pos="9360"/>
      </w:tabs>
      <w:spacing w:line="240" w:lineRule="auto"/>
    </w:pPr>
  </w:style>
  <w:style w:type="character" w:customStyle="1" w:styleId="FooterChar">
    <w:name w:val="Footer Char"/>
    <w:basedOn w:val="DefaultParagraphFont"/>
    <w:link w:val="Footer"/>
    <w:uiPriority w:val="99"/>
    <w:rsid w:val="00BD0D10"/>
  </w:style>
  <w:style w:type="paragraph" w:styleId="Bibliography">
    <w:name w:val="Bibliography"/>
    <w:basedOn w:val="Normal"/>
    <w:next w:val="Normal"/>
    <w:uiPriority w:val="37"/>
    <w:unhideWhenUsed/>
    <w:rsid w:val="006252B9"/>
    <w:pPr>
      <w:tabs>
        <w:tab w:val="left" w:pos="500"/>
      </w:tabs>
      <w:spacing w:line="480" w:lineRule="auto"/>
      <w:ind w:left="504" w:hanging="50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1F883C-CC47-6F4F-BE7B-D52FA63F9B4C}">
  <ds:schemaRefs>
    <ds:schemaRef ds:uri="http://schemas.openxmlformats.org/officeDocument/2006/bibliography"/>
  </ds:schemaRefs>
</ds:datastoreItem>
</file>

<file path=docMetadata/LabelInfo.xml><?xml version="1.0" encoding="utf-8"?>
<clbl:labelList xmlns:clbl="http://schemas.microsoft.com/office/2020/mipLabelMetadata">
  <clbl:label id="{bdb74b30-9568-4856-bdbf-06759778fcbc}" enabled="0" method="" siteId="{bdb74b30-9568-4856-bdbf-06759778fcbc}" removed="1"/>
</clbl:labelList>
</file>

<file path=docProps/app.xml><?xml version="1.0" encoding="utf-8"?>
<Properties xmlns="http://schemas.openxmlformats.org/officeDocument/2006/extended-properties" xmlns:vt="http://schemas.openxmlformats.org/officeDocument/2006/docPropsVTypes">
  <Template>Normal.dotm</Template>
  <TotalTime>2</TotalTime>
  <Pages>13</Pages>
  <Words>609</Words>
  <Characters>3477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Poonam Mutha</cp:lastModifiedBy>
  <cp:revision>4</cp:revision>
  <dcterms:created xsi:type="dcterms:W3CDTF">2024-02-23T18:27:00Z</dcterms:created>
  <dcterms:modified xsi:type="dcterms:W3CDTF">2024-03-29T09:00:00Z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zotero-version="6.0.31"&gt;&lt;session id="ZlBlJdVP"/&gt;&lt;style id="http://www.zotero.org/styles/nature" hasBibliography="1" bibliographyStyleHasBeenSet="1"/&gt;&lt;prefs&gt;&lt;pref name="fieldType" value="Field"/&gt;&lt;pref name="automaticJournalAbbreviati</vt:lpwstr>
  </property>
  <property fmtid="{D5CDD505-2E9C-101B-9397-08002B2CF9AE}" pid="3" name="ZOTERO_PREF_2">
    <vt:lpwstr>ons" value="true"/&gt;&lt;pref name="dontAskDelayCitationUpdates" value="true"/&gt;&lt;/prefs&gt;&lt;/data&gt;</vt:lpwstr>
  </property>
</Properties>
</file>