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DC271" w14:textId="77777777" w:rsidR="00FF4704" w:rsidRDefault="00FF4704" w:rsidP="00FF4704">
      <w:pPr>
        <w:spacing w:line="480" w:lineRule="auto"/>
        <w:rPr>
          <w:rFonts w:ascii="Times New Roman" w:eastAsia="SimSun" w:hAnsi="Times New Roman" w:cs="Times New Roman"/>
          <w:kern w:val="0"/>
          <w:sz w:val="18"/>
          <w:szCs w:val="18"/>
        </w:rPr>
      </w:pPr>
      <w:r>
        <w:rPr>
          <w:rFonts w:ascii="Times New Roman" w:eastAsia="SimSun" w:hAnsi="Times New Roman" w:cs="Times New Roman"/>
          <w:noProof/>
          <w:kern w:val="0"/>
          <w:sz w:val="18"/>
          <w:szCs w:val="18"/>
        </w:rPr>
        <w:drawing>
          <wp:inline distT="0" distB="0" distL="0" distR="0" wp14:anchorId="26C04664" wp14:editId="39591F9A">
            <wp:extent cx="5274310" cy="343789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95C97" w14:textId="77777777" w:rsidR="00FF4704" w:rsidRDefault="00FF4704" w:rsidP="00FF4704">
      <w:pPr>
        <w:spacing w:line="480" w:lineRule="auto"/>
        <w:rPr>
          <w:rFonts w:ascii="Times New Roman" w:eastAsia="SimSun" w:hAnsi="Times New Roman" w:cs="Times New Roman"/>
          <w:kern w:val="0"/>
          <w:sz w:val="18"/>
          <w:szCs w:val="18"/>
        </w:rPr>
      </w:pPr>
      <w:r>
        <w:rPr>
          <w:rFonts w:ascii="Times New Roman" w:eastAsia="SimSun" w:hAnsi="Times New Roman" w:cs="Times New Roman"/>
          <w:b/>
          <w:bCs/>
          <w:kern w:val="0"/>
          <w:sz w:val="18"/>
          <w:szCs w:val="18"/>
        </w:rPr>
        <w:t xml:space="preserve">Table 1 </w:t>
      </w:r>
      <w:r>
        <w:rPr>
          <w:rFonts w:ascii="Times New Roman" w:eastAsia="SimSun" w:hAnsi="Times New Roman" w:cs="Times New Roman"/>
          <w:kern w:val="0"/>
          <w:sz w:val="18"/>
          <w:szCs w:val="18"/>
        </w:rPr>
        <w:t>AQP7 is an independent prognostic factor for DSS and PFI.</w:t>
      </w:r>
    </w:p>
    <w:p w14:paraId="2741EA25" w14:textId="77777777" w:rsidR="00FF4704" w:rsidRDefault="00FF4704" w:rsidP="00FF4704">
      <w:pPr>
        <w:spacing w:line="480" w:lineRule="auto"/>
        <w:rPr>
          <w:rFonts w:ascii="Times New Roman" w:eastAsia="SimSun" w:hAnsi="Times New Roman" w:cs="Times New Roman"/>
          <w:kern w:val="0"/>
          <w:sz w:val="18"/>
          <w:szCs w:val="18"/>
        </w:rPr>
      </w:pPr>
      <w:r>
        <w:rPr>
          <w:rFonts w:ascii="Times New Roman" w:eastAsia="SimSun" w:hAnsi="Times New Roman" w:cs="Times New Roman"/>
          <w:kern w:val="0"/>
          <w:sz w:val="18"/>
          <w:szCs w:val="18"/>
        </w:rPr>
        <w:t>(</w:t>
      </w:r>
      <w:r>
        <w:rPr>
          <w:rFonts w:ascii="Times New Roman" w:eastAsia="SimSun" w:hAnsi="Times New Roman" w:cs="Times New Roman"/>
          <w:b/>
          <w:bCs/>
          <w:kern w:val="0"/>
          <w:sz w:val="18"/>
          <w:szCs w:val="18"/>
        </w:rPr>
        <w:t>A</w:t>
      </w:r>
      <w:r>
        <w:rPr>
          <w:rFonts w:ascii="Times New Roman" w:eastAsia="SimSun" w:hAnsi="Times New Roman" w:cs="Times New Roman"/>
          <w:kern w:val="0"/>
          <w:sz w:val="18"/>
          <w:szCs w:val="18"/>
        </w:rPr>
        <w:t>) Univariate Cox regression results for DSS. (</w:t>
      </w:r>
      <w:r>
        <w:rPr>
          <w:rFonts w:ascii="Times New Roman" w:eastAsia="SimSun" w:hAnsi="Times New Roman" w:cs="Times New Roman"/>
          <w:b/>
          <w:bCs/>
          <w:kern w:val="0"/>
          <w:sz w:val="18"/>
          <w:szCs w:val="18"/>
        </w:rPr>
        <w:t>B</w:t>
      </w:r>
      <w:r>
        <w:rPr>
          <w:rFonts w:ascii="Times New Roman" w:eastAsia="SimSun" w:hAnsi="Times New Roman" w:cs="Times New Roman"/>
          <w:kern w:val="0"/>
          <w:sz w:val="18"/>
          <w:szCs w:val="18"/>
        </w:rPr>
        <w:t>) Univariate Cox regression results for PFI. (</w:t>
      </w:r>
      <w:r>
        <w:rPr>
          <w:rFonts w:ascii="Times New Roman" w:eastAsia="SimSun" w:hAnsi="Times New Roman" w:cs="Times New Roman"/>
          <w:b/>
          <w:bCs/>
          <w:kern w:val="0"/>
          <w:sz w:val="18"/>
          <w:szCs w:val="18"/>
        </w:rPr>
        <w:t>C</w:t>
      </w:r>
      <w:r>
        <w:rPr>
          <w:rFonts w:ascii="Times New Roman" w:eastAsia="SimSun" w:hAnsi="Times New Roman" w:cs="Times New Roman"/>
          <w:kern w:val="0"/>
          <w:sz w:val="18"/>
          <w:szCs w:val="18"/>
        </w:rPr>
        <w:t>) Multivariate Cox regression results for DSS. (</w:t>
      </w:r>
      <w:r>
        <w:rPr>
          <w:rFonts w:ascii="Times New Roman" w:eastAsia="SimSun" w:hAnsi="Times New Roman" w:cs="Times New Roman"/>
          <w:b/>
          <w:bCs/>
          <w:kern w:val="0"/>
          <w:sz w:val="18"/>
          <w:szCs w:val="18"/>
        </w:rPr>
        <w:t>D</w:t>
      </w:r>
      <w:r>
        <w:rPr>
          <w:rFonts w:ascii="Times New Roman" w:eastAsia="SimSun" w:hAnsi="Times New Roman" w:cs="Times New Roman"/>
          <w:kern w:val="0"/>
          <w:sz w:val="18"/>
          <w:szCs w:val="18"/>
        </w:rPr>
        <w:t>) Multivariate Cox regression results for PFI.</w:t>
      </w:r>
    </w:p>
    <w:p w14:paraId="1680A0E9" w14:textId="77777777" w:rsidR="001C76BA" w:rsidRDefault="001C76BA"/>
    <w:sectPr w:rsidR="001C7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704"/>
    <w:rsid w:val="001C76BA"/>
    <w:rsid w:val="00FF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ACB2D"/>
  <w15:chartTrackingRefBased/>
  <w15:docId w15:val="{50AAF4CF-53C2-44D4-8428-84732D4F6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FF4704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>SpringerNature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2024-03-13T14:19:00Z</dcterms:created>
  <dcterms:modified xsi:type="dcterms:W3CDTF">2024-03-13T14:19:00Z</dcterms:modified>
</cp:coreProperties>
</file>