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F4014" w14:textId="4945E13A" w:rsidR="001C76BA" w:rsidRDefault="009211C7">
      <w:r>
        <w:rPr>
          <w:rFonts w:ascii="Times New Roman" w:eastAsia="SimSun" w:hAnsi="Times New Roman" w:cs="Times New Roman"/>
          <w:noProof/>
          <w:kern w:val="0"/>
          <w:sz w:val="18"/>
          <w:szCs w:val="18"/>
        </w:rPr>
        <w:drawing>
          <wp:inline distT="0" distB="0" distL="0" distR="0" wp14:anchorId="18DE59E5" wp14:editId="252B6848">
            <wp:extent cx="5274310" cy="5177790"/>
            <wp:effectExtent l="0" t="0" r="254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5177790"/>
                    </a:xfrm>
                    <a:prstGeom prst="rect">
                      <a:avLst/>
                    </a:prstGeom>
                  </pic:spPr>
                </pic:pic>
              </a:graphicData>
            </a:graphic>
          </wp:inline>
        </w:drawing>
      </w:r>
    </w:p>
    <w:p w14:paraId="0EE8EBEF" w14:textId="77777777" w:rsidR="009211C7" w:rsidRDefault="009211C7" w:rsidP="009211C7">
      <w:pPr>
        <w:spacing w:line="480" w:lineRule="auto"/>
        <w:rPr>
          <w:rFonts w:ascii="Times New Roman" w:eastAsia="SimSun" w:hAnsi="Times New Roman" w:cs="Times New Roman"/>
          <w:kern w:val="0"/>
          <w:sz w:val="18"/>
          <w:szCs w:val="18"/>
        </w:rPr>
      </w:pPr>
      <w:r>
        <w:rPr>
          <w:rFonts w:ascii="Times New Roman" w:eastAsia="SimSun" w:hAnsi="Times New Roman" w:cs="Times New Roman"/>
          <w:b/>
          <w:bCs/>
          <w:kern w:val="0"/>
          <w:sz w:val="18"/>
          <w:szCs w:val="18"/>
        </w:rPr>
        <w:t xml:space="preserve">Supplementary Fig. 1 </w:t>
      </w:r>
      <w:r>
        <w:rPr>
          <w:rFonts w:ascii="Times New Roman" w:eastAsia="SimSun" w:hAnsi="Times New Roman" w:cs="Times New Roman"/>
          <w:kern w:val="0"/>
          <w:sz w:val="18"/>
          <w:szCs w:val="18"/>
        </w:rPr>
        <w:t>AQP7 has prognostic value for PFI and diagnostic value for ccRCC. (</w:t>
      </w:r>
      <w:r>
        <w:rPr>
          <w:rFonts w:ascii="Times New Roman" w:eastAsia="SimSun" w:hAnsi="Times New Roman" w:cs="Times New Roman"/>
          <w:b/>
          <w:bCs/>
          <w:kern w:val="0"/>
          <w:sz w:val="18"/>
          <w:szCs w:val="18"/>
        </w:rPr>
        <w:t>A</w:t>
      </w:r>
      <w:r>
        <w:rPr>
          <w:rFonts w:ascii="Times New Roman" w:eastAsia="SimSun" w:hAnsi="Times New Roman" w:cs="Times New Roman"/>
          <w:kern w:val="0"/>
          <w:sz w:val="18"/>
          <w:szCs w:val="18"/>
        </w:rPr>
        <w:t>) A constructed nomogram for the prediction of ccRCC 3-year and 5-year PFIs after diagnosis. The nomogram is used by summing all points identified on the scale for each variable. The total points projected on the bottom scales indicate the probabilities of 3- and 5-year PFIs. (</w:t>
      </w:r>
      <w:r>
        <w:rPr>
          <w:rFonts w:ascii="Times New Roman" w:eastAsia="SimSun" w:hAnsi="Times New Roman" w:cs="Times New Roman"/>
          <w:b/>
          <w:bCs/>
          <w:kern w:val="0"/>
          <w:sz w:val="18"/>
          <w:szCs w:val="18"/>
        </w:rPr>
        <w:t xml:space="preserve">B </w:t>
      </w:r>
      <w:r>
        <w:rPr>
          <w:rFonts w:ascii="Times New Roman" w:eastAsia="SimSun" w:hAnsi="Times New Roman" w:cs="Times New Roman"/>
          <w:kern w:val="0"/>
          <w:sz w:val="18"/>
          <w:szCs w:val="18"/>
        </w:rPr>
        <w:t>and</w:t>
      </w:r>
      <w:r>
        <w:rPr>
          <w:rFonts w:ascii="Times New Roman" w:eastAsia="SimSun" w:hAnsi="Times New Roman" w:cs="Times New Roman"/>
          <w:b/>
          <w:bCs/>
          <w:kern w:val="0"/>
          <w:sz w:val="18"/>
          <w:szCs w:val="18"/>
        </w:rPr>
        <w:t xml:space="preserve"> C</w:t>
      </w:r>
      <w:r>
        <w:rPr>
          <w:rFonts w:ascii="Times New Roman" w:eastAsia="SimSun" w:hAnsi="Times New Roman" w:cs="Times New Roman"/>
          <w:kern w:val="0"/>
          <w:sz w:val="18"/>
          <w:szCs w:val="18"/>
        </w:rPr>
        <w:t>) Calibration curves of the nomogram for predicting 3-year (B) and 5-year (C) PFI, with the actual and predicted probability being graphed against one another. (</w:t>
      </w:r>
      <w:r>
        <w:rPr>
          <w:rFonts w:ascii="Times New Roman" w:eastAsia="SimSun" w:hAnsi="Times New Roman" w:cs="Times New Roman"/>
          <w:b/>
          <w:bCs/>
          <w:kern w:val="0"/>
          <w:sz w:val="18"/>
          <w:szCs w:val="18"/>
        </w:rPr>
        <w:t>D</w:t>
      </w:r>
      <w:r>
        <w:rPr>
          <w:rFonts w:ascii="Times New Roman" w:eastAsia="SimSun" w:hAnsi="Times New Roman" w:cs="Times New Roman"/>
          <w:kern w:val="0"/>
          <w:sz w:val="18"/>
          <w:szCs w:val="18"/>
        </w:rPr>
        <w:t>) ROC curves and AUC for the predictive nomogram to predict PFI probability within 3 years and 5 years. (</w:t>
      </w:r>
      <w:r>
        <w:rPr>
          <w:rFonts w:ascii="Times New Roman" w:eastAsia="SimSun" w:hAnsi="Times New Roman" w:cs="Times New Roman"/>
          <w:b/>
          <w:bCs/>
          <w:kern w:val="0"/>
          <w:sz w:val="18"/>
          <w:szCs w:val="18"/>
        </w:rPr>
        <w:t>E</w:t>
      </w:r>
      <w:r>
        <w:rPr>
          <w:rFonts w:ascii="Times New Roman" w:eastAsia="SimSun" w:hAnsi="Times New Roman" w:cs="Times New Roman"/>
          <w:kern w:val="0"/>
          <w:sz w:val="18"/>
          <w:szCs w:val="18"/>
        </w:rPr>
        <w:t xml:space="preserve"> and </w:t>
      </w:r>
      <w:r>
        <w:rPr>
          <w:rFonts w:ascii="Times New Roman" w:eastAsia="SimSun" w:hAnsi="Times New Roman" w:cs="Times New Roman"/>
          <w:b/>
          <w:bCs/>
          <w:kern w:val="0"/>
          <w:sz w:val="18"/>
          <w:szCs w:val="18"/>
        </w:rPr>
        <w:t>F</w:t>
      </w:r>
      <w:r>
        <w:rPr>
          <w:rFonts w:ascii="Times New Roman" w:eastAsia="SimSun" w:hAnsi="Times New Roman" w:cs="Times New Roman"/>
          <w:kern w:val="0"/>
          <w:sz w:val="18"/>
          <w:szCs w:val="18"/>
        </w:rPr>
        <w:t>) ROC curves and the AUC method were used to estimate the ability of AQP7 expression levels to diagnose ccRCC in the TCGA (E) and GSE36895 (F) databases.</w:t>
      </w:r>
    </w:p>
    <w:p w14:paraId="18AFDCDC" w14:textId="77777777" w:rsidR="009211C7" w:rsidRDefault="009211C7" w:rsidP="009211C7">
      <w:pPr>
        <w:spacing w:line="480" w:lineRule="auto"/>
        <w:rPr>
          <w:rFonts w:ascii="Times New Roman" w:eastAsia="SimSun" w:hAnsi="Times New Roman" w:cs="Times New Roman"/>
          <w:kern w:val="0"/>
          <w:sz w:val="18"/>
          <w:szCs w:val="18"/>
        </w:rPr>
      </w:pPr>
    </w:p>
    <w:p w14:paraId="2DB89DC5" w14:textId="77777777" w:rsidR="009211C7" w:rsidRDefault="009211C7" w:rsidP="009211C7">
      <w:pPr>
        <w:spacing w:line="480" w:lineRule="auto"/>
        <w:rPr>
          <w:rFonts w:ascii="Times New Roman" w:eastAsia="SimSun" w:hAnsi="Times New Roman" w:cs="Times New Roman"/>
          <w:kern w:val="0"/>
          <w:sz w:val="18"/>
          <w:szCs w:val="18"/>
        </w:rPr>
      </w:pPr>
      <w:r>
        <w:rPr>
          <w:rFonts w:ascii="Times New Roman" w:eastAsia="SimSun" w:hAnsi="Times New Roman" w:cs="Times New Roman"/>
          <w:noProof/>
          <w:kern w:val="0"/>
          <w:sz w:val="18"/>
          <w:szCs w:val="18"/>
        </w:rPr>
        <w:lastRenderedPageBreak/>
        <w:drawing>
          <wp:inline distT="0" distB="0" distL="0" distR="0" wp14:anchorId="470495C3" wp14:editId="15F22D17">
            <wp:extent cx="5274310" cy="5315585"/>
            <wp:effectExtent l="0" t="0" r="2540" b="0"/>
            <wp:docPr id="11" name="图片 11" descr="A graph of a bar cod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A graph of a bar code&#10;&#10;Description automatically generated with medium confidence"/>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5315585"/>
                    </a:xfrm>
                    <a:prstGeom prst="rect">
                      <a:avLst/>
                    </a:prstGeom>
                  </pic:spPr>
                </pic:pic>
              </a:graphicData>
            </a:graphic>
          </wp:inline>
        </w:drawing>
      </w:r>
    </w:p>
    <w:p w14:paraId="1E894ABC" w14:textId="77777777" w:rsidR="009211C7" w:rsidRDefault="009211C7" w:rsidP="009211C7">
      <w:pPr>
        <w:spacing w:line="480" w:lineRule="auto"/>
        <w:rPr>
          <w:rFonts w:ascii="Times New Roman" w:eastAsia="SimSun" w:hAnsi="Times New Roman" w:cs="Times New Roman"/>
          <w:kern w:val="0"/>
          <w:sz w:val="18"/>
          <w:szCs w:val="18"/>
        </w:rPr>
      </w:pPr>
      <w:r>
        <w:rPr>
          <w:rFonts w:ascii="Times New Roman" w:eastAsia="SimSun" w:hAnsi="Times New Roman" w:cs="Times New Roman"/>
          <w:b/>
          <w:bCs/>
          <w:kern w:val="0"/>
          <w:sz w:val="18"/>
          <w:szCs w:val="18"/>
        </w:rPr>
        <w:t xml:space="preserve">Supplementary Fig. 2 </w:t>
      </w:r>
      <w:r>
        <w:rPr>
          <w:rFonts w:ascii="Times New Roman" w:eastAsia="SimSun" w:hAnsi="Times New Roman" w:cs="Times New Roman"/>
          <w:kern w:val="0"/>
          <w:sz w:val="18"/>
          <w:szCs w:val="18"/>
        </w:rPr>
        <w:t>GSEA of the cohorts with low and high AQP7 expression. (</w:t>
      </w:r>
      <w:r>
        <w:rPr>
          <w:rFonts w:ascii="Times New Roman" w:eastAsia="SimSun" w:hAnsi="Times New Roman" w:cs="Times New Roman"/>
          <w:b/>
          <w:bCs/>
          <w:kern w:val="0"/>
          <w:sz w:val="18"/>
          <w:szCs w:val="18"/>
        </w:rPr>
        <w:t>A-F</w:t>
      </w:r>
      <w:r>
        <w:rPr>
          <w:rFonts w:ascii="Times New Roman" w:eastAsia="SimSun" w:hAnsi="Times New Roman" w:cs="Times New Roman"/>
          <w:kern w:val="0"/>
          <w:sz w:val="18"/>
          <w:szCs w:val="18"/>
        </w:rPr>
        <w:t>) Lipid metabolism-associated pathways were enriched in the TCGA cohort with high AQP7 expression by GSEA. (</w:t>
      </w:r>
      <w:r>
        <w:rPr>
          <w:rFonts w:ascii="Times New Roman" w:eastAsia="SimSun" w:hAnsi="Times New Roman" w:cs="Times New Roman"/>
          <w:b/>
          <w:bCs/>
          <w:kern w:val="0"/>
          <w:sz w:val="18"/>
          <w:szCs w:val="18"/>
        </w:rPr>
        <w:t>G-I</w:t>
      </w:r>
      <w:r>
        <w:rPr>
          <w:rFonts w:ascii="Times New Roman" w:eastAsia="SimSun" w:hAnsi="Times New Roman" w:cs="Times New Roman"/>
          <w:kern w:val="0"/>
          <w:sz w:val="18"/>
          <w:szCs w:val="18"/>
        </w:rPr>
        <w:t>) Cancer, P53 signaling and cell cycle pathways were enriched in the TCGA cohort with low AQP7 expression by GSEA.</w:t>
      </w:r>
    </w:p>
    <w:p w14:paraId="1404E2AB" w14:textId="77777777" w:rsidR="009211C7" w:rsidRDefault="009211C7" w:rsidP="009211C7">
      <w:pPr>
        <w:spacing w:line="480" w:lineRule="auto"/>
        <w:rPr>
          <w:rFonts w:ascii="Times New Roman" w:eastAsia="SimSun" w:hAnsi="Times New Roman" w:cs="Times New Roman"/>
          <w:kern w:val="0"/>
          <w:sz w:val="18"/>
          <w:szCs w:val="18"/>
        </w:rPr>
      </w:pPr>
    </w:p>
    <w:p w14:paraId="1A7881D5" w14:textId="77777777" w:rsidR="009211C7" w:rsidRDefault="009211C7" w:rsidP="009211C7">
      <w:pPr>
        <w:spacing w:line="480" w:lineRule="auto"/>
        <w:rPr>
          <w:rFonts w:ascii="Times New Roman" w:eastAsia="SimSun" w:hAnsi="Times New Roman" w:cs="Times New Roman"/>
          <w:kern w:val="0"/>
          <w:sz w:val="18"/>
          <w:szCs w:val="18"/>
        </w:rPr>
      </w:pPr>
      <w:r>
        <w:rPr>
          <w:rFonts w:ascii="Times New Roman" w:eastAsia="SimSun" w:hAnsi="Times New Roman" w:cs="Times New Roman"/>
          <w:noProof/>
          <w:kern w:val="0"/>
          <w:sz w:val="18"/>
          <w:szCs w:val="18"/>
        </w:rPr>
        <w:lastRenderedPageBreak/>
        <w:drawing>
          <wp:inline distT="0" distB="0" distL="0" distR="0" wp14:anchorId="06B88E45" wp14:editId="7136A868">
            <wp:extent cx="5274310" cy="6592570"/>
            <wp:effectExtent l="0" t="0" r="2540" b="0"/>
            <wp:docPr id="12" name="图片 12"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 graph of different sizes and colors&#10;&#10;Description automatically generated with medium confidence"/>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6592570"/>
                    </a:xfrm>
                    <a:prstGeom prst="rect">
                      <a:avLst/>
                    </a:prstGeom>
                  </pic:spPr>
                </pic:pic>
              </a:graphicData>
            </a:graphic>
          </wp:inline>
        </w:drawing>
      </w:r>
    </w:p>
    <w:p w14:paraId="1C197557" w14:textId="77777777" w:rsidR="009211C7" w:rsidRDefault="009211C7" w:rsidP="009211C7">
      <w:pPr>
        <w:spacing w:line="480" w:lineRule="auto"/>
        <w:rPr>
          <w:rFonts w:ascii="Times New Roman" w:eastAsia="SimSun" w:hAnsi="Times New Roman" w:cs="Times New Roman"/>
          <w:kern w:val="0"/>
          <w:sz w:val="18"/>
          <w:szCs w:val="18"/>
        </w:rPr>
      </w:pPr>
      <w:r>
        <w:rPr>
          <w:rFonts w:ascii="Times New Roman" w:eastAsia="SimSun" w:hAnsi="Times New Roman" w:cs="Times New Roman"/>
          <w:b/>
          <w:bCs/>
          <w:kern w:val="0"/>
          <w:sz w:val="18"/>
          <w:szCs w:val="18"/>
        </w:rPr>
        <w:t xml:space="preserve">Supplementary Fig. 3 </w:t>
      </w:r>
      <w:r>
        <w:rPr>
          <w:rFonts w:ascii="Times New Roman" w:eastAsia="SimSun" w:hAnsi="Times New Roman" w:cs="Times New Roman"/>
          <w:kern w:val="0"/>
          <w:sz w:val="18"/>
          <w:szCs w:val="18"/>
        </w:rPr>
        <w:t>AQP7 overexpression promotes lipid metabolism via the PPARα signaling pathway.</w:t>
      </w:r>
      <w:r>
        <w:rPr>
          <w:rFonts w:ascii="Times New Roman" w:eastAsia="SimSun" w:hAnsi="Times New Roman" w:cs="Times New Roman"/>
          <w:b/>
          <w:bCs/>
          <w:kern w:val="0"/>
          <w:sz w:val="18"/>
          <w:szCs w:val="18"/>
        </w:rPr>
        <w:t xml:space="preserve"> </w:t>
      </w:r>
      <w:r>
        <w:rPr>
          <w:rFonts w:ascii="Times New Roman" w:eastAsia="SimSun" w:hAnsi="Times New Roman" w:cs="Times New Roman"/>
          <w:kern w:val="0"/>
          <w:sz w:val="18"/>
          <w:szCs w:val="18"/>
        </w:rPr>
        <w:t>(</w:t>
      </w:r>
      <w:r>
        <w:rPr>
          <w:rFonts w:ascii="Times New Roman" w:eastAsia="SimSun" w:hAnsi="Times New Roman" w:cs="Times New Roman"/>
          <w:b/>
          <w:bCs/>
          <w:kern w:val="0"/>
          <w:sz w:val="18"/>
          <w:szCs w:val="18"/>
        </w:rPr>
        <w:t>A</w:t>
      </w:r>
      <w:r>
        <w:rPr>
          <w:rFonts w:ascii="Times New Roman" w:eastAsia="SimSun" w:hAnsi="Times New Roman" w:cs="Times New Roman"/>
          <w:kern w:val="0"/>
          <w:sz w:val="18"/>
          <w:szCs w:val="18"/>
        </w:rPr>
        <w:t xml:space="preserve"> and </w:t>
      </w:r>
      <w:r>
        <w:rPr>
          <w:rFonts w:ascii="Times New Roman" w:eastAsia="SimSun" w:hAnsi="Times New Roman" w:cs="Times New Roman"/>
          <w:b/>
          <w:bCs/>
          <w:kern w:val="0"/>
          <w:sz w:val="18"/>
          <w:szCs w:val="18"/>
        </w:rPr>
        <w:t>B</w:t>
      </w:r>
      <w:r>
        <w:rPr>
          <w:rFonts w:ascii="Times New Roman" w:eastAsia="SimSun" w:hAnsi="Times New Roman" w:cs="Times New Roman"/>
          <w:kern w:val="0"/>
          <w:sz w:val="18"/>
          <w:szCs w:val="18"/>
        </w:rPr>
        <w:t>) The mRNA expression levels of 8 lipid metabolism-related PPARα target genes, including CPT1A, PDK4, ACOX1, EHHADH, ACOT1, FABP1, HMGCS1, and ACAT1, were analyzed by qPCR in AQP7-overexpressing 786-O (A) and A498 (B) cells. (</w:t>
      </w:r>
      <w:r>
        <w:rPr>
          <w:rFonts w:ascii="Times New Roman" w:eastAsia="SimSun" w:hAnsi="Times New Roman" w:cs="Times New Roman"/>
          <w:b/>
          <w:bCs/>
          <w:kern w:val="0"/>
          <w:sz w:val="18"/>
          <w:szCs w:val="18"/>
        </w:rPr>
        <w:t>C</w:t>
      </w:r>
      <w:r>
        <w:rPr>
          <w:rFonts w:ascii="Times New Roman" w:eastAsia="SimSun" w:hAnsi="Times New Roman" w:cs="Times New Roman"/>
          <w:kern w:val="0"/>
          <w:sz w:val="18"/>
          <w:szCs w:val="18"/>
        </w:rPr>
        <w:t xml:space="preserve"> and </w:t>
      </w:r>
      <w:r>
        <w:rPr>
          <w:rFonts w:ascii="Times New Roman" w:eastAsia="SimSun" w:hAnsi="Times New Roman" w:cs="Times New Roman"/>
          <w:b/>
          <w:bCs/>
          <w:kern w:val="0"/>
          <w:sz w:val="18"/>
          <w:szCs w:val="18"/>
        </w:rPr>
        <w:t>D</w:t>
      </w:r>
      <w:r>
        <w:rPr>
          <w:rFonts w:ascii="Times New Roman" w:eastAsia="SimSun" w:hAnsi="Times New Roman" w:cs="Times New Roman"/>
          <w:kern w:val="0"/>
          <w:sz w:val="18"/>
          <w:szCs w:val="18"/>
        </w:rPr>
        <w:t>) Western blotting analysis of CPT1A expression levels in AQP7-overexpressing 786-O (C) and A498 (D) cells. (</w:t>
      </w:r>
      <w:r>
        <w:rPr>
          <w:rFonts w:ascii="Times New Roman" w:eastAsia="SimSun" w:hAnsi="Times New Roman" w:cs="Times New Roman"/>
          <w:b/>
          <w:bCs/>
          <w:kern w:val="0"/>
          <w:sz w:val="18"/>
          <w:szCs w:val="18"/>
        </w:rPr>
        <w:t>E</w:t>
      </w:r>
      <w:r>
        <w:rPr>
          <w:rFonts w:ascii="Times New Roman" w:eastAsia="SimSun" w:hAnsi="Times New Roman" w:cs="Times New Roman"/>
          <w:kern w:val="0"/>
          <w:sz w:val="18"/>
          <w:szCs w:val="18"/>
        </w:rPr>
        <w:t xml:space="preserve">) Correlation analysis of AQP7 and 8 lipid metabolism-related PPARα target genes (in Supplementary Fig. 3A). Both </w:t>
      </w:r>
      <w:r>
        <w:rPr>
          <w:rFonts w:ascii="Times New Roman" w:eastAsia="SimSun" w:hAnsi="Times New Roman" w:cs="Times New Roman"/>
          <w:i/>
          <w:iCs/>
          <w:kern w:val="0"/>
          <w:sz w:val="18"/>
          <w:szCs w:val="18"/>
        </w:rPr>
        <w:t>P</w:t>
      </w:r>
      <w:r>
        <w:rPr>
          <w:rFonts w:ascii="Times New Roman" w:eastAsia="SimSun" w:hAnsi="Times New Roman" w:cs="Times New Roman"/>
          <w:kern w:val="0"/>
          <w:sz w:val="18"/>
          <w:szCs w:val="18"/>
        </w:rPr>
        <w:t xml:space="preserve"> values and </w:t>
      </w:r>
      <w:r>
        <w:rPr>
          <w:rFonts w:ascii="Times New Roman" w:eastAsia="SimSun" w:hAnsi="Times New Roman" w:cs="Times New Roman"/>
          <w:kern w:val="0"/>
          <w:sz w:val="18"/>
          <w:szCs w:val="18"/>
        </w:rPr>
        <w:lastRenderedPageBreak/>
        <w:t>correlation coefficients are marked. (</w:t>
      </w:r>
      <w:r>
        <w:rPr>
          <w:rFonts w:ascii="Times New Roman" w:eastAsia="SimSun" w:hAnsi="Times New Roman" w:cs="Times New Roman"/>
          <w:b/>
          <w:bCs/>
          <w:kern w:val="0"/>
          <w:sz w:val="18"/>
          <w:szCs w:val="18"/>
        </w:rPr>
        <w:t>F</w:t>
      </w:r>
      <w:r>
        <w:rPr>
          <w:rFonts w:ascii="Times New Roman" w:eastAsia="SimSun" w:hAnsi="Times New Roman" w:cs="Times New Roman"/>
          <w:kern w:val="0"/>
          <w:sz w:val="18"/>
          <w:szCs w:val="18"/>
        </w:rPr>
        <w:t xml:space="preserve"> and </w:t>
      </w:r>
      <w:r>
        <w:rPr>
          <w:rFonts w:ascii="Times New Roman" w:eastAsia="SimSun" w:hAnsi="Times New Roman" w:cs="Times New Roman"/>
          <w:b/>
          <w:bCs/>
          <w:kern w:val="0"/>
          <w:sz w:val="18"/>
          <w:szCs w:val="18"/>
        </w:rPr>
        <w:t>G</w:t>
      </w:r>
      <w:r>
        <w:rPr>
          <w:rFonts w:ascii="Times New Roman" w:eastAsia="SimSun" w:hAnsi="Times New Roman" w:cs="Times New Roman"/>
          <w:kern w:val="0"/>
          <w:sz w:val="18"/>
          <w:szCs w:val="18"/>
        </w:rPr>
        <w:t xml:space="preserve">) The relative contents of TGs and glycerol were analyzed after treatment with GW6471 in AQP7-overexpressing 786-O (F) and A498 (G) cells. *, </w:t>
      </w:r>
      <w:r>
        <w:rPr>
          <w:rFonts w:ascii="Times New Roman" w:eastAsia="SimSun" w:hAnsi="Times New Roman" w:cs="Times New Roman"/>
          <w:i/>
          <w:iCs/>
          <w:kern w:val="0"/>
          <w:sz w:val="18"/>
          <w:szCs w:val="18"/>
        </w:rPr>
        <w:t>P</w:t>
      </w:r>
      <w:r>
        <w:rPr>
          <w:rFonts w:ascii="Times New Roman" w:eastAsia="SimSun" w:hAnsi="Times New Roman" w:cs="Times New Roman"/>
          <w:kern w:val="0"/>
          <w:sz w:val="18"/>
          <w:szCs w:val="18"/>
        </w:rPr>
        <w:t xml:space="preserve"> &lt; 0.05.</w:t>
      </w:r>
    </w:p>
    <w:p w14:paraId="17B73D7C" w14:textId="77777777" w:rsidR="009211C7" w:rsidRDefault="009211C7" w:rsidP="009211C7">
      <w:pPr>
        <w:spacing w:line="480" w:lineRule="auto"/>
        <w:rPr>
          <w:rFonts w:ascii="Times New Roman" w:eastAsia="SimSun" w:hAnsi="Times New Roman" w:cs="Times New Roman"/>
          <w:kern w:val="0"/>
          <w:sz w:val="18"/>
          <w:szCs w:val="18"/>
        </w:rPr>
      </w:pPr>
    </w:p>
    <w:p w14:paraId="6BBE7E55" w14:textId="77777777" w:rsidR="009211C7" w:rsidRDefault="009211C7" w:rsidP="009211C7">
      <w:pPr>
        <w:spacing w:line="480" w:lineRule="auto"/>
        <w:rPr>
          <w:rFonts w:ascii="Times New Roman" w:eastAsia="SimSun" w:hAnsi="Times New Roman" w:cs="Times New Roman"/>
          <w:kern w:val="0"/>
          <w:sz w:val="18"/>
          <w:szCs w:val="18"/>
        </w:rPr>
      </w:pPr>
    </w:p>
    <w:p w14:paraId="06017D3E" w14:textId="77777777" w:rsidR="009211C7" w:rsidRDefault="009211C7" w:rsidP="009211C7">
      <w:pPr>
        <w:spacing w:line="480" w:lineRule="auto"/>
        <w:rPr>
          <w:rFonts w:ascii="Times New Roman" w:eastAsia="SimSun" w:hAnsi="Times New Roman" w:cs="Times New Roman"/>
          <w:b/>
          <w:bCs/>
          <w:kern w:val="0"/>
          <w:sz w:val="18"/>
          <w:szCs w:val="18"/>
        </w:rPr>
      </w:pPr>
      <w:r>
        <w:rPr>
          <w:rFonts w:ascii="Times New Roman" w:eastAsia="SimSun" w:hAnsi="Times New Roman" w:cs="Times New Roman"/>
          <w:b/>
          <w:bCs/>
          <w:noProof/>
          <w:kern w:val="0"/>
          <w:sz w:val="18"/>
          <w:szCs w:val="18"/>
        </w:rPr>
        <w:drawing>
          <wp:inline distT="0" distB="0" distL="0" distR="0" wp14:anchorId="58E79896" wp14:editId="47D5A79B">
            <wp:extent cx="4477385" cy="164465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77512" cy="1645158"/>
                    </a:xfrm>
                    <a:prstGeom prst="rect">
                      <a:avLst/>
                    </a:prstGeom>
                  </pic:spPr>
                </pic:pic>
              </a:graphicData>
            </a:graphic>
          </wp:inline>
        </w:drawing>
      </w:r>
    </w:p>
    <w:p w14:paraId="022E5878" w14:textId="77777777" w:rsidR="009211C7" w:rsidRDefault="009211C7" w:rsidP="009211C7">
      <w:pPr>
        <w:spacing w:line="480" w:lineRule="auto"/>
        <w:rPr>
          <w:rFonts w:ascii="Times New Roman" w:eastAsia="SimSun" w:hAnsi="Times New Roman" w:cs="Times New Roman"/>
          <w:kern w:val="0"/>
          <w:sz w:val="18"/>
          <w:szCs w:val="18"/>
        </w:rPr>
      </w:pPr>
      <w:r>
        <w:rPr>
          <w:rFonts w:ascii="Times New Roman" w:eastAsia="SimSun" w:hAnsi="Times New Roman" w:cs="Times New Roman"/>
          <w:b/>
          <w:bCs/>
          <w:kern w:val="0"/>
          <w:sz w:val="18"/>
          <w:szCs w:val="18"/>
        </w:rPr>
        <w:t xml:space="preserve">Supplementary Fig. 4 </w:t>
      </w:r>
      <w:r>
        <w:rPr>
          <w:rFonts w:ascii="Times New Roman" w:eastAsia="SimSun" w:hAnsi="Times New Roman" w:cs="Times New Roman"/>
          <w:kern w:val="0"/>
          <w:sz w:val="18"/>
          <w:szCs w:val="18"/>
        </w:rPr>
        <w:t>G1-related proteins are downregulated</w:t>
      </w:r>
      <w:r>
        <w:rPr>
          <w:rFonts w:ascii="Times New Roman" w:eastAsia="SimSun" w:hAnsi="Times New Roman" w:cs="Times New Roman"/>
          <w:b/>
          <w:bCs/>
          <w:kern w:val="0"/>
          <w:sz w:val="18"/>
          <w:szCs w:val="18"/>
        </w:rPr>
        <w:t xml:space="preserve"> </w:t>
      </w:r>
      <w:r>
        <w:rPr>
          <w:rFonts w:ascii="Times New Roman" w:eastAsia="SimSun" w:hAnsi="Times New Roman" w:cs="Times New Roman"/>
          <w:kern w:val="0"/>
          <w:sz w:val="18"/>
          <w:szCs w:val="18"/>
        </w:rPr>
        <w:t>in A498 cells transfected with AQP7 lentivirus. (</w:t>
      </w:r>
      <w:r>
        <w:rPr>
          <w:rFonts w:ascii="Times New Roman" w:eastAsia="SimSun" w:hAnsi="Times New Roman" w:cs="Times New Roman"/>
          <w:b/>
          <w:bCs/>
          <w:kern w:val="0"/>
          <w:sz w:val="18"/>
          <w:szCs w:val="18"/>
        </w:rPr>
        <w:t>A</w:t>
      </w:r>
      <w:r>
        <w:rPr>
          <w:rFonts w:ascii="Times New Roman" w:eastAsia="SimSun" w:hAnsi="Times New Roman" w:cs="Times New Roman"/>
          <w:kern w:val="0"/>
          <w:sz w:val="18"/>
          <w:szCs w:val="18"/>
        </w:rPr>
        <w:t>) Western blotting analysis of cyclin D1 and CDK4 in A498 cells transfected with AQP7 lentivirus. (</w:t>
      </w:r>
      <w:r>
        <w:rPr>
          <w:rFonts w:ascii="Times New Roman" w:eastAsia="SimSun" w:hAnsi="Times New Roman" w:cs="Times New Roman"/>
          <w:b/>
          <w:bCs/>
          <w:kern w:val="0"/>
          <w:sz w:val="18"/>
          <w:szCs w:val="18"/>
        </w:rPr>
        <w:t>B</w:t>
      </w:r>
      <w:r>
        <w:rPr>
          <w:rFonts w:ascii="Times New Roman" w:eastAsia="SimSun" w:hAnsi="Times New Roman" w:cs="Times New Roman"/>
          <w:kern w:val="0"/>
          <w:sz w:val="18"/>
          <w:szCs w:val="18"/>
        </w:rPr>
        <w:t xml:space="preserve">) Quantitative analysis of cyclin D1 and CDK4 proteins relative to Supplementary Fig. 4A. *, </w:t>
      </w:r>
      <w:r>
        <w:rPr>
          <w:rFonts w:ascii="Times New Roman" w:eastAsia="SimSun" w:hAnsi="Times New Roman" w:cs="Times New Roman"/>
          <w:i/>
          <w:iCs/>
          <w:kern w:val="0"/>
          <w:sz w:val="18"/>
          <w:szCs w:val="18"/>
        </w:rPr>
        <w:t>P</w:t>
      </w:r>
      <w:r>
        <w:rPr>
          <w:rFonts w:ascii="Times New Roman" w:eastAsia="SimSun" w:hAnsi="Times New Roman" w:cs="Times New Roman"/>
          <w:kern w:val="0"/>
          <w:sz w:val="18"/>
          <w:szCs w:val="18"/>
        </w:rPr>
        <w:t xml:space="preserve"> &lt; 0.05.</w:t>
      </w:r>
    </w:p>
    <w:p w14:paraId="4348DBD1" w14:textId="77777777" w:rsidR="009211C7" w:rsidRDefault="009211C7"/>
    <w:sectPr w:rsidR="009211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1C7"/>
    <w:rsid w:val="001C76BA"/>
    <w:rsid w:val="00921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B9756"/>
  <w15:chartTrackingRefBased/>
  <w15:docId w15:val="{61FDDD64-1BF7-4859-9E4F-4C59CA27B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329</Words>
  <Characters>1879</Characters>
  <Application>Microsoft Office Word</Application>
  <DocSecurity>0</DocSecurity>
  <Lines>15</Lines>
  <Paragraphs>4</Paragraphs>
  <ScaleCrop>false</ScaleCrop>
  <Company>SpringerNature</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2024-03-13T14:12:00Z</dcterms:created>
  <dcterms:modified xsi:type="dcterms:W3CDTF">2024-03-13T14:13:00Z</dcterms:modified>
</cp:coreProperties>
</file>