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EF827" w14:textId="77777777" w:rsidR="003C76C5" w:rsidRPr="002910E2" w:rsidRDefault="003C76C5" w:rsidP="003C76C5">
      <w:pPr>
        <w:widowControl w:val="0"/>
        <w:rPr>
          <w:rFonts w:ascii="Calibri" w:eastAsia="PMingLiU" w:hAnsi="Calibri"/>
          <w:color w:val="auto"/>
          <w:kern w:val="2"/>
          <w:szCs w:val="22"/>
          <w14:ligatures w14:val="standardContextual"/>
        </w:rPr>
      </w:pPr>
      <w:r>
        <w:rPr>
          <w:rFonts w:ascii="Calibri" w:eastAsia="PMingLiU" w:hAnsi="Calibri"/>
          <w:noProof/>
          <w:color w:val="auto"/>
          <w:kern w:val="2"/>
          <w:szCs w:val="22"/>
          <w14:ligatures w14:val="standardContextual"/>
        </w:rPr>
        <w:drawing>
          <wp:inline distT="0" distB="0" distL="0" distR="0" wp14:anchorId="5FDC116E" wp14:editId="18958ABF">
            <wp:extent cx="4950460" cy="2993390"/>
            <wp:effectExtent l="0" t="0" r="2540" b="0"/>
            <wp:docPr id="741202367" name="圖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0460" cy="2993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72F145" w14:textId="77777777" w:rsidR="003C76C5" w:rsidRDefault="003C76C5" w:rsidP="003C76C5">
      <w:pPr>
        <w:spacing w:line="480" w:lineRule="auto"/>
        <w:jc w:val="both"/>
        <w:rPr>
          <w:rFonts w:eastAsia="PMingLiU"/>
          <w:b/>
          <w:bCs/>
        </w:rPr>
      </w:pPr>
      <w:r>
        <w:rPr>
          <w:rFonts w:eastAsia="PMingLiU"/>
          <w:b/>
          <w:bCs/>
          <w:noProof/>
        </w:rPr>
        <w:drawing>
          <wp:inline distT="0" distB="0" distL="0" distR="0" wp14:anchorId="3BF87670" wp14:editId="45E4713E">
            <wp:extent cx="4864735" cy="1670685"/>
            <wp:effectExtent l="0" t="0" r="0" b="5715"/>
            <wp:docPr id="148259430" name="圖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4735" cy="1670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9EBCB5" w14:textId="77777777" w:rsidR="003C76C5" w:rsidRPr="002910E2" w:rsidRDefault="003C76C5" w:rsidP="003C76C5">
      <w:pPr>
        <w:spacing w:line="480" w:lineRule="auto"/>
        <w:jc w:val="both"/>
        <w:rPr>
          <w:rFonts w:eastAsia="PMingLiU"/>
          <w:b/>
          <w:bCs/>
        </w:rPr>
      </w:pPr>
      <w:r w:rsidRPr="002910E2">
        <w:rPr>
          <w:rFonts w:eastAsia="PMingLiU" w:hint="eastAsia"/>
          <w:b/>
          <w:bCs/>
        </w:rPr>
        <w:t>F</w:t>
      </w:r>
      <w:r w:rsidRPr="002910E2">
        <w:rPr>
          <w:rFonts w:eastAsia="PMingLiU"/>
          <w:b/>
          <w:bCs/>
        </w:rPr>
        <w:t>igure S1. Gating strategies of blood dendritic cells and T lymphocytes</w:t>
      </w:r>
    </w:p>
    <w:p w14:paraId="3EBA4106" w14:textId="77777777" w:rsidR="003C76C5" w:rsidRPr="002910E2" w:rsidRDefault="003C76C5" w:rsidP="003C76C5">
      <w:pPr>
        <w:spacing w:line="480" w:lineRule="auto"/>
        <w:jc w:val="both"/>
        <w:rPr>
          <w:rFonts w:eastAsia="PMingLiU"/>
          <w:color w:val="auto"/>
        </w:rPr>
      </w:pPr>
      <w:r w:rsidRPr="002910E2">
        <w:rPr>
          <w:rFonts w:eastAsia="PMingLiU"/>
          <w:b/>
          <w:color w:val="auto"/>
        </w:rPr>
        <w:t>(</w:t>
      </w:r>
      <w:r w:rsidRPr="002910E2">
        <w:rPr>
          <w:rFonts w:eastAsia="PMingLiU"/>
          <w:color w:val="auto"/>
        </w:rPr>
        <w:t>A) Peripheral blood mononuclear cells (PBMCs) were gated in the FSC/SCC plot (left). Dendritic cells were gated by lineage-negative (lin</w:t>
      </w:r>
      <w:r w:rsidRPr="002910E2">
        <w:rPr>
          <w:rFonts w:eastAsia="PMingLiU"/>
          <w:color w:val="auto"/>
          <w:vertAlign w:val="superscript"/>
        </w:rPr>
        <w:t>-</w:t>
      </w:r>
      <w:r w:rsidRPr="002910E2">
        <w:rPr>
          <w:rFonts w:eastAsia="PMingLiU"/>
          <w:color w:val="auto"/>
        </w:rPr>
        <w:t>) and HLA-DR-positive (HLA-DR</w:t>
      </w:r>
      <w:r w:rsidRPr="002910E2">
        <w:rPr>
          <w:rFonts w:eastAsia="PMingLiU"/>
          <w:color w:val="auto"/>
          <w:vertAlign w:val="superscript"/>
        </w:rPr>
        <w:t>+</w:t>
      </w:r>
      <w:r w:rsidRPr="002910E2">
        <w:rPr>
          <w:rFonts w:eastAsia="PMingLiU"/>
          <w:color w:val="auto"/>
        </w:rPr>
        <w:t>) PBMCs (center). Density plots then further confirmed a unique homogeneous group of Lin-HLA</w:t>
      </w:r>
      <w:r w:rsidRPr="002910E2">
        <w:rPr>
          <w:rFonts w:eastAsia="PMingLiU"/>
          <w:color w:val="auto"/>
          <w:vertAlign w:val="superscript"/>
        </w:rPr>
        <w:t>-</w:t>
      </w:r>
      <w:r w:rsidRPr="002910E2">
        <w:rPr>
          <w:rFonts w:eastAsia="PMingLiU"/>
          <w:color w:val="auto"/>
        </w:rPr>
        <w:t>DR</w:t>
      </w:r>
      <w:r w:rsidRPr="002910E2">
        <w:rPr>
          <w:rFonts w:eastAsia="PMingLiU"/>
          <w:color w:val="auto"/>
          <w:vertAlign w:val="superscript"/>
        </w:rPr>
        <w:t xml:space="preserve">+ </w:t>
      </w:r>
      <w:r w:rsidRPr="002910E2">
        <w:rPr>
          <w:rFonts w:eastAsia="PMingLiU"/>
          <w:color w:val="auto"/>
        </w:rPr>
        <w:t>cells (right).</w:t>
      </w:r>
      <w:r w:rsidRPr="002910E2">
        <w:rPr>
          <w:rFonts w:eastAsia="PMingLiU"/>
          <w:b/>
          <w:bCs/>
          <w:color w:val="auto"/>
        </w:rPr>
        <w:t xml:space="preserve"> (B) </w:t>
      </w:r>
      <w:r w:rsidRPr="002910E2">
        <w:rPr>
          <w:rFonts w:eastAsia="Times New Roman"/>
          <w:color w:val="auto"/>
        </w:rPr>
        <w:t>Among dendritic cells, CD11</w:t>
      </w:r>
      <w:r w:rsidRPr="002910E2">
        <w:rPr>
          <w:rFonts w:eastAsia="PMingLiU" w:hint="eastAsia"/>
          <w:color w:val="auto"/>
        </w:rPr>
        <w:t>c</w:t>
      </w:r>
      <w:r w:rsidRPr="002910E2">
        <w:rPr>
          <w:rFonts w:eastAsia="Times New Roman"/>
          <w:color w:val="auto"/>
          <w:vertAlign w:val="superscript"/>
        </w:rPr>
        <w:t>+</w:t>
      </w:r>
      <w:r w:rsidRPr="002910E2">
        <w:rPr>
          <w:rFonts w:eastAsia="Times New Roman"/>
          <w:color w:val="auto"/>
        </w:rPr>
        <w:t>CD141</w:t>
      </w:r>
      <w:r w:rsidRPr="002910E2">
        <w:rPr>
          <w:rFonts w:eastAsia="Times New Roman"/>
          <w:color w:val="auto"/>
          <w:vertAlign w:val="superscript"/>
        </w:rPr>
        <w:t>+</w:t>
      </w:r>
      <w:r w:rsidRPr="002910E2">
        <w:rPr>
          <w:rFonts w:eastAsia="Times New Roman"/>
          <w:color w:val="auto"/>
        </w:rPr>
        <w:t xml:space="preserve"> was identified as conventional type 1 dendritic cells (cDC1) (left), CD11</w:t>
      </w:r>
      <w:r w:rsidRPr="002910E2">
        <w:rPr>
          <w:rFonts w:eastAsia="PMingLiU" w:hint="eastAsia"/>
          <w:color w:val="auto"/>
        </w:rPr>
        <w:t>c</w:t>
      </w:r>
      <w:r w:rsidRPr="002910E2">
        <w:rPr>
          <w:rFonts w:eastAsia="Times New Roman"/>
          <w:color w:val="auto"/>
          <w:vertAlign w:val="superscript"/>
        </w:rPr>
        <w:t>+</w:t>
      </w:r>
      <w:r w:rsidRPr="002910E2">
        <w:rPr>
          <w:rFonts w:eastAsia="Times New Roman"/>
          <w:color w:val="auto"/>
        </w:rPr>
        <w:t>CD1</w:t>
      </w:r>
      <w:r w:rsidRPr="002910E2">
        <w:rPr>
          <w:rFonts w:eastAsia="PMingLiU" w:hint="eastAsia"/>
          <w:color w:val="auto"/>
        </w:rPr>
        <w:t>c</w:t>
      </w:r>
      <w:r w:rsidRPr="002910E2">
        <w:rPr>
          <w:rFonts w:eastAsia="Times New Roman"/>
          <w:color w:val="auto"/>
          <w:vertAlign w:val="superscript"/>
        </w:rPr>
        <w:t>+</w:t>
      </w:r>
      <w:r w:rsidRPr="002910E2">
        <w:rPr>
          <w:rFonts w:eastAsia="Times New Roman"/>
          <w:color w:val="auto"/>
        </w:rPr>
        <w:t xml:space="preserve"> was identified as conventional type 2 dendritic cells (cDC2) (middle), and CD11</w:t>
      </w:r>
      <w:r w:rsidRPr="002910E2">
        <w:rPr>
          <w:rFonts w:eastAsia="PMingLiU" w:hint="eastAsia"/>
          <w:color w:val="auto"/>
        </w:rPr>
        <w:t>c</w:t>
      </w:r>
      <w:r w:rsidRPr="002910E2">
        <w:rPr>
          <w:rFonts w:eastAsia="Times New Roman"/>
          <w:color w:val="auto"/>
          <w:vertAlign w:val="superscript"/>
        </w:rPr>
        <w:t>+</w:t>
      </w:r>
      <w:r w:rsidRPr="002910E2">
        <w:rPr>
          <w:rFonts w:eastAsia="Times New Roman"/>
          <w:color w:val="auto"/>
        </w:rPr>
        <w:t>CD123</w:t>
      </w:r>
      <w:r w:rsidRPr="002910E2">
        <w:rPr>
          <w:rFonts w:eastAsia="Times New Roman"/>
          <w:color w:val="auto"/>
          <w:vertAlign w:val="superscript"/>
        </w:rPr>
        <w:t>+</w:t>
      </w:r>
      <w:r w:rsidRPr="002910E2">
        <w:rPr>
          <w:rFonts w:eastAsia="Times New Roman"/>
          <w:color w:val="auto"/>
        </w:rPr>
        <w:t xml:space="preserve"> was identified are plasmacytoid dendritic cells (pDC) (right). </w:t>
      </w:r>
      <w:r w:rsidRPr="002910E2">
        <w:rPr>
          <w:rFonts w:eastAsia="PMingLiU"/>
          <w:b/>
          <w:bCs/>
          <w:color w:val="auto"/>
        </w:rPr>
        <w:t xml:space="preserve">(C) </w:t>
      </w:r>
      <w:r w:rsidRPr="002910E2">
        <w:rPr>
          <w:rFonts w:eastAsia="PMingLiU"/>
          <w:color w:val="auto"/>
        </w:rPr>
        <w:t>Lymphocytes were gated in the FSC/SSC plot (middle). CD4 and CD8 T cells were gated from lymphocytes as shown (right).</w:t>
      </w:r>
    </w:p>
    <w:p w14:paraId="0A5D51C8" w14:textId="77777777" w:rsidR="003C76C5" w:rsidRDefault="003C76C5" w:rsidP="003C76C5">
      <w:pPr>
        <w:spacing w:line="480" w:lineRule="auto"/>
        <w:jc w:val="both"/>
        <w:rPr>
          <w:rFonts w:eastAsia="PMingLiU"/>
          <w:b/>
          <w:bCs/>
          <w:color w:val="auto"/>
        </w:rPr>
      </w:pPr>
    </w:p>
    <w:p w14:paraId="39172DE3" w14:textId="77777777" w:rsidR="003C76C5" w:rsidRPr="002910E2" w:rsidRDefault="003C76C5" w:rsidP="003C76C5">
      <w:pPr>
        <w:spacing w:line="480" w:lineRule="auto"/>
        <w:jc w:val="both"/>
        <w:rPr>
          <w:rFonts w:eastAsia="PMingLiU"/>
          <w:b/>
          <w:bCs/>
          <w:color w:val="auto"/>
        </w:rPr>
      </w:pPr>
      <w:r>
        <w:rPr>
          <w:rFonts w:eastAsia="PMingLiU"/>
          <w:b/>
          <w:bCs/>
          <w:noProof/>
          <w:color w:val="auto"/>
        </w:rPr>
        <w:lastRenderedPageBreak/>
        <w:drawing>
          <wp:inline distT="0" distB="0" distL="0" distR="0" wp14:anchorId="67D92718" wp14:editId="10BDC02E">
            <wp:extent cx="3780951" cy="2159742"/>
            <wp:effectExtent l="0" t="0" r="0" b="0"/>
            <wp:docPr id="1106564004" name="圖片 19" descr="A comparison of a normal distribution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564004" name="圖片 19" descr="A comparison of a normal distribution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387" cy="21622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483B33" w14:textId="77777777" w:rsidR="003C76C5" w:rsidRPr="002910E2" w:rsidRDefault="003C76C5" w:rsidP="003C76C5">
      <w:pPr>
        <w:spacing w:line="480" w:lineRule="auto"/>
        <w:jc w:val="both"/>
        <w:rPr>
          <w:rFonts w:eastAsia="PMingLiU"/>
          <w:b/>
          <w:bCs/>
          <w:color w:val="auto"/>
        </w:rPr>
      </w:pPr>
      <w:r w:rsidRPr="002910E2">
        <w:rPr>
          <w:rFonts w:eastAsia="PMingLiU"/>
          <w:b/>
          <w:bCs/>
          <w:color w:val="auto"/>
        </w:rPr>
        <w:t>Figure S2 Representative histograms of PD-L1</w:t>
      </w:r>
      <w:r w:rsidRPr="002910E2">
        <w:rPr>
          <w:rFonts w:eastAsia="PMingLiU"/>
          <w:b/>
          <w:bCs/>
          <w:color w:val="auto"/>
          <w:vertAlign w:val="superscript"/>
        </w:rPr>
        <w:t>+</w:t>
      </w:r>
      <w:r w:rsidRPr="002910E2">
        <w:rPr>
          <w:rFonts w:eastAsia="PMingLiU"/>
          <w:b/>
          <w:bCs/>
          <w:color w:val="auto"/>
        </w:rPr>
        <w:t xml:space="preserve"> cDC1 in the blood of normal and COPD participants</w:t>
      </w:r>
    </w:p>
    <w:p w14:paraId="7313F648" w14:textId="77777777" w:rsidR="003C76C5" w:rsidRPr="002910E2" w:rsidRDefault="003C76C5" w:rsidP="003C76C5">
      <w:pPr>
        <w:spacing w:line="480" w:lineRule="auto"/>
        <w:jc w:val="both"/>
        <w:rPr>
          <w:rFonts w:eastAsia="PMingLiU"/>
          <w:color w:val="auto"/>
        </w:rPr>
      </w:pPr>
      <w:r w:rsidRPr="002910E2">
        <w:rPr>
          <w:rFonts w:eastAsia="PMingLiU"/>
          <w:color w:val="auto"/>
          <w:kern w:val="2"/>
        </w:rPr>
        <w:t>Flow cytometric analysis of PD-L1 on cDC1 in PBMC</w:t>
      </w:r>
      <w:r w:rsidRPr="002910E2">
        <w:rPr>
          <w:rFonts w:eastAsia="PMingLiU" w:hint="eastAsia"/>
          <w:color w:val="auto"/>
          <w:kern w:val="2"/>
        </w:rPr>
        <w:t>s</w:t>
      </w:r>
      <w:r w:rsidRPr="002910E2">
        <w:rPr>
          <w:rFonts w:eastAsia="PMingLiU"/>
          <w:color w:val="auto"/>
          <w:kern w:val="2"/>
        </w:rPr>
        <w:t>, representative results from normal and COPD participants.</w:t>
      </w:r>
      <w:r w:rsidRPr="002910E2">
        <w:rPr>
          <w:rFonts w:eastAsia="PMingLiU"/>
          <w:color w:val="auto"/>
        </w:rPr>
        <w:t xml:space="preserve"> </w:t>
      </w:r>
      <w:r w:rsidRPr="002910E2">
        <w:rPr>
          <w:rFonts w:eastAsia="PMingLiU"/>
          <w:color w:val="auto"/>
          <w:kern w:val="2"/>
        </w:rPr>
        <w:t>PBMCs were analyzed directly by staining with the indicated antibodies. The percentage of PD-L1</w:t>
      </w:r>
      <w:r w:rsidRPr="002910E2">
        <w:rPr>
          <w:rFonts w:eastAsia="PMingLiU"/>
          <w:color w:val="auto"/>
          <w:kern w:val="2"/>
          <w:vertAlign w:val="superscript"/>
        </w:rPr>
        <w:t>+</w:t>
      </w:r>
      <w:r w:rsidRPr="002910E2">
        <w:rPr>
          <w:rFonts w:eastAsia="PMingLiU"/>
          <w:color w:val="auto"/>
          <w:kern w:val="2"/>
        </w:rPr>
        <w:t xml:space="preserve"> cells </w:t>
      </w:r>
      <w:r w:rsidRPr="002910E2">
        <w:rPr>
          <w:rFonts w:eastAsia="PMingLiU" w:hint="eastAsia"/>
          <w:color w:val="auto"/>
          <w:kern w:val="2"/>
        </w:rPr>
        <w:t>was</w:t>
      </w:r>
      <w:r w:rsidRPr="002910E2">
        <w:rPr>
          <w:rFonts w:eastAsia="PMingLiU"/>
          <w:color w:val="auto"/>
          <w:kern w:val="2"/>
        </w:rPr>
        <w:t xml:space="preserve"> shown </w:t>
      </w:r>
      <w:r w:rsidRPr="002910E2">
        <w:rPr>
          <w:rFonts w:eastAsia="PMingLiU" w:hint="eastAsia"/>
          <w:color w:val="auto"/>
          <w:kern w:val="2"/>
        </w:rPr>
        <w:t xml:space="preserve">in </w:t>
      </w:r>
      <w:r w:rsidRPr="002910E2">
        <w:rPr>
          <w:rFonts w:eastAsia="PMingLiU"/>
          <w:color w:val="auto"/>
          <w:kern w:val="2"/>
        </w:rPr>
        <w:t xml:space="preserve">pink. All histograms </w:t>
      </w:r>
      <w:r w:rsidRPr="002910E2">
        <w:rPr>
          <w:rFonts w:eastAsia="PMingLiU" w:hint="eastAsia"/>
          <w:color w:val="auto"/>
          <w:kern w:val="2"/>
        </w:rPr>
        <w:t>we</w:t>
      </w:r>
      <w:r w:rsidRPr="002910E2">
        <w:rPr>
          <w:rFonts w:eastAsia="PMingLiU"/>
          <w:color w:val="auto"/>
          <w:kern w:val="2"/>
        </w:rPr>
        <w:t>re gated according to their respective isotype controls (blue).</w:t>
      </w:r>
    </w:p>
    <w:p w14:paraId="44BF60B5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6C5"/>
    <w:rsid w:val="00110104"/>
    <w:rsid w:val="0021090F"/>
    <w:rsid w:val="00220E4E"/>
    <w:rsid w:val="003A76DF"/>
    <w:rsid w:val="003C76C5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4C011"/>
  <w15:chartTrackingRefBased/>
  <w15:docId w15:val="{67922FFE-9BBA-493A-8ADB-439FCE83E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76C5"/>
    <w:pPr>
      <w:spacing w:after="0" w:line="240" w:lineRule="auto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eastAsia="zh-TW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173</Words>
  <Characters>991</Characters>
  <Application>Microsoft Office Word</Application>
  <DocSecurity>0</DocSecurity>
  <Lines>8</Lines>
  <Paragraphs>2</Paragraphs>
  <ScaleCrop>false</ScaleCrop>
  <Company>Springer Nature</Company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2024-03-15T15:25:00Z</dcterms:created>
  <dcterms:modified xsi:type="dcterms:W3CDTF">2024-03-15T15:26:00Z</dcterms:modified>
</cp:coreProperties>
</file>