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301" w:rsidRDefault="00086301" w:rsidP="00086301">
      <w:pPr>
        <w:pStyle w:val="Bibliography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CD78F95" wp14:editId="54AC2BC2">
            <wp:extent cx="9170191" cy="4585094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0191" cy="458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Figure S1. Box plots of monthly relative population flows by type of travel, as determined by origin/destination pairs. Red represents domestic travel within Kenya, green represents international travel from Kenya, and blue represents within-county travel. Months represent average population flows over 2018 and 2019.  </w:t>
      </w:r>
    </w:p>
    <w:p w:rsidR="00086301" w:rsidRDefault="00086301" w:rsidP="00086301">
      <w:pPr>
        <w:tabs>
          <w:tab w:val="left" w:pos="5594"/>
        </w:tabs>
        <w:sectPr w:rsidR="00086301" w:rsidSect="003663F7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:rsidR="00086301" w:rsidRDefault="00086301" w:rsidP="00086301">
      <w:pPr>
        <w:tabs>
          <w:tab w:val="left" w:pos="5594"/>
        </w:tabs>
      </w:pPr>
      <w:r>
        <w:rPr>
          <w:noProof/>
          <w:lang w:eastAsia="en-GB"/>
        </w:rPr>
        <w:lastRenderedPageBreak/>
        <w:drawing>
          <wp:inline distT="0" distB="0" distL="0" distR="0" wp14:anchorId="6C178924" wp14:editId="5DF517D9">
            <wp:extent cx="5829300" cy="698741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r="7933"/>
                    <a:stretch/>
                  </pic:blipFill>
                  <pic:spPr bwMode="auto">
                    <a:xfrm>
                      <a:off x="0" y="0"/>
                      <a:ext cx="5829798" cy="6988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301" w:rsidRDefault="00086301" w:rsidP="00086301">
      <w:pPr>
        <w:tabs>
          <w:tab w:val="left" w:pos="5594"/>
        </w:tabs>
        <w:rPr>
          <w:rFonts w:ascii="Times New Roman" w:hAnsi="Times New Roman" w:cs="Times New Roman"/>
          <w:sz w:val="24"/>
          <w:szCs w:val="24"/>
        </w:rPr>
        <w:sectPr w:rsidR="00086301" w:rsidSect="003663F7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Figure S2. Counties in Kenya by province. </w:t>
      </w:r>
    </w:p>
    <w:p w:rsidR="00086301" w:rsidRDefault="00086301" w:rsidP="00086301">
      <w:pPr>
        <w:pStyle w:val="Bibliography"/>
        <w:rPr>
          <w:rFonts w:ascii="Times New Roman" w:hAnsi="Times New Roman" w:cs="Times New Roman"/>
          <w:sz w:val="24"/>
          <w:szCs w:val="24"/>
        </w:rPr>
        <w:sectPr w:rsidR="00086301" w:rsidSect="001A0B67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AC2B7D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1EA0BDB8" wp14:editId="179B062D">
            <wp:simplePos x="0" y="0"/>
            <wp:positionH relativeFrom="column">
              <wp:posOffset>34925</wp:posOffset>
            </wp:positionH>
            <wp:positionV relativeFrom="paragraph">
              <wp:posOffset>127635</wp:posOffset>
            </wp:positionV>
            <wp:extent cx="8827135" cy="3480435"/>
            <wp:effectExtent l="0" t="0" r="0" b="5715"/>
            <wp:wrapTopAndBottom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" b="23668"/>
                    <a:stretch/>
                  </pic:blipFill>
                  <pic:spPr bwMode="auto">
                    <a:xfrm>
                      <a:off x="0" y="0"/>
                      <a:ext cx="8827135" cy="348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Figure S3. Total international mobility flows from Kenya over 2018 and 2019. Flows were log transformed to highlight spatial heterogeneity.  </w:t>
      </w:r>
    </w:p>
    <w:p w:rsidR="00086301" w:rsidRDefault="00086301" w:rsidP="00086301">
      <w:pPr>
        <w:tabs>
          <w:tab w:val="left" w:pos="55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148A705" wp14:editId="4B3C26E9">
            <wp:extent cx="5731510" cy="602234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2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301" w:rsidRPr="00291D53" w:rsidRDefault="00086301" w:rsidP="00086301">
      <w:pPr>
        <w:tabs>
          <w:tab w:val="left" w:pos="55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S4. Bidirectional domestic mobility patterns between Kenya counties. Arrows indicate directionality of movement.</w:t>
      </w:r>
    </w:p>
    <w:p w:rsidR="009C178C" w:rsidRDefault="009C178C">
      <w:bookmarkStart w:id="0" w:name="_GoBack"/>
      <w:bookmarkEnd w:id="0"/>
    </w:p>
    <w:sectPr w:rsidR="009C178C" w:rsidSect="00080436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01"/>
    <w:rsid w:val="00086301"/>
    <w:rsid w:val="009C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1CB490-68A4-438B-86FE-4114968E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630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086301"/>
  </w:style>
  <w:style w:type="character" w:styleId="LineNumber">
    <w:name w:val="line number"/>
    <w:basedOn w:val="DefaultParagraphFont"/>
    <w:uiPriority w:val="99"/>
    <w:semiHidden/>
    <w:unhideWhenUsed/>
    <w:rsid w:val="0008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Ruktanonchai, Cori</dc:creator>
  <cp:keywords/>
  <dc:description/>
  <cp:lastModifiedBy>Ruktanonchai, Cori</cp:lastModifiedBy>
  <cp:revision>1</cp:revision>
  <dcterms:created xsi:type="dcterms:W3CDTF">2021-04-12T14:41:00Z</dcterms:created>
  <dcterms:modified xsi:type="dcterms:W3CDTF">2021-04-12T14:41:00Z</dcterms:modified>
</cp:coreProperties>
</file>