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9D0" w:rsidRPr="001229D0" w:rsidRDefault="003B6E64" w:rsidP="003B6E64">
      <w:pPr>
        <w:autoSpaceDE w:val="0"/>
        <w:autoSpaceDN w:val="0"/>
        <w:adjustRightInd w:val="0"/>
        <w:spacing w:after="0" w:line="0" w:lineRule="atLeast"/>
        <w:contextualSpacing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3B6E64">
        <w:rPr>
          <w:rFonts w:asciiTheme="majorBidi" w:hAnsiTheme="majorBidi" w:cstheme="majorBidi"/>
          <w:b/>
          <w:bCs/>
          <w:sz w:val="24"/>
          <w:szCs w:val="24"/>
        </w:rPr>
        <w:t>Supplementary Table</w:t>
      </w:r>
      <w:r w:rsidR="00237CBC" w:rsidRPr="003B6E6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47AAC" w:rsidRPr="003B6E64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="00237CBC" w:rsidRPr="003B6E6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37CBC" w:rsidRPr="003B6E64">
        <w:rPr>
          <w:rFonts w:asciiTheme="majorBidi" w:hAnsiTheme="majorBidi" w:cstheme="majorBidi"/>
          <w:sz w:val="24"/>
          <w:szCs w:val="24"/>
        </w:rPr>
        <w:t>Principal</w:t>
      </w:r>
      <w:r w:rsidR="00237CBC" w:rsidRPr="00237CBC">
        <w:rPr>
          <w:rFonts w:asciiTheme="majorBidi" w:hAnsiTheme="majorBidi" w:cstheme="majorBidi"/>
          <w:sz w:val="24"/>
          <w:szCs w:val="24"/>
        </w:rPr>
        <w:t xml:space="preserve"> factor loading of nutrients intake</w:t>
      </w:r>
    </w:p>
    <w:tbl>
      <w:tblPr>
        <w:tblStyle w:val="TableGrid"/>
        <w:tblW w:w="928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/>
      </w:tblPr>
      <w:tblGrid>
        <w:gridCol w:w="3640"/>
        <w:gridCol w:w="1559"/>
        <w:gridCol w:w="2040"/>
        <w:gridCol w:w="2042"/>
      </w:tblGrid>
      <w:tr w:rsidR="00237CBC" w:rsidRPr="001229D0" w:rsidTr="000E25EB">
        <w:trPr>
          <w:trHeight w:val="20"/>
        </w:trPr>
        <w:tc>
          <w:tcPr>
            <w:tcW w:w="3640" w:type="dxa"/>
          </w:tcPr>
          <w:p w:rsidR="00237CBC" w:rsidRPr="00602273" w:rsidRDefault="00237CBC" w:rsidP="00602273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r w:rsidRPr="006022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Nutrient</w:t>
            </w:r>
          </w:p>
        </w:tc>
        <w:tc>
          <w:tcPr>
            <w:tcW w:w="1559" w:type="dxa"/>
          </w:tcPr>
          <w:p w:rsidR="00237CBC" w:rsidRPr="00602273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0227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Pattern 1</w:t>
            </w:r>
          </w:p>
        </w:tc>
        <w:tc>
          <w:tcPr>
            <w:tcW w:w="2040" w:type="dxa"/>
          </w:tcPr>
          <w:p w:rsidR="00237CBC" w:rsidRPr="00602273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0227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Pattern 2</w:t>
            </w:r>
          </w:p>
        </w:tc>
        <w:tc>
          <w:tcPr>
            <w:tcW w:w="2042" w:type="dxa"/>
          </w:tcPr>
          <w:p w:rsidR="00237CBC" w:rsidRPr="00602273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02273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Pattern 3</w:t>
            </w: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B1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.823</w:t>
            </w: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B2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.809</w:t>
            </w: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B6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.802</w:t>
            </w: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Vit.B5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.799</w:t>
            </w: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Zinc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.725</w:t>
            </w: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.487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B3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.612</w:t>
            </w: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B12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.575</w:t>
            </w: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Iron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.528</w:t>
            </w: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Saturated 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Fat</w:t>
            </w: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ty acid</w:t>
            </w:r>
            <w:r w:rsidR="00F44622"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.479</w:t>
            </w: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.462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Manganese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Molybdenum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.790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α-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Tocopherol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.760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Oleic acid</w:t>
            </w:r>
            <w:r w:rsidR="00F44622"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.695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PUFA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.584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Β-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Carotene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.543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Linolenic acid</w:t>
            </w:r>
            <w:r w:rsidR="00F44622"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.506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MUFA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.486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Total 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Fat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.460</w:t>
            </w: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Biotin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Caffeine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Linoleic acid</w:t>
            </w:r>
            <w:r w:rsidR="00F44622"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Chromium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Potassium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.862</w:t>
            </w: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Magnesium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.850</w:t>
            </w: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Phosphorus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.822</w:t>
            </w: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Calcium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.713</w:t>
            </w: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Protein</w:t>
            </w:r>
          </w:p>
        </w:tc>
        <w:tc>
          <w:tcPr>
            <w:tcW w:w="1559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.484</w:t>
            </w: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.602</w:t>
            </w: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Carbohydrate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.564</w:t>
            </w: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.501</w:t>
            </w: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Folate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237CBC" w:rsidP="000E25E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</w:t>
            </w:r>
            <w:r w:rsidR="001229D0"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.470</w:t>
            </w: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Sodium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Vit.</w:t>
            </w: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1229D0" w:rsidTr="000E25EB">
        <w:trPr>
          <w:trHeight w:val="20"/>
        </w:trPr>
        <w:tc>
          <w:tcPr>
            <w:tcW w:w="36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229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Cholesterol</w:t>
            </w:r>
          </w:p>
        </w:tc>
        <w:tc>
          <w:tcPr>
            <w:tcW w:w="1559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0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042" w:type="dxa"/>
          </w:tcPr>
          <w:p w:rsidR="001229D0" w:rsidRPr="001229D0" w:rsidRDefault="001229D0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229D0" w:rsidRPr="00237CBC" w:rsidTr="000E25EB">
        <w:trPr>
          <w:trHeight w:val="20"/>
        </w:trPr>
        <w:tc>
          <w:tcPr>
            <w:tcW w:w="3640" w:type="dxa"/>
          </w:tcPr>
          <w:p w:rsidR="001229D0" w:rsidRPr="00237CBC" w:rsidRDefault="001229D0" w:rsidP="000E25EB">
            <w:pPr>
              <w:autoSpaceDE w:val="0"/>
              <w:autoSpaceDN w:val="0"/>
              <w:adjustRightInd w:val="0"/>
              <w:ind w:left="60" w:right="6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color w:val="000000"/>
                <w:sz w:val="24"/>
                <w:szCs w:val="24"/>
                <w:lang w:bidi="fa-IR"/>
              </w:rPr>
              <w:t>Percent of variance explained</w:t>
            </w:r>
          </w:p>
        </w:tc>
        <w:tc>
          <w:tcPr>
            <w:tcW w:w="1559" w:type="dxa"/>
          </w:tcPr>
          <w:p w:rsidR="001229D0" w:rsidRPr="00237CBC" w:rsidRDefault="003B22DC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sz w:val="24"/>
                <w:szCs w:val="24"/>
              </w:rPr>
              <w:t>25.045</w:t>
            </w:r>
          </w:p>
        </w:tc>
        <w:tc>
          <w:tcPr>
            <w:tcW w:w="2040" w:type="dxa"/>
          </w:tcPr>
          <w:p w:rsidR="001229D0" w:rsidRPr="00237CBC" w:rsidRDefault="003B22DC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sz w:val="24"/>
                <w:szCs w:val="24"/>
              </w:rPr>
              <w:t>10.198</w:t>
            </w:r>
          </w:p>
        </w:tc>
        <w:tc>
          <w:tcPr>
            <w:tcW w:w="2042" w:type="dxa"/>
          </w:tcPr>
          <w:p w:rsidR="001229D0" w:rsidRPr="00237CBC" w:rsidRDefault="003B22DC" w:rsidP="000E25EB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37CBC">
              <w:rPr>
                <w:rFonts w:asciiTheme="majorBidi" w:hAnsiTheme="majorBidi" w:cstheme="majorBidi"/>
                <w:sz w:val="24"/>
                <w:szCs w:val="24"/>
              </w:rPr>
              <w:t>7.360</w:t>
            </w:r>
          </w:p>
        </w:tc>
      </w:tr>
      <w:tr w:rsidR="001229D0" w:rsidRPr="001229D0" w:rsidTr="000E25EB">
        <w:trPr>
          <w:trHeight w:val="20"/>
        </w:trPr>
        <w:tc>
          <w:tcPr>
            <w:tcW w:w="9281" w:type="dxa"/>
            <w:gridSpan w:val="4"/>
          </w:tcPr>
          <w:p w:rsidR="001229D0" w:rsidRPr="00550C78" w:rsidRDefault="00550C78" w:rsidP="000E25EB">
            <w:pPr>
              <w:pStyle w:val="Caption"/>
              <w:keepNext/>
              <w:rPr>
                <w:rFonts w:asciiTheme="majorBidi" w:hAnsiTheme="majorBidi" w:cstheme="majorBidi"/>
                <w:i w:val="0"/>
                <w:iCs w:val="0"/>
                <w:color w:val="auto"/>
                <w:sz w:val="17"/>
                <w:szCs w:val="17"/>
              </w:rPr>
            </w:pPr>
            <w:r w:rsidRPr="00550C78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Factor </w:t>
            </w:r>
            <w:r w:rsidRPr="000F7102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loadings of &lt;0.2 have been</w:t>
            </w:r>
            <w:r w:rsidRPr="00550C78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 xml:space="preserve"> removed to simplify the table. </w:t>
            </w:r>
            <w:r w:rsidR="001229D0" w:rsidRPr="00550C78">
              <w:rPr>
                <w:rFonts w:asciiTheme="majorBidi" w:hAnsiTheme="majorBidi" w:cstheme="majorBidi"/>
                <w:i w:val="0"/>
                <w:iCs w:val="0"/>
                <w:color w:val="000000"/>
                <w:sz w:val="24"/>
                <w:szCs w:val="24"/>
              </w:rPr>
              <w:t>Extraction Method</w:t>
            </w:r>
            <w:r w:rsidR="00F44622" w:rsidRPr="00550C78">
              <w:rPr>
                <w:rFonts w:asciiTheme="majorBidi" w:hAnsiTheme="majorBidi" w:cstheme="majorBidi"/>
                <w:i w:val="0"/>
                <w:iCs w:val="0"/>
                <w:color w:val="000000"/>
                <w:sz w:val="24"/>
                <w:szCs w:val="24"/>
              </w:rPr>
              <w:t xml:space="preserve">: Principal Component Analysis; </w:t>
            </w:r>
            <w:r w:rsidR="001229D0" w:rsidRPr="00550C78">
              <w:rPr>
                <w:rFonts w:asciiTheme="majorBidi" w:hAnsiTheme="majorBidi" w:cstheme="majorBidi"/>
                <w:i w:val="0"/>
                <w:iCs w:val="0"/>
                <w:color w:val="000000"/>
                <w:sz w:val="24"/>
                <w:szCs w:val="24"/>
              </w:rPr>
              <w:t>Rotation Method: Va</w:t>
            </w:r>
            <w:r w:rsidR="00F44622" w:rsidRPr="00550C78">
              <w:rPr>
                <w:rFonts w:asciiTheme="majorBidi" w:hAnsiTheme="majorBidi" w:cstheme="majorBidi"/>
                <w:i w:val="0"/>
                <w:iCs w:val="0"/>
                <w:color w:val="000000"/>
                <w:sz w:val="24"/>
                <w:szCs w:val="24"/>
              </w:rPr>
              <w:t xml:space="preserve">rimax with Kaiser Normalization </w:t>
            </w:r>
            <w:r w:rsidR="00F44622" w:rsidRPr="00550C78">
              <w:rPr>
                <w:rFonts w:asciiTheme="majorBidi" w:hAnsiTheme="majorBidi" w:cstheme="majorBidi"/>
                <w:i w:val="0"/>
                <w:iCs w:val="0"/>
                <w:color w:val="000000"/>
                <w:sz w:val="24"/>
                <w:szCs w:val="24"/>
                <w:vertAlign w:val="superscript"/>
              </w:rPr>
              <w:t>a</w:t>
            </w:r>
            <w:r w:rsidR="00F44622" w:rsidRPr="00550C78">
              <w:rPr>
                <w:rFonts w:asciiTheme="majorBidi" w:hAnsiTheme="majorBidi" w:cstheme="majorBidi"/>
                <w:i w:val="0"/>
                <w:iCs w:val="0"/>
                <w:color w:val="000000"/>
                <w:sz w:val="24"/>
                <w:szCs w:val="24"/>
              </w:rPr>
              <w:t xml:space="preserve">; a: Rotation converged in 7 iterations; PUFA: </w:t>
            </w:r>
            <w:r w:rsidR="00F44622" w:rsidRPr="00550C78">
              <w:rPr>
                <w:rFonts w:asciiTheme="majorBidi" w:hAnsiTheme="majorBidi" w:cstheme="majorBidi"/>
                <w:i w:val="0"/>
                <w:iCs w:val="0"/>
                <w:color w:val="auto"/>
                <w:sz w:val="24"/>
                <w:szCs w:val="24"/>
              </w:rPr>
              <w:t>Polyunsaturated fatty acids; MUFA: Monounsaturated fatty acids;</w:t>
            </w:r>
          </w:p>
        </w:tc>
      </w:tr>
      <w:bookmarkEnd w:id="0"/>
    </w:tbl>
    <w:p w:rsidR="001229D0" w:rsidRPr="00237CBC" w:rsidRDefault="001229D0" w:rsidP="00F44622">
      <w:pPr>
        <w:autoSpaceDE w:val="0"/>
        <w:autoSpaceDN w:val="0"/>
        <w:adjustRightInd w:val="0"/>
        <w:spacing w:after="0" w:line="400" w:lineRule="atLeast"/>
        <w:rPr>
          <w:rFonts w:asciiTheme="majorBidi" w:hAnsiTheme="majorBidi" w:cstheme="majorBidi"/>
          <w:sz w:val="24"/>
          <w:szCs w:val="24"/>
        </w:rPr>
      </w:pPr>
    </w:p>
    <w:sectPr w:rsidR="001229D0" w:rsidRPr="00237CBC" w:rsidSect="005E1F1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0MDEzNDU1Nja2MDexMDZT0lEKTi0uzszPAykwrgUAiu4KJSwAAAA="/>
  </w:docVars>
  <w:rsids>
    <w:rsidRoot w:val="00F23912"/>
    <w:rsid w:val="000E25EB"/>
    <w:rsid w:val="000F7102"/>
    <w:rsid w:val="001229D0"/>
    <w:rsid w:val="00237CBC"/>
    <w:rsid w:val="003B22DC"/>
    <w:rsid w:val="003B6E64"/>
    <w:rsid w:val="00526A80"/>
    <w:rsid w:val="00550C78"/>
    <w:rsid w:val="005E1F10"/>
    <w:rsid w:val="00602273"/>
    <w:rsid w:val="007F54A5"/>
    <w:rsid w:val="00947AAC"/>
    <w:rsid w:val="00A801C0"/>
    <w:rsid w:val="00E64401"/>
    <w:rsid w:val="00F23912"/>
    <w:rsid w:val="00F44622"/>
    <w:rsid w:val="00F9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01C0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50C7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0E2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NPSoft</cp:lastModifiedBy>
  <cp:revision>12</cp:revision>
  <dcterms:created xsi:type="dcterms:W3CDTF">2018-10-21T17:12:00Z</dcterms:created>
  <dcterms:modified xsi:type="dcterms:W3CDTF">2020-07-04T11:57:00Z</dcterms:modified>
</cp:coreProperties>
</file>