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2FB165" w14:textId="77777777" w:rsidR="00502F16" w:rsidRPr="002D5649" w:rsidRDefault="00502F16" w:rsidP="00502F16">
      <w:pPr>
        <w:pStyle w:val="NormalWeb"/>
        <w:spacing w:before="0" w:beforeAutospacing="0" w:after="0" w:afterAutospacing="0" w:line="276" w:lineRule="auto"/>
        <w:jc w:val="center"/>
        <w:rPr>
          <w:b/>
          <w:bCs/>
          <w:color w:val="000000" w:themeColor="text1"/>
          <w:bdr w:val="none" w:sz="0" w:space="0" w:color="auto" w:frame="1"/>
          <w:shd w:val="clear" w:color="auto" w:fill="FFFFFF"/>
        </w:rPr>
      </w:pPr>
      <w:r w:rsidRPr="002D5649">
        <w:rPr>
          <w:b/>
          <w:bCs/>
          <w:color w:val="000000" w:themeColor="text1"/>
          <w:bdr w:val="none" w:sz="0" w:space="0" w:color="auto" w:frame="1"/>
          <w:shd w:val="clear" w:color="auto" w:fill="FFFFFF"/>
        </w:rPr>
        <w:t>Supplemental Materials</w:t>
      </w:r>
    </w:p>
    <w:p w14:paraId="11B516A8" w14:textId="77777777" w:rsidR="00502F16" w:rsidRPr="002D5649" w:rsidRDefault="00502F16" w:rsidP="00502F16">
      <w:pPr>
        <w:pStyle w:val="NormalWeb"/>
        <w:spacing w:before="0" w:beforeAutospacing="0" w:after="0" w:afterAutospacing="0" w:line="276" w:lineRule="auto"/>
        <w:jc w:val="center"/>
      </w:pPr>
    </w:p>
    <w:p w14:paraId="6B32EFE3" w14:textId="77777777" w:rsidR="00502F16" w:rsidRPr="002D5649" w:rsidRDefault="00502F16" w:rsidP="00502F16">
      <w:pPr>
        <w:spacing w:line="276" w:lineRule="auto"/>
        <w:rPr>
          <w:color w:val="000000" w:themeColor="text1"/>
        </w:rPr>
      </w:pPr>
      <w:r w:rsidRPr="002D5649">
        <w:rPr>
          <w:b/>
          <w:bCs/>
          <w:color w:val="000000" w:themeColor="text1"/>
        </w:rPr>
        <w:t xml:space="preserve">Stanford ADRC Participants </w:t>
      </w:r>
    </w:p>
    <w:p w14:paraId="1C29D4E6" w14:textId="77777777" w:rsidR="00502F16" w:rsidRPr="002D5649" w:rsidRDefault="00502F16" w:rsidP="00502F16">
      <w:pPr>
        <w:spacing w:line="276" w:lineRule="auto"/>
        <w:rPr>
          <w:color w:val="000000" w:themeColor="text1"/>
        </w:rPr>
      </w:pPr>
      <w:r w:rsidRPr="002D5649">
        <w:rPr>
          <w:color w:val="000000" w:themeColor="text1"/>
        </w:rPr>
        <w:t>The sample con</w:t>
      </w:r>
      <w:r>
        <w:rPr>
          <w:color w:val="000000" w:themeColor="text1"/>
        </w:rPr>
        <w:t>tained baseline data from</w:t>
      </w:r>
      <w:r w:rsidRPr="002D5649">
        <w:rPr>
          <w:color w:val="000000" w:themeColor="text1"/>
        </w:rPr>
        <w:t xml:space="preserve"> </w:t>
      </w:r>
      <w:r>
        <w:rPr>
          <w:color w:val="000000" w:themeColor="text1"/>
        </w:rPr>
        <w:t>89</w:t>
      </w:r>
      <w:r w:rsidRPr="002D5649">
        <w:rPr>
          <w:color w:val="000000" w:themeColor="text1"/>
        </w:rPr>
        <w:t xml:space="preserve"> </w:t>
      </w:r>
      <w:r>
        <w:rPr>
          <w:color w:val="000000" w:themeColor="text1"/>
        </w:rPr>
        <w:t xml:space="preserve">Stanford </w:t>
      </w:r>
      <w:r w:rsidRPr="002D5649">
        <w:rPr>
          <w:color w:val="000000" w:themeColor="text1"/>
        </w:rPr>
        <w:t xml:space="preserve">ADRC participants </w:t>
      </w:r>
      <w:r>
        <w:rPr>
          <w:color w:val="000000" w:themeColor="text1"/>
        </w:rPr>
        <w:t xml:space="preserve">(see </w:t>
      </w:r>
      <w:r w:rsidRPr="002D5649">
        <w:rPr>
          <w:b/>
          <w:bCs/>
          <w:color w:val="000000" w:themeColor="text1"/>
        </w:rPr>
        <w:t>supplemental Table 1</w:t>
      </w:r>
      <w:r w:rsidRPr="002D5649">
        <w:rPr>
          <w:color w:val="000000" w:themeColor="text1"/>
        </w:rPr>
        <w:t xml:space="preserve">). </w:t>
      </w:r>
      <w:r>
        <w:rPr>
          <w:color w:val="000000" w:themeColor="text1"/>
        </w:rPr>
        <w:t xml:space="preserve">Participants were selected based on (1) availability of plasma-based GFAP; (2) availability of plasma- or saliva-based APOE gene status; (3) availability of DTI data; and (4) MCI or healthy control status. </w:t>
      </w:r>
      <w:r w:rsidRPr="002D5649">
        <w:rPr>
          <w:color w:val="000000" w:themeColor="text1"/>
        </w:rPr>
        <w:t>ADRC followed AD-dementia diagnosis on the NACC criteria for dementia, including NIA-AA workgroup guidelines for AD-MCI from NIA-AA workgroup guidelines</w:t>
      </w:r>
      <w:r w:rsidRPr="002D5649">
        <w:rPr>
          <w:color w:val="000000" w:themeColor="text1"/>
        </w:rPr>
        <w:fldChar w:fldCharType="begin"/>
      </w:r>
      <w:r>
        <w:rPr>
          <w:color w:val="000000" w:themeColor="text1"/>
        </w:rPr>
        <w:instrText xml:space="preserve"> ADDIN EN.CITE &lt;EndNote&gt;&lt;Cite&gt;&lt;Author&gt;Albert&lt;/Author&gt;&lt;Year&gt;2011&lt;/Year&gt;&lt;RecNum&gt;0&lt;/RecNum&gt;&lt;IDText&gt;The diagnosis of mild cognitive impairment due to Alzheimer&amp;apos;s disease: recommendations from the National Institute on Aging‐Alzheimer&amp;apos;s Association workgroups on diagnostic guidelines for Alzheimer&amp;apos;s disease&lt;/IDText&gt;&lt;DisplayText&gt;&lt;style face="superscript"&gt;35&lt;/style&gt;&lt;/DisplayText&gt;&lt;record&gt;&lt;isbn&gt;1552-5260&lt;/isbn&gt;&lt;titles&gt;&lt;title&gt;The diagnosis of mild cognitive impairment due to Alzheimer&amp;apos;s disease: recommendations from the National Institute on Aging‐Alzheimer&amp;apos;s Association workgroups on diagnostic guidelines for Alzheimer&amp;apos;s disease&lt;/title&gt;&lt;secondary-title&gt;Alzheimer&amp;apos;s &amp;amp; dementia&lt;/secondary-title&gt;&lt;/titles&gt;&lt;pages&gt;270-279&lt;/pages&gt;&lt;number&gt;3&lt;/number&gt;&lt;contributors&gt;&lt;authors&gt;&lt;author&gt;Albert, Marilyn S&lt;/author&gt;&lt;author&gt;DeKosky, Steven T&lt;/author&gt;&lt;author&gt;Dickson, Dennis&lt;/author&gt;&lt;author&gt;Dubois, Bruno&lt;/author&gt;&lt;author&gt;Feldman, Howard H&lt;/author&gt;&lt;author&gt;Fox, Nick C&lt;/author&gt;&lt;author&gt;Gamst, Anthony&lt;/author&gt;&lt;author&gt;Holtzman, David M&lt;/author&gt;&lt;author&gt;Jagust, William J&lt;/author&gt;&lt;author&gt;Petersen, Ronald C&lt;/author&gt;&lt;/authors&gt;&lt;/contributors&gt;&lt;added-date format="utc"&gt;1694801354&lt;/added-date&gt;&lt;ref-type name="Journal Article"&gt;17&lt;/ref-type&gt;&lt;dates&gt;&lt;year&gt;2011&lt;/year&gt;&lt;/dates&gt;&lt;rec-number&gt;1683&lt;/rec-number&gt;&lt;last-updated-date format="utc"&gt;1694801354&lt;/last-updated-date&gt;&lt;volume&gt;7&lt;/volume&gt;&lt;/record&gt;&lt;/Cite&gt;&lt;/EndNote&gt;</w:instrText>
      </w:r>
      <w:r w:rsidRPr="002D5649">
        <w:rPr>
          <w:color w:val="000000" w:themeColor="text1"/>
        </w:rPr>
        <w:fldChar w:fldCharType="separate"/>
      </w:r>
      <w:r w:rsidRPr="008E1A14">
        <w:rPr>
          <w:noProof/>
          <w:color w:val="000000" w:themeColor="text1"/>
          <w:vertAlign w:val="superscript"/>
        </w:rPr>
        <w:t>35</w:t>
      </w:r>
      <w:r w:rsidRPr="002D5649">
        <w:rPr>
          <w:color w:val="000000" w:themeColor="text1"/>
        </w:rPr>
        <w:fldChar w:fldCharType="end"/>
      </w:r>
      <w:r w:rsidRPr="002D5649">
        <w:rPr>
          <w:color w:val="000000" w:themeColor="text1"/>
        </w:rPr>
        <w:t>. Participants provided informed consent or assent, and the study was approved by Stanford human subjects institutional research board.</w:t>
      </w:r>
    </w:p>
    <w:p w14:paraId="0BD931BB" w14:textId="77777777" w:rsidR="00502F16" w:rsidRPr="002D5649" w:rsidRDefault="00502F16" w:rsidP="00502F16">
      <w:pPr>
        <w:rPr>
          <w:color w:val="000000" w:themeColor="text1"/>
          <w:shd w:val="clear" w:color="auto" w:fill="FFFFFF"/>
        </w:rPr>
      </w:pPr>
    </w:p>
    <w:p w14:paraId="265592ED" w14:textId="77777777" w:rsidR="00502F16" w:rsidRPr="002D5649" w:rsidRDefault="00502F16" w:rsidP="00502F16">
      <w:pPr>
        <w:spacing w:line="276" w:lineRule="auto"/>
        <w:outlineLvl w:val="2"/>
        <w:rPr>
          <w:b/>
          <w:bCs/>
          <w:color w:val="000000" w:themeColor="text1"/>
        </w:rPr>
      </w:pPr>
      <w:r w:rsidRPr="002D5649">
        <w:rPr>
          <w:b/>
          <w:bCs/>
          <w:color w:val="000000" w:themeColor="text1"/>
        </w:rPr>
        <w:t>Stanford ADRC Imaging Data</w:t>
      </w:r>
    </w:p>
    <w:p w14:paraId="3BF24638" w14:textId="77777777" w:rsidR="00502F16" w:rsidRPr="002D5649" w:rsidRDefault="00502F16" w:rsidP="00502F16">
      <w:pPr>
        <w:spacing w:line="276" w:lineRule="auto"/>
        <w:rPr>
          <w:color w:val="000000" w:themeColor="text1"/>
        </w:rPr>
      </w:pPr>
      <w:r w:rsidRPr="002D5649">
        <w:rPr>
          <w:color w:val="000000" w:themeColor="text1"/>
        </w:rPr>
        <w:t xml:space="preserve">All participants underwent MRI scanning on a 3T GE750 scanner using a 32-channel coil at Stanford University. DTI was collected using a blip-up, blip-down approach with the following parameters: matrix size=128x128; flip angle=90 ̊; slice thickness=2mm; TR=8000ms; TE=60.8 ms. Each subject’s T1-weighted anatomical scan was acquired using a magnetization-prepared rapid-acquisition gradient echo sequence (256 slices with a 176*256 matrix; voxel size 1.00×0.977×0.977mm), as described previously </w:t>
      </w:r>
      <w:r w:rsidRPr="002D5649">
        <w:rPr>
          <w:color w:val="000000" w:themeColor="text1"/>
        </w:rPr>
        <w:fldChar w:fldCharType="begin"/>
      </w:r>
      <w:r>
        <w:rPr>
          <w:color w:val="000000" w:themeColor="text1"/>
        </w:rPr>
        <w:instrText xml:space="preserve"> ADDIN EN.CITE &lt;EndNote&gt;&lt;Cite&gt;&lt;Author&gt;Lee&lt;/Author&gt;&lt;Year&gt;2022&lt;/Year&gt;&lt;RecNum&gt;1828&lt;/RecNum&gt;&lt;DisplayText&gt;&lt;style face="superscript"&gt;36&lt;/style&gt;&lt;/DisplayText&gt;&lt;record&gt;&lt;rec-number&gt;1828&lt;/rec-number&gt;&lt;foreign-keys&gt;&lt;key app="EN" db-id="2vetst2t159xawe2exmvx254rsz5werzfzae" timestamp="1681485449"&gt;1828&lt;/key&gt;&lt;/foreign-keys&gt;&lt;ref-type name="Journal Article"&gt;17&lt;/ref-type&gt;&lt;contributors&gt;&lt;authors&gt;&lt;author&gt;Lee, Byeongwook&lt;/author&gt;&lt;author&gt;Cai, Weidong&lt;/author&gt;&lt;author&gt;Young, Christina B&lt;/author&gt;&lt;author&gt;Yuan, Rui&lt;/author&gt;&lt;author&gt;Ryman, Sephira&lt;/author&gt;&lt;author&gt;Kim, Jeehyun&lt;/author&gt;&lt;author&gt;Santini, Veronica&lt;/author&gt;&lt;author&gt;Henderson, Victor W&lt;/author&gt;&lt;author&gt;Poston, Kathleen L&lt;/author&gt;&lt;author&gt;Menon, Vinod&lt;/author&gt;&lt;/authors&gt;&lt;/contributors&gt;&lt;titles&gt;&lt;title&gt;Latent brain state dynamics and cognitive flexibility in older adults&lt;/title&gt;&lt;secondary-title&gt;Progress in neurobiology&lt;/secondary-title&gt;&lt;/titles&gt;&lt;periodical&gt;&lt;full-title&gt;Progress in neurobiology&lt;/full-title&gt;&lt;/periodical&gt;&lt;pages&gt;102180&lt;/pages&gt;&lt;volume&gt;208&lt;/volume&gt;&lt;dates&gt;&lt;year&gt;2022&lt;/year&gt;&lt;/dates&gt;&lt;isbn&gt;0301-0082&lt;/isbn&gt;&lt;urls&gt;&lt;/urls&gt;&lt;/record&gt;&lt;/Cite&gt;&lt;/EndNote&gt;</w:instrText>
      </w:r>
      <w:r w:rsidRPr="002D5649">
        <w:rPr>
          <w:color w:val="000000" w:themeColor="text1"/>
        </w:rPr>
        <w:fldChar w:fldCharType="separate"/>
      </w:r>
      <w:r w:rsidRPr="008E1A14">
        <w:rPr>
          <w:noProof/>
          <w:color w:val="000000" w:themeColor="text1"/>
          <w:vertAlign w:val="superscript"/>
        </w:rPr>
        <w:t>36</w:t>
      </w:r>
      <w:r w:rsidRPr="002D5649">
        <w:rPr>
          <w:color w:val="000000" w:themeColor="text1"/>
        </w:rPr>
        <w:fldChar w:fldCharType="end"/>
      </w:r>
      <w:r w:rsidRPr="002D5649">
        <w:rPr>
          <w:color w:val="000000" w:themeColor="text1"/>
        </w:rPr>
        <w:t>.</w:t>
      </w:r>
    </w:p>
    <w:p w14:paraId="587CAE0E" w14:textId="77777777" w:rsidR="00502F16" w:rsidRPr="002D5649" w:rsidRDefault="00502F16" w:rsidP="00502F16">
      <w:pPr>
        <w:spacing w:line="276" w:lineRule="auto"/>
        <w:rPr>
          <w:color w:val="000000" w:themeColor="text1"/>
        </w:rPr>
      </w:pPr>
    </w:p>
    <w:p w14:paraId="422E3583" w14:textId="77777777" w:rsidR="00502F16" w:rsidRPr="002D5649" w:rsidRDefault="00502F16" w:rsidP="00502F16">
      <w:pPr>
        <w:spacing w:line="276" w:lineRule="auto"/>
        <w:rPr>
          <w:color w:val="000000" w:themeColor="text1"/>
        </w:rPr>
      </w:pPr>
      <w:r w:rsidRPr="002D5649">
        <w:rPr>
          <w:color w:val="000000" w:themeColor="text1"/>
        </w:rPr>
        <w:t xml:space="preserve">The data preprocessing and network construction procedures mirrored those outlined in ADNI, as detailed above and in our prior publication </w:t>
      </w:r>
      <w:r w:rsidRPr="002D5649">
        <w:rPr>
          <w:color w:val="000000" w:themeColor="text1"/>
        </w:rPr>
        <w:fldChar w:fldCharType="begin"/>
      </w:r>
      <w:r>
        <w:rPr>
          <w:color w:val="000000" w:themeColor="text1"/>
        </w:rPr>
        <w:instrText xml:space="preserve"> ADDIN EN.CITE &lt;EndNote&gt;&lt;Cite&gt;&lt;Author&gt;Chen&lt;/Author&gt;&lt;Year&gt;2020&lt;/Year&gt;&lt;RecNum&gt;1191&lt;/RecNum&gt;&lt;DisplayText&gt;&lt;style face="superscript"&gt;37&lt;/style&gt;&lt;/DisplayText&gt;&lt;record&gt;&lt;rec-number&gt;1191&lt;/rec-number&gt;&lt;foreign-keys&gt;&lt;key app="EN" db-id="2vetst2t159xawe2exmvx254rsz5werzfzae" timestamp="1615226092"&gt;1191&lt;/key&gt;&lt;/foreign-keys&gt;&lt;ref-type name="Journal Article"&gt;17&lt;/ref-type&gt;&lt;contributors&gt;&lt;authors&gt;&lt;author&gt;Chen, Quanjing&lt;/author&gt;&lt;author&gt;Turnbull, Adam&lt;/author&gt;&lt;author&gt;Baran, Timothy M&lt;/author&gt;&lt;author&gt;Lin, Feng V&lt;/author&gt;&lt;/authors&gt;&lt;/contributors&gt;&lt;titles&gt;&lt;title&gt;Longitudinal stability of medial temporal lobe connectivity is associated with tau-related memory decline&lt;/title&gt;&lt;secondary-title&gt;Elife&lt;/secondary-title&gt;&lt;/titles&gt;&lt;periodical&gt;&lt;full-title&gt;eLife&lt;/full-title&gt;&lt;/periodical&gt;&lt;pages&gt;e62114&lt;/pages&gt;&lt;volume&gt;9&lt;/volume&gt;&lt;dates&gt;&lt;year&gt;2020&lt;/year&gt;&lt;/dates&gt;&lt;isbn&gt;2050-084X&lt;/isbn&gt;&lt;urls&gt;&lt;/urls&gt;&lt;/record&gt;&lt;/Cite&gt;&lt;/EndNote&gt;</w:instrText>
      </w:r>
      <w:r w:rsidRPr="002D5649">
        <w:rPr>
          <w:color w:val="000000" w:themeColor="text1"/>
        </w:rPr>
        <w:fldChar w:fldCharType="separate"/>
      </w:r>
      <w:r w:rsidRPr="008E1A14">
        <w:rPr>
          <w:noProof/>
          <w:color w:val="000000" w:themeColor="text1"/>
          <w:vertAlign w:val="superscript"/>
        </w:rPr>
        <w:t>37</w:t>
      </w:r>
      <w:r w:rsidRPr="002D5649">
        <w:rPr>
          <w:color w:val="000000" w:themeColor="text1"/>
        </w:rPr>
        <w:fldChar w:fldCharType="end"/>
      </w:r>
      <w:r w:rsidRPr="002D5649">
        <w:rPr>
          <w:color w:val="000000" w:themeColor="text1"/>
        </w:rPr>
        <w:t xml:space="preserve">. For the purposes of this paper, </w:t>
      </w:r>
      <w:r>
        <w:rPr>
          <w:color w:val="000000" w:themeColor="text1"/>
        </w:rPr>
        <w:t>we used the same procedure described above for ADNI sample, except we only had a single time measure of network integrity based on MD values of within MTL, AT-MTL, and MTL-PM networks as well as the average MD values across all networks.</w:t>
      </w:r>
    </w:p>
    <w:p w14:paraId="01C7C80C" w14:textId="77777777" w:rsidR="00502F16" w:rsidRPr="002D5649" w:rsidRDefault="00502F16" w:rsidP="00502F16">
      <w:pPr>
        <w:spacing w:line="276" w:lineRule="auto"/>
        <w:rPr>
          <w:color w:val="000000" w:themeColor="text1"/>
        </w:rPr>
      </w:pPr>
    </w:p>
    <w:p w14:paraId="68522596" w14:textId="77777777" w:rsidR="00502F16" w:rsidRPr="002D5649" w:rsidRDefault="00502F16" w:rsidP="00502F16">
      <w:pPr>
        <w:spacing w:line="276" w:lineRule="auto"/>
        <w:outlineLvl w:val="2"/>
        <w:rPr>
          <w:b/>
          <w:bCs/>
          <w:i/>
          <w:iCs/>
          <w:color w:val="000000" w:themeColor="text1"/>
        </w:rPr>
      </w:pPr>
      <w:r w:rsidRPr="002D5649">
        <w:rPr>
          <w:b/>
          <w:bCs/>
          <w:color w:val="000000" w:themeColor="text1"/>
        </w:rPr>
        <w:t xml:space="preserve">Stanford ADRC Plasma </w:t>
      </w:r>
      <w:bookmarkStart w:id="0" w:name="OLE_LINK3"/>
      <w:bookmarkStart w:id="1" w:name="OLE_LINK4"/>
      <w:r w:rsidRPr="002D5649">
        <w:rPr>
          <w:b/>
          <w:bCs/>
          <w:color w:val="000000" w:themeColor="text1"/>
        </w:rPr>
        <w:t xml:space="preserve">Data </w:t>
      </w:r>
    </w:p>
    <w:bookmarkEnd w:id="0"/>
    <w:bookmarkEnd w:id="1"/>
    <w:p w14:paraId="3278D24C" w14:textId="77777777" w:rsidR="00502F16" w:rsidRPr="002D5649" w:rsidRDefault="00502F16" w:rsidP="00502F16">
      <w:pPr>
        <w:spacing w:line="276" w:lineRule="auto"/>
        <w:rPr>
          <w:color w:val="000000" w:themeColor="text1"/>
        </w:rPr>
      </w:pPr>
    </w:p>
    <w:p w14:paraId="6028802E" w14:textId="77777777" w:rsidR="00502F16" w:rsidRPr="005F3051" w:rsidRDefault="00502F16" w:rsidP="00502F16">
      <w:pPr>
        <w:spacing w:line="276" w:lineRule="auto"/>
        <w:rPr>
          <w:color w:val="000000" w:themeColor="text1"/>
        </w:rPr>
      </w:pPr>
      <w:r w:rsidRPr="002D5649">
        <w:rPr>
          <w:color w:val="000000" w:themeColor="text1"/>
        </w:rPr>
        <w:t>Plasma protein processing and analysis are as described in a previous paper</w:t>
      </w:r>
      <w:r w:rsidRPr="002D5649">
        <w:rPr>
          <w:color w:val="000000" w:themeColor="text1"/>
        </w:rPr>
        <w:fldChar w:fldCharType="begin"/>
      </w:r>
      <w:r>
        <w:rPr>
          <w:color w:val="000000" w:themeColor="text1"/>
        </w:rPr>
        <w:instrText xml:space="preserve"> ADDIN EN.CITE &lt;EndNote&gt;&lt;Cite&gt;&lt;Author&gt;He&lt;/Author&gt;&lt;Year&gt;2021&lt;/Year&gt;&lt;RecNum&gt;1827&lt;/RecNum&gt;&lt;DisplayText&gt;&lt;style face="superscript"&gt;38&lt;/style&gt;&lt;/DisplayText&gt;&lt;record&gt;&lt;rec-number&gt;1827&lt;/rec-number&gt;&lt;foreign-keys&gt;&lt;key app="EN" db-id="2vetst2t159xawe2exmvx254rsz5werzfzae" timestamp="1681483106"&gt;1827&lt;/key&gt;&lt;/foreign-keys&gt;&lt;ref-type name="Journal Article"&gt;17&lt;/ref-type&gt;&lt;contributors&gt;&lt;authors&gt;&lt;author&gt;He, Zihuai&lt;/author&gt;&lt;author&gt;Le Guen, Yann&lt;/author&gt;&lt;author&gt;Liu, Linxi&lt;/author&gt;&lt;author&gt;Lee, Justin&lt;/author&gt;&lt;author&gt;Ma, Shiyang&lt;/author&gt;&lt;author&gt;Yang, Andrew C&lt;/author&gt;&lt;author&gt;Liu, Xiaoxia&lt;/author&gt;&lt;author&gt;Rutledge, Jarod&lt;/author&gt;&lt;author&gt;Losada, Patricia Moran&lt;/author&gt;&lt;author&gt;Song, Bowen&lt;/author&gt;&lt;/authors&gt;&lt;/contributors&gt;&lt;titles&gt;&lt;title&gt;Genome-wide analysis of common and rare variants via multiple knockoffs at biobank scale, with an application to Alzheimer disease genetics&lt;/title&gt;&lt;secondary-title&gt;The American Journal of Human Genetics&lt;/secondary-title&gt;&lt;/titles&gt;&lt;periodical&gt;&lt;full-title&gt;The American Journal of Human Genetics&lt;/full-title&gt;&lt;/periodical&gt;&lt;pages&gt;2336-2353&lt;/pages&gt;&lt;volume&gt;108&lt;/volume&gt;&lt;number&gt;12&lt;/number&gt;&lt;dates&gt;&lt;year&gt;2021&lt;/year&gt;&lt;/dates&gt;&lt;isbn&gt;0002-9297&lt;/isbn&gt;&lt;urls&gt;&lt;/urls&gt;&lt;/record&gt;&lt;/Cite&gt;&lt;/EndNote&gt;</w:instrText>
      </w:r>
      <w:r w:rsidRPr="002D5649">
        <w:rPr>
          <w:color w:val="000000" w:themeColor="text1"/>
        </w:rPr>
        <w:fldChar w:fldCharType="separate"/>
      </w:r>
      <w:r w:rsidRPr="008E1A14">
        <w:rPr>
          <w:noProof/>
          <w:color w:val="000000" w:themeColor="text1"/>
          <w:vertAlign w:val="superscript"/>
        </w:rPr>
        <w:t>38</w:t>
      </w:r>
      <w:r w:rsidRPr="002D5649">
        <w:rPr>
          <w:color w:val="000000" w:themeColor="text1"/>
        </w:rPr>
        <w:fldChar w:fldCharType="end"/>
      </w:r>
      <w:r w:rsidRPr="002D5649">
        <w:rPr>
          <w:color w:val="000000" w:themeColor="text1"/>
        </w:rPr>
        <w:t>. We used the SOMAscan assay platform (SomaLogic Inc.) to measure the relative levels of 7,288 human proteins in plasma. The SomaScan platform is based on modified single-stranded DNA aptamers (SOMAmer) capable of binding to specific protein targets with high sensitivity and specificity. Plasma samples were stored at −80°C, and 150 μl aliquots of plasma were sent on dry ice to SomaLogic. Plasma samples were analyzed in eight different batches. To account for variation within and across batches, control, calibrator, and buffer samples are added in each 96 well plate. Data normalization was conducted by the manufacturer following three stages</w:t>
      </w:r>
      <w:r>
        <w:rPr>
          <w:color w:val="000000" w:themeColor="text1"/>
        </w:rPr>
        <w:t xml:space="preserve">: (1) </w:t>
      </w:r>
      <w:r w:rsidRPr="002D5649">
        <w:rPr>
          <w:color w:val="000000" w:themeColor="text1"/>
        </w:rPr>
        <w:t xml:space="preserve">Hybridization Control Normalization </w:t>
      </w:r>
      <w:r>
        <w:rPr>
          <w:color w:val="000000" w:themeColor="text1"/>
        </w:rPr>
        <w:t>(</w:t>
      </w:r>
      <w:r w:rsidRPr="002D5649">
        <w:rPr>
          <w:color w:val="000000" w:themeColor="text1"/>
        </w:rPr>
        <w:t>hybridization control probes used to remove individual sample variance</w:t>
      </w:r>
      <w:r>
        <w:rPr>
          <w:color w:val="000000" w:themeColor="text1"/>
        </w:rPr>
        <w:t>),</w:t>
      </w:r>
      <w:r w:rsidRPr="002D5649">
        <w:rPr>
          <w:color w:val="000000" w:themeColor="text1"/>
        </w:rPr>
        <w:t xml:space="preserve"> </w:t>
      </w:r>
      <w:r>
        <w:rPr>
          <w:color w:val="000000" w:themeColor="text1"/>
        </w:rPr>
        <w:t>(2)</w:t>
      </w:r>
      <w:r w:rsidRPr="002D5649">
        <w:rPr>
          <w:color w:val="000000" w:themeColor="text1"/>
        </w:rPr>
        <w:t xml:space="preserve"> Intraplate Median Signal Normalization</w:t>
      </w:r>
      <w:r>
        <w:rPr>
          <w:color w:val="000000" w:themeColor="text1"/>
        </w:rPr>
        <w:t xml:space="preserve"> (</w:t>
      </w:r>
      <w:r w:rsidRPr="002D5649">
        <w:rPr>
          <w:color w:val="000000" w:themeColor="text1"/>
        </w:rPr>
        <w:t>median normalization to remove inter-sample differences within the plate</w:t>
      </w:r>
      <w:r>
        <w:rPr>
          <w:color w:val="000000" w:themeColor="text1"/>
        </w:rPr>
        <w:t>),</w:t>
      </w:r>
      <w:r w:rsidRPr="002D5649">
        <w:rPr>
          <w:color w:val="000000" w:themeColor="text1"/>
        </w:rPr>
        <w:t xml:space="preserve"> </w:t>
      </w:r>
      <w:r>
        <w:rPr>
          <w:color w:val="000000" w:themeColor="text1"/>
        </w:rPr>
        <w:t>and (3)</w:t>
      </w:r>
      <w:r w:rsidRPr="002D5649">
        <w:rPr>
          <w:color w:val="000000" w:themeColor="text1"/>
        </w:rPr>
        <w:t xml:space="preserve"> Plate Scaling and Calibration </w:t>
      </w:r>
      <w:r>
        <w:rPr>
          <w:color w:val="000000" w:themeColor="text1"/>
        </w:rPr>
        <w:t>(</w:t>
      </w:r>
      <w:r w:rsidRPr="002D5649">
        <w:rPr>
          <w:color w:val="000000" w:themeColor="text1"/>
        </w:rPr>
        <w:t>to remove variance across assay runs</w:t>
      </w:r>
      <w:r>
        <w:rPr>
          <w:color w:val="000000" w:themeColor="text1"/>
        </w:rPr>
        <w:t>)</w:t>
      </w:r>
      <w:r w:rsidRPr="002D5649">
        <w:rPr>
          <w:color w:val="000000" w:themeColor="text1"/>
        </w:rPr>
        <w:t xml:space="preserve">. Samples with normalizing factors outside of the typical assay range were removed before analyses. Additionally, we performed Adaptive Normalization to External Reference using Maximum was performed. In this step, samples are normalized against a high-confidence </w:t>
      </w:r>
      <w:r w:rsidRPr="002D5649">
        <w:rPr>
          <w:color w:val="000000" w:themeColor="text1"/>
        </w:rPr>
        <w:lastRenderedPageBreak/>
        <w:t xml:space="preserve">pooled plasma sample from population-normal subjects using a maximum likelihood procedure. </w:t>
      </w:r>
      <w:r>
        <w:rPr>
          <w:color w:val="000000" w:themeColor="text1"/>
        </w:rPr>
        <w:t>We used GFAP.20216 with natural log-transformed in the analysis.</w:t>
      </w:r>
      <w:r>
        <w:rPr>
          <w:b/>
          <w:bCs/>
          <w:color w:val="000000" w:themeColor="text1"/>
        </w:rPr>
        <w:t xml:space="preserve"> </w:t>
      </w:r>
      <w:r>
        <w:rPr>
          <w:color w:val="000000" w:themeColor="text1"/>
        </w:rPr>
        <w:t>APOE4 gene status was processed using established NACC procedure (</w:t>
      </w:r>
      <w:hyperlink r:id="rId4" w:history="1">
        <w:r w:rsidRPr="008C27A2">
          <w:rPr>
            <w:rStyle w:val="Hyperlink"/>
          </w:rPr>
          <w:t>https://files.alz.washington.edu/documentation/rdd-genetic-data.pdf</w:t>
        </w:r>
      </w:hyperlink>
      <w:r>
        <w:rPr>
          <w:color w:val="000000" w:themeColor="text1"/>
        </w:rPr>
        <w:t xml:space="preserve">). </w:t>
      </w:r>
      <w:r>
        <w:rPr>
          <w:color w:val="000000" w:themeColor="text1"/>
          <w:bdr w:val="none" w:sz="0" w:space="0" w:color="auto" w:frame="1"/>
          <w:shd w:val="clear" w:color="auto" w:fill="FFFFFF"/>
        </w:rPr>
        <w:t>APOE4+ carriers were defined as those with</w:t>
      </w:r>
      <w:r w:rsidRPr="002D5649">
        <w:rPr>
          <w:color w:val="000000" w:themeColor="text1"/>
          <w:bdr w:val="none" w:sz="0" w:space="0" w:color="auto" w:frame="1"/>
          <w:shd w:val="clear" w:color="auto" w:fill="FFFFFF"/>
        </w:rPr>
        <w:t xml:space="preserve"> APOE</w:t>
      </w:r>
      <w:r>
        <w:rPr>
          <w:color w:val="000000" w:themeColor="text1"/>
          <w:bdr w:val="none" w:sz="0" w:space="0" w:color="auto" w:frame="1"/>
          <w:shd w:val="clear" w:color="auto" w:fill="FFFFFF"/>
        </w:rPr>
        <w:t xml:space="preserve"> single or double </w:t>
      </w:r>
      <m:oMath>
        <m:r>
          <w:rPr>
            <w:rFonts w:ascii="Cambria Math" w:hAnsi="Cambria Math"/>
            <w:color w:val="000000" w:themeColor="text1"/>
            <w:bdr w:val="none" w:sz="0" w:space="0" w:color="auto" w:frame="1"/>
            <w:shd w:val="clear" w:color="auto" w:fill="FFFFFF"/>
          </w:rPr>
          <m:t>ε</m:t>
        </m:r>
      </m:oMath>
      <w:r>
        <w:rPr>
          <w:color w:val="000000" w:themeColor="text1"/>
          <w:bdr w:val="none" w:sz="0" w:space="0" w:color="auto" w:frame="1"/>
          <w:shd w:val="clear" w:color="auto" w:fill="FFFFFF"/>
        </w:rPr>
        <w:t xml:space="preserve">4 </w:t>
      </w:r>
      <w:r w:rsidRPr="002D5649">
        <w:rPr>
          <w:color w:val="000000" w:themeColor="text1"/>
          <w:bdr w:val="none" w:sz="0" w:space="0" w:color="auto" w:frame="1"/>
          <w:shd w:val="clear" w:color="auto" w:fill="FFFFFF"/>
        </w:rPr>
        <w:t>gene</w:t>
      </w:r>
      <w:r>
        <w:rPr>
          <w:color w:val="000000" w:themeColor="text1"/>
          <w:bdr w:val="none" w:sz="0" w:space="0" w:color="auto" w:frame="1"/>
          <w:shd w:val="clear" w:color="auto" w:fill="FFFFFF"/>
        </w:rPr>
        <w:t xml:space="preserve">, and APOE4- defined as those without </w:t>
      </w:r>
      <w:r w:rsidRPr="002D5649">
        <w:rPr>
          <w:color w:val="000000" w:themeColor="text1"/>
          <w:bdr w:val="none" w:sz="0" w:space="0" w:color="auto" w:frame="1"/>
          <w:shd w:val="clear" w:color="auto" w:fill="FFFFFF"/>
        </w:rPr>
        <w:t xml:space="preserve"> APOE</w:t>
      </w:r>
      <w:r>
        <w:rPr>
          <w:color w:val="000000" w:themeColor="text1"/>
          <w:bdr w:val="none" w:sz="0" w:space="0" w:color="auto" w:frame="1"/>
          <w:shd w:val="clear" w:color="auto" w:fill="FFFFFF"/>
        </w:rPr>
        <w:t xml:space="preserve"> </w:t>
      </w:r>
      <m:oMath>
        <m:r>
          <w:rPr>
            <w:rFonts w:ascii="Cambria Math" w:hAnsi="Cambria Math"/>
            <w:color w:val="000000" w:themeColor="text1"/>
            <w:bdr w:val="none" w:sz="0" w:space="0" w:color="auto" w:frame="1"/>
            <w:shd w:val="clear" w:color="auto" w:fill="FFFFFF"/>
          </w:rPr>
          <m:t>ε</m:t>
        </m:r>
      </m:oMath>
      <w:r>
        <w:rPr>
          <w:color w:val="000000" w:themeColor="text1"/>
          <w:bdr w:val="none" w:sz="0" w:space="0" w:color="auto" w:frame="1"/>
          <w:shd w:val="clear" w:color="auto" w:fill="FFFFFF"/>
        </w:rPr>
        <w:t xml:space="preserve">4 </w:t>
      </w:r>
      <w:r w:rsidRPr="002D5649">
        <w:rPr>
          <w:color w:val="000000" w:themeColor="text1"/>
          <w:bdr w:val="none" w:sz="0" w:space="0" w:color="auto" w:frame="1"/>
          <w:shd w:val="clear" w:color="auto" w:fill="FFFFFF"/>
        </w:rPr>
        <w:t>gene</w:t>
      </w:r>
      <w:r>
        <w:rPr>
          <w:color w:val="000000" w:themeColor="text1"/>
        </w:rPr>
        <w:t>.</w:t>
      </w:r>
    </w:p>
    <w:p w14:paraId="0CCA44FF" w14:textId="77777777" w:rsidR="00502F16" w:rsidRPr="002D5649" w:rsidRDefault="00502F16" w:rsidP="00502F16">
      <w:pPr>
        <w:spacing w:line="276" w:lineRule="auto"/>
        <w:rPr>
          <w:color w:val="000000" w:themeColor="text1"/>
        </w:rPr>
      </w:pPr>
    </w:p>
    <w:p w14:paraId="46C5ADC6" w14:textId="77777777" w:rsidR="00502F16" w:rsidRPr="00E26406" w:rsidRDefault="00502F16" w:rsidP="00502F16">
      <w:pPr>
        <w:spacing w:line="276" w:lineRule="auto"/>
        <w:rPr>
          <w:b/>
          <w:bCs/>
          <w:color w:val="000000" w:themeColor="text1"/>
          <w:u w:val="single"/>
        </w:rPr>
      </w:pPr>
      <w:r w:rsidRPr="00E26406">
        <w:rPr>
          <w:b/>
          <w:bCs/>
          <w:color w:val="000000" w:themeColor="text1"/>
          <w:u w:val="single"/>
        </w:rPr>
        <w:t>Data analysis</w:t>
      </w:r>
    </w:p>
    <w:p w14:paraId="28A8552E" w14:textId="77777777" w:rsidR="00502F16" w:rsidRPr="00E26406" w:rsidRDefault="00502F16" w:rsidP="00502F16">
      <w:pPr>
        <w:spacing w:line="276" w:lineRule="auto"/>
        <w:rPr>
          <w:color w:val="000000" w:themeColor="text1"/>
          <w:bdr w:val="none" w:sz="0" w:space="0" w:color="auto" w:frame="1"/>
          <w:shd w:val="clear" w:color="auto" w:fill="FFFFFF"/>
        </w:rPr>
      </w:pPr>
      <w:r w:rsidRPr="00E26406">
        <w:rPr>
          <w:color w:val="000000" w:themeColor="text1"/>
          <w:bdr w:val="none" w:sz="0" w:space="0" w:color="auto" w:frame="1"/>
          <w:shd w:val="clear" w:color="auto" w:fill="FFFFFF"/>
        </w:rPr>
        <w:t>To compare group (</w:t>
      </w:r>
      <w:r>
        <w:rPr>
          <w:color w:val="000000" w:themeColor="text1"/>
          <w:bdr w:val="none" w:sz="0" w:space="0" w:color="auto" w:frame="1"/>
          <w:shd w:val="clear" w:color="auto" w:fill="FFFFFF"/>
        </w:rPr>
        <w:t>APOE4+ vs. -),</w:t>
      </w:r>
      <w:r w:rsidRPr="00E26406">
        <w:rPr>
          <w:color w:val="000000" w:themeColor="text1"/>
        </w:rPr>
        <w:t xml:space="preserve"> independent t-test with variance equivalence estimation was conducted for continuous variables, and </w:t>
      </w:r>
      <w:r w:rsidRPr="00E26406">
        <w:rPr>
          <w:color w:val="000000" w:themeColor="text1"/>
        </w:rPr>
        <w:sym w:font="Symbol" w:char="F063"/>
      </w:r>
      <w:r w:rsidRPr="00E26406">
        <w:rPr>
          <w:color w:val="000000" w:themeColor="text1"/>
          <w:vertAlign w:val="superscript"/>
        </w:rPr>
        <w:t>2</w:t>
      </w:r>
      <w:r w:rsidRPr="00E26406">
        <w:rPr>
          <w:color w:val="000000" w:themeColor="text1"/>
        </w:rPr>
        <w:t xml:space="preserve"> test</w:t>
      </w:r>
      <w:r>
        <w:rPr>
          <w:color w:val="000000" w:themeColor="text1"/>
        </w:rPr>
        <w:t xml:space="preserve"> was conducted</w:t>
      </w:r>
      <w:r w:rsidRPr="00E26406">
        <w:rPr>
          <w:color w:val="000000" w:themeColor="text1"/>
        </w:rPr>
        <w:t xml:space="preserve"> for categorical variables. To examine correlations between two variables, Pearson’s correlation was conducted. To evaluate the relationships between astrocyte</w:t>
      </w:r>
      <w:r>
        <w:rPr>
          <w:color w:val="000000" w:themeColor="text1"/>
        </w:rPr>
        <w:t xml:space="preserve"> level</w:t>
      </w:r>
      <w:r w:rsidRPr="00E26406">
        <w:rPr>
          <w:color w:val="000000" w:themeColor="text1"/>
        </w:rPr>
        <w:t xml:space="preserve">, </w:t>
      </w:r>
      <w:r>
        <w:rPr>
          <w:color w:val="000000" w:themeColor="text1"/>
        </w:rPr>
        <w:t>APOE4</w:t>
      </w:r>
      <w:r w:rsidRPr="00E26406">
        <w:rPr>
          <w:color w:val="000000" w:themeColor="text1"/>
        </w:rPr>
        <w:t xml:space="preserve">, </w:t>
      </w:r>
      <w:r>
        <w:rPr>
          <w:color w:val="000000" w:themeColor="text1"/>
        </w:rPr>
        <w:t xml:space="preserve">and </w:t>
      </w:r>
      <w:r w:rsidRPr="00E26406">
        <w:rPr>
          <w:color w:val="000000" w:themeColor="text1"/>
        </w:rPr>
        <w:t>network integrity, moderation analysis was conducted taking astrocyte</w:t>
      </w:r>
      <w:r>
        <w:rPr>
          <w:color w:val="000000" w:themeColor="text1"/>
        </w:rPr>
        <w:t xml:space="preserve"> level</w:t>
      </w:r>
      <w:r w:rsidRPr="00E26406">
        <w:rPr>
          <w:color w:val="000000" w:themeColor="text1"/>
        </w:rPr>
        <w:t xml:space="preserve">, </w:t>
      </w:r>
      <w:r>
        <w:rPr>
          <w:color w:val="000000" w:themeColor="text1"/>
        </w:rPr>
        <w:t>APOE4</w:t>
      </w:r>
      <w:r w:rsidRPr="00E26406">
        <w:rPr>
          <w:color w:val="000000" w:themeColor="text1"/>
        </w:rPr>
        <w:t>, and astrocyte</w:t>
      </w:r>
      <w:r>
        <w:rPr>
          <w:color w:val="000000" w:themeColor="text1"/>
        </w:rPr>
        <w:t xml:space="preserve"> level</w:t>
      </w:r>
      <m:oMath>
        <m:r>
          <w:rPr>
            <w:rFonts w:ascii="Cambria Math" w:hAnsi="Cambria Math"/>
            <w:color w:val="000000" w:themeColor="text1"/>
          </w:rPr>
          <m:t>×</m:t>
        </m:r>
      </m:oMath>
      <w:r>
        <w:rPr>
          <w:color w:val="000000" w:themeColor="text1"/>
        </w:rPr>
        <w:t>APOE4</w:t>
      </w:r>
      <w:r w:rsidRPr="00E26406">
        <w:rPr>
          <w:color w:val="000000" w:themeColor="text1"/>
        </w:rPr>
        <w:t xml:space="preserve"> as predictors and network integrity</w:t>
      </w:r>
      <w:r>
        <w:rPr>
          <w:color w:val="000000" w:themeColor="text1"/>
        </w:rPr>
        <w:t xml:space="preserve"> as outcome using the generalized linear model</w:t>
      </w:r>
      <w:r w:rsidRPr="00E26406">
        <w:rPr>
          <w:color w:val="000000" w:themeColor="text1"/>
        </w:rPr>
        <w:t xml:space="preserve">. </w:t>
      </w:r>
    </w:p>
    <w:p w14:paraId="08F69790" w14:textId="77777777" w:rsidR="00502F16" w:rsidRDefault="00502F16" w:rsidP="00502F16">
      <w:pPr>
        <w:rPr>
          <w:color w:val="000000" w:themeColor="text1"/>
          <w:shd w:val="clear" w:color="auto" w:fill="FFFFFF"/>
        </w:rPr>
      </w:pPr>
    </w:p>
    <w:p w14:paraId="772114B3" w14:textId="77777777" w:rsidR="00502F16" w:rsidRDefault="00502F16" w:rsidP="00502F16">
      <w:pPr>
        <w:rPr>
          <w:color w:val="000000" w:themeColor="text1"/>
          <w:shd w:val="clear" w:color="auto" w:fill="FFFFFF"/>
        </w:rPr>
      </w:pPr>
    </w:p>
    <w:tbl>
      <w:tblPr>
        <w:tblStyle w:val="TableGrid"/>
        <w:tblW w:w="10201" w:type="dxa"/>
        <w:tblInd w:w="-725" w:type="dxa"/>
        <w:tblLayout w:type="fixed"/>
        <w:tblLook w:val="04A0" w:firstRow="1" w:lastRow="0" w:firstColumn="1" w:lastColumn="0" w:noHBand="0" w:noVBand="1"/>
      </w:tblPr>
      <w:tblGrid>
        <w:gridCol w:w="2070"/>
        <w:gridCol w:w="1890"/>
        <w:gridCol w:w="1710"/>
        <w:gridCol w:w="1975"/>
        <w:gridCol w:w="2556"/>
      </w:tblGrid>
      <w:tr w:rsidR="00502F16" w:rsidRPr="00326BDB" w14:paraId="40883C2E" w14:textId="77777777" w:rsidTr="006D6368">
        <w:tc>
          <w:tcPr>
            <w:tcW w:w="10201" w:type="dxa"/>
            <w:gridSpan w:val="5"/>
          </w:tcPr>
          <w:p w14:paraId="4B24095E" w14:textId="77777777" w:rsidR="00502F16" w:rsidRPr="00326BDB" w:rsidRDefault="00502F16" w:rsidP="006D6368">
            <w:pPr>
              <w:rPr>
                <w:sz w:val="22"/>
                <w:szCs w:val="22"/>
              </w:rPr>
            </w:pPr>
            <w:r w:rsidRPr="00326BDB">
              <w:rPr>
                <w:sz w:val="22"/>
                <w:szCs w:val="22"/>
              </w:rPr>
              <w:t>Supplemental Table 1. S</w:t>
            </w:r>
            <w:r w:rsidRPr="00326BDB">
              <w:rPr>
                <w:rFonts w:hint="eastAsia"/>
                <w:sz w:val="22"/>
                <w:szCs w:val="22"/>
              </w:rPr>
              <w:t>tanford</w:t>
            </w:r>
            <w:r w:rsidRPr="00326BDB">
              <w:rPr>
                <w:sz w:val="22"/>
                <w:szCs w:val="22"/>
              </w:rPr>
              <w:t xml:space="preserve"> ADRC sample characteristics </w:t>
            </w:r>
          </w:p>
        </w:tc>
      </w:tr>
      <w:tr w:rsidR="00502F16" w:rsidRPr="00326BDB" w14:paraId="62C079FF" w14:textId="77777777" w:rsidTr="006D6368">
        <w:tc>
          <w:tcPr>
            <w:tcW w:w="2070" w:type="dxa"/>
          </w:tcPr>
          <w:p w14:paraId="4579932B" w14:textId="77777777" w:rsidR="00502F16" w:rsidRPr="00326BDB" w:rsidRDefault="00502F16" w:rsidP="006D6368">
            <w:pPr>
              <w:rPr>
                <w:sz w:val="22"/>
                <w:szCs w:val="22"/>
              </w:rPr>
            </w:pPr>
          </w:p>
        </w:tc>
        <w:tc>
          <w:tcPr>
            <w:tcW w:w="1890" w:type="dxa"/>
          </w:tcPr>
          <w:p w14:paraId="640FA605" w14:textId="77777777" w:rsidR="00502F16" w:rsidRPr="00326BDB" w:rsidRDefault="00502F16" w:rsidP="006D6368">
            <w:pPr>
              <w:rPr>
                <w:sz w:val="22"/>
                <w:szCs w:val="22"/>
              </w:rPr>
            </w:pPr>
            <w:r w:rsidRPr="00326BDB">
              <w:rPr>
                <w:sz w:val="22"/>
                <w:szCs w:val="22"/>
              </w:rPr>
              <w:t>Total sample</w:t>
            </w:r>
          </w:p>
          <w:p w14:paraId="47610002" w14:textId="77777777" w:rsidR="00502F16" w:rsidRPr="00326BDB" w:rsidRDefault="00502F16" w:rsidP="006D6368">
            <w:pPr>
              <w:rPr>
                <w:sz w:val="22"/>
                <w:szCs w:val="22"/>
              </w:rPr>
            </w:pPr>
            <w:r w:rsidRPr="00326BDB">
              <w:rPr>
                <w:sz w:val="22"/>
                <w:szCs w:val="22"/>
              </w:rPr>
              <w:t>(n= 89)</w:t>
            </w:r>
          </w:p>
        </w:tc>
        <w:tc>
          <w:tcPr>
            <w:tcW w:w="1710" w:type="dxa"/>
          </w:tcPr>
          <w:p w14:paraId="6F4A1FAB" w14:textId="77777777" w:rsidR="00502F16" w:rsidRPr="00326BDB" w:rsidRDefault="00502F16" w:rsidP="006D6368">
            <w:pPr>
              <w:rPr>
                <w:sz w:val="22"/>
                <w:szCs w:val="22"/>
              </w:rPr>
            </w:pPr>
            <w:r w:rsidRPr="00326BDB">
              <w:rPr>
                <w:sz w:val="22"/>
                <w:szCs w:val="22"/>
              </w:rPr>
              <w:t>APOE4+ sample</w:t>
            </w:r>
          </w:p>
          <w:p w14:paraId="09ADE640" w14:textId="77777777" w:rsidR="00502F16" w:rsidRPr="00326BDB" w:rsidRDefault="00502F16" w:rsidP="006D6368">
            <w:pPr>
              <w:rPr>
                <w:sz w:val="22"/>
                <w:szCs w:val="22"/>
              </w:rPr>
            </w:pPr>
            <w:r w:rsidRPr="00326BDB">
              <w:rPr>
                <w:sz w:val="22"/>
                <w:szCs w:val="22"/>
              </w:rPr>
              <w:t>(n= 22)</w:t>
            </w:r>
          </w:p>
        </w:tc>
        <w:tc>
          <w:tcPr>
            <w:tcW w:w="1975" w:type="dxa"/>
          </w:tcPr>
          <w:p w14:paraId="6F66D3EE" w14:textId="77777777" w:rsidR="00502F16" w:rsidRPr="00326BDB" w:rsidRDefault="00502F16" w:rsidP="006D6368">
            <w:pPr>
              <w:rPr>
                <w:sz w:val="22"/>
                <w:szCs w:val="22"/>
              </w:rPr>
            </w:pPr>
            <w:r w:rsidRPr="00326BDB">
              <w:rPr>
                <w:sz w:val="22"/>
                <w:szCs w:val="22"/>
              </w:rPr>
              <w:t>APOE4- sample</w:t>
            </w:r>
          </w:p>
          <w:p w14:paraId="56DD3185" w14:textId="77777777" w:rsidR="00502F16" w:rsidRPr="00326BDB" w:rsidRDefault="00502F16" w:rsidP="006D6368">
            <w:pPr>
              <w:rPr>
                <w:sz w:val="22"/>
                <w:szCs w:val="22"/>
              </w:rPr>
            </w:pPr>
            <w:r w:rsidRPr="00326BDB">
              <w:rPr>
                <w:sz w:val="22"/>
                <w:szCs w:val="22"/>
              </w:rPr>
              <w:t>(n= 67)</w:t>
            </w:r>
          </w:p>
        </w:tc>
        <w:tc>
          <w:tcPr>
            <w:tcW w:w="2556" w:type="dxa"/>
          </w:tcPr>
          <w:p w14:paraId="7EC1900F" w14:textId="77777777" w:rsidR="00502F16" w:rsidRPr="00326BDB" w:rsidRDefault="00502F16" w:rsidP="006D6368">
            <w:pPr>
              <w:rPr>
                <w:sz w:val="22"/>
                <w:szCs w:val="22"/>
              </w:rPr>
            </w:pPr>
            <w:r w:rsidRPr="00326BDB">
              <w:rPr>
                <w:sz w:val="22"/>
                <w:szCs w:val="22"/>
              </w:rPr>
              <w:t>Statistics for APOE4+ vs. - comparison</w:t>
            </w:r>
          </w:p>
        </w:tc>
      </w:tr>
      <w:tr w:rsidR="00502F16" w:rsidRPr="00326BDB" w14:paraId="2F5418D7" w14:textId="77777777" w:rsidTr="006D6368">
        <w:tc>
          <w:tcPr>
            <w:tcW w:w="2070" w:type="dxa"/>
          </w:tcPr>
          <w:p w14:paraId="0D1510DE" w14:textId="77777777" w:rsidR="00502F16" w:rsidRPr="00326BDB" w:rsidRDefault="00502F16" w:rsidP="006D6368">
            <w:pPr>
              <w:rPr>
                <w:sz w:val="22"/>
                <w:szCs w:val="22"/>
              </w:rPr>
            </w:pPr>
            <w:r w:rsidRPr="00326BDB">
              <w:rPr>
                <w:sz w:val="22"/>
                <w:szCs w:val="22"/>
              </w:rPr>
              <w:t>Age (years)</w:t>
            </w:r>
          </w:p>
        </w:tc>
        <w:tc>
          <w:tcPr>
            <w:tcW w:w="1890" w:type="dxa"/>
          </w:tcPr>
          <w:p w14:paraId="7C34D755" w14:textId="77777777" w:rsidR="00502F16" w:rsidRPr="00326BDB" w:rsidRDefault="00502F16" w:rsidP="006D6368">
            <w:pPr>
              <w:rPr>
                <w:sz w:val="22"/>
                <w:szCs w:val="22"/>
              </w:rPr>
            </w:pPr>
            <w:r w:rsidRPr="00326BDB">
              <w:rPr>
                <w:sz w:val="22"/>
                <w:szCs w:val="22"/>
              </w:rPr>
              <w:t>73.29+/- 6.53</w:t>
            </w:r>
          </w:p>
        </w:tc>
        <w:tc>
          <w:tcPr>
            <w:tcW w:w="1710" w:type="dxa"/>
          </w:tcPr>
          <w:p w14:paraId="1235CB0C" w14:textId="77777777" w:rsidR="00502F16" w:rsidRPr="00326BDB" w:rsidRDefault="00502F16" w:rsidP="006D6368">
            <w:pPr>
              <w:rPr>
                <w:sz w:val="22"/>
                <w:szCs w:val="22"/>
              </w:rPr>
            </w:pPr>
            <w:r w:rsidRPr="00326BDB">
              <w:rPr>
                <w:sz w:val="22"/>
                <w:szCs w:val="22"/>
              </w:rPr>
              <w:t>70.91+/- 6.09</w:t>
            </w:r>
          </w:p>
        </w:tc>
        <w:tc>
          <w:tcPr>
            <w:tcW w:w="1975" w:type="dxa"/>
          </w:tcPr>
          <w:p w14:paraId="34BB45E1" w14:textId="77777777" w:rsidR="00502F16" w:rsidRPr="00326BDB" w:rsidRDefault="00502F16" w:rsidP="006D6368">
            <w:pPr>
              <w:rPr>
                <w:sz w:val="22"/>
                <w:szCs w:val="22"/>
              </w:rPr>
            </w:pPr>
            <w:r w:rsidRPr="00326BDB">
              <w:rPr>
                <w:sz w:val="22"/>
                <w:szCs w:val="22"/>
              </w:rPr>
              <w:t>74.07+/- 6.52</w:t>
            </w:r>
          </w:p>
        </w:tc>
        <w:tc>
          <w:tcPr>
            <w:tcW w:w="2556" w:type="dxa"/>
          </w:tcPr>
          <w:p w14:paraId="0F749D43" w14:textId="77777777" w:rsidR="00502F16" w:rsidRPr="00326BDB" w:rsidRDefault="00502F16" w:rsidP="006D6368">
            <w:pPr>
              <w:rPr>
                <w:sz w:val="22"/>
                <w:szCs w:val="22"/>
              </w:rPr>
            </w:pPr>
            <w:r w:rsidRPr="00326BDB">
              <w:rPr>
                <w:sz w:val="22"/>
                <w:szCs w:val="22"/>
              </w:rPr>
              <w:t>t(87) = -2.01 (p= .048)</w:t>
            </w:r>
          </w:p>
          <w:p w14:paraId="07C1C2A0" w14:textId="77777777" w:rsidR="00502F16" w:rsidRPr="00326BDB" w:rsidRDefault="00502F16" w:rsidP="006D6368">
            <w:pPr>
              <w:rPr>
                <w:sz w:val="22"/>
                <w:szCs w:val="22"/>
              </w:rPr>
            </w:pPr>
          </w:p>
        </w:tc>
      </w:tr>
      <w:tr w:rsidR="00502F16" w:rsidRPr="00326BDB" w14:paraId="3F4227DB" w14:textId="77777777" w:rsidTr="006D6368">
        <w:tc>
          <w:tcPr>
            <w:tcW w:w="2070" w:type="dxa"/>
          </w:tcPr>
          <w:p w14:paraId="4849CA18" w14:textId="77777777" w:rsidR="00502F16" w:rsidRPr="00326BDB" w:rsidRDefault="00502F16" w:rsidP="006D6368">
            <w:pPr>
              <w:rPr>
                <w:sz w:val="22"/>
                <w:szCs w:val="22"/>
              </w:rPr>
            </w:pPr>
            <w:r w:rsidRPr="00326BDB">
              <w:rPr>
                <w:sz w:val="22"/>
                <w:szCs w:val="22"/>
              </w:rPr>
              <w:t>Sex (n of men, %)</w:t>
            </w:r>
          </w:p>
        </w:tc>
        <w:tc>
          <w:tcPr>
            <w:tcW w:w="1890" w:type="dxa"/>
          </w:tcPr>
          <w:p w14:paraId="51DADA54" w14:textId="77777777" w:rsidR="00502F16" w:rsidRPr="00326BDB" w:rsidRDefault="00502F16" w:rsidP="006D6368">
            <w:pPr>
              <w:rPr>
                <w:sz w:val="22"/>
                <w:szCs w:val="22"/>
              </w:rPr>
            </w:pPr>
            <w:r w:rsidRPr="00326BDB">
              <w:rPr>
                <w:sz w:val="22"/>
                <w:szCs w:val="22"/>
              </w:rPr>
              <w:t>39 (43.8%)</w:t>
            </w:r>
          </w:p>
        </w:tc>
        <w:tc>
          <w:tcPr>
            <w:tcW w:w="1710" w:type="dxa"/>
          </w:tcPr>
          <w:p w14:paraId="53F699A9" w14:textId="77777777" w:rsidR="00502F16" w:rsidRPr="00326BDB" w:rsidRDefault="00502F16" w:rsidP="006D6368">
            <w:pPr>
              <w:rPr>
                <w:sz w:val="22"/>
                <w:szCs w:val="22"/>
              </w:rPr>
            </w:pPr>
            <w:r w:rsidRPr="00326BDB">
              <w:rPr>
                <w:sz w:val="22"/>
                <w:szCs w:val="22"/>
              </w:rPr>
              <w:t>10 (45.5%)</w:t>
            </w:r>
          </w:p>
        </w:tc>
        <w:tc>
          <w:tcPr>
            <w:tcW w:w="1975" w:type="dxa"/>
          </w:tcPr>
          <w:p w14:paraId="3671DDBC" w14:textId="77777777" w:rsidR="00502F16" w:rsidRPr="00326BDB" w:rsidRDefault="00502F16" w:rsidP="006D6368">
            <w:pPr>
              <w:rPr>
                <w:sz w:val="22"/>
                <w:szCs w:val="22"/>
              </w:rPr>
            </w:pPr>
            <w:r w:rsidRPr="00326BDB">
              <w:rPr>
                <w:sz w:val="22"/>
                <w:szCs w:val="22"/>
              </w:rPr>
              <w:t>29 (43.3%)</w:t>
            </w:r>
          </w:p>
        </w:tc>
        <w:tc>
          <w:tcPr>
            <w:tcW w:w="2556" w:type="dxa"/>
          </w:tcPr>
          <w:p w14:paraId="49543A02" w14:textId="77777777" w:rsidR="00502F16" w:rsidRPr="00326BDB" w:rsidRDefault="00502F16" w:rsidP="006D6368">
            <w:pPr>
              <w:rPr>
                <w:sz w:val="22"/>
                <w:szCs w:val="22"/>
              </w:rPr>
            </w:pPr>
            <w:r w:rsidRPr="00326BDB">
              <w:rPr>
                <w:sz w:val="22"/>
                <w:szCs w:val="22"/>
              </w:rPr>
              <w:t>χ</w:t>
            </w:r>
            <w:r w:rsidRPr="00326BDB">
              <w:rPr>
                <w:sz w:val="22"/>
                <w:szCs w:val="22"/>
                <w:vertAlign w:val="superscript"/>
              </w:rPr>
              <w:t>2</w:t>
            </w:r>
            <w:r w:rsidRPr="00326BDB">
              <w:rPr>
                <w:sz w:val="22"/>
                <w:szCs w:val="22"/>
              </w:rPr>
              <w:t>(1) = 0.03 (p = .86)</w:t>
            </w:r>
          </w:p>
        </w:tc>
      </w:tr>
      <w:tr w:rsidR="00502F16" w:rsidRPr="00326BDB" w14:paraId="5F81FBF6" w14:textId="77777777" w:rsidTr="006D6368">
        <w:tc>
          <w:tcPr>
            <w:tcW w:w="2070" w:type="dxa"/>
          </w:tcPr>
          <w:p w14:paraId="67FFE12F" w14:textId="77777777" w:rsidR="00502F16" w:rsidRPr="00326BDB" w:rsidRDefault="00502F16" w:rsidP="006D6368">
            <w:pPr>
              <w:rPr>
                <w:sz w:val="22"/>
                <w:szCs w:val="22"/>
              </w:rPr>
            </w:pPr>
            <w:r w:rsidRPr="00326BDB">
              <w:rPr>
                <w:sz w:val="22"/>
                <w:szCs w:val="22"/>
              </w:rPr>
              <w:t>Education (years)</w:t>
            </w:r>
          </w:p>
        </w:tc>
        <w:tc>
          <w:tcPr>
            <w:tcW w:w="1890" w:type="dxa"/>
          </w:tcPr>
          <w:p w14:paraId="5E6EC61A" w14:textId="77777777" w:rsidR="00502F16" w:rsidRPr="00326BDB" w:rsidRDefault="00502F16" w:rsidP="006D6368">
            <w:pPr>
              <w:rPr>
                <w:sz w:val="22"/>
                <w:szCs w:val="22"/>
              </w:rPr>
            </w:pPr>
            <w:r w:rsidRPr="00326BDB">
              <w:rPr>
                <w:sz w:val="22"/>
                <w:szCs w:val="22"/>
              </w:rPr>
              <w:t>16.29+/- 2.18</w:t>
            </w:r>
          </w:p>
        </w:tc>
        <w:tc>
          <w:tcPr>
            <w:tcW w:w="1710" w:type="dxa"/>
          </w:tcPr>
          <w:p w14:paraId="5AB2C137" w14:textId="77777777" w:rsidR="00502F16" w:rsidRPr="00326BDB" w:rsidRDefault="00502F16" w:rsidP="006D6368">
            <w:pPr>
              <w:rPr>
                <w:sz w:val="22"/>
                <w:szCs w:val="22"/>
              </w:rPr>
            </w:pPr>
            <w:r w:rsidRPr="00326BDB">
              <w:rPr>
                <w:sz w:val="22"/>
                <w:szCs w:val="22"/>
              </w:rPr>
              <w:t>15.73+/- 1.93</w:t>
            </w:r>
          </w:p>
        </w:tc>
        <w:tc>
          <w:tcPr>
            <w:tcW w:w="1975" w:type="dxa"/>
          </w:tcPr>
          <w:p w14:paraId="16AB38CB" w14:textId="77777777" w:rsidR="00502F16" w:rsidRPr="00326BDB" w:rsidRDefault="00502F16" w:rsidP="006D6368">
            <w:pPr>
              <w:rPr>
                <w:sz w:val="22"/>
                <w:szCs w:val="22"/>
              </w:rPr>
            </w:pPr>
            <w:r w:rsidRPr="00326BDB">
              <w:rPr>
                <w:sz w:val="22"/>
                <w:szCs w:val="22"/>
              </w:rPr>
              <w:t>16.48+/- 2.24</w:t>
            </w:r>
          </w:p>
        </w:tc>
        <w:tc>
          <w:tcPr>
            <w:tcW w:w="2556" w:type="dxa"/>
          </w:tcPr>
          <w:p w14:paraId="41AE871B" w14:textId="77777777" w:rsidR="00502F16" w:rsidRPr="00326BDB" w:rsidRDefault="00502F16" w:rsidP="006D6368">
            <w:pPr>
              <w:rPr>
                <w:sz w:val="22"/>
                <w:szCs w:val="22"/>
              </w:rPr>
            </w:pPr>
            <w:r w:rsidRPr="00326BDB">
              <w:rPr>
                <w:sz w:val="22"/>
                <w:szCs w:val="22"/>
              </w:rPr>
              <w:t>t(87) = -1.41 (p= .16)</w:t>
            </w:r>
          </w:p>
        </w:tc>
      </w:tr>
      <w:tr w:rsidR="00502F16" w:rsidRPr="00326BDB" w14:paraId="7A85BFC7" w14:textId="77777777" w:rsidTr="006D6368">
        <w:tc>
          <w:tcPr>
            <w:tcW w:w="2070" w:type="dxa"/>
          </w:tcPr>
          <w:p w14:paraId="18ABEE73" w14:textId="77777777" w:rsidR="00502F16" w:rsidRPr="00326BDB" w:rsidRDefault="00502F16" w:rsidP="006D6368">
            <w:pPr>
              <w:rPr>
                <w:color w:val="000000" w:themeColor="text1"/>
                <w:sz w:val="22"/>
                <w:szCs w:val="22"/>
              </w:rPr>
            </w:pPr>
            <w:r w:rsidRPr="00326BDB">
              <w:rPr>
                <w:color w:val="000000" w:themeColor="text1"/>
                <w:sz w:val="22"/>
                <w:szCs w:val="22"/>
              </w:rPr>
              <w:t>MCI (n, %)</w:t>
            </w:r>
          </w:p>
        </w:tc>
        <w:tc>
          <w:tcPr>
            <w:tcW w:w="1890" w:type="dxa"/>
          </w:tcPr>
          <w:p w14:paraId="16E782B4" w14:textId="77777777" w:rsidR="00502F16" w:rsidRPr="00326BDB" w:rsidRDefault="00502F16" w:rsidP="006D6368">
            <w:pPr>
              <w:rPr>
                <w:color w:val="000000" w:themeColor="text1"/>
                <w:sz w:val="22"/>
                <w:szCs w:val="22"/>
              </w:rPr>
            </w:pPr>
            <w:r w:rsidRPr="00326BDB">
              <w:rPr>
                <w:color w:val="000000" w:themeColor="text1"/>
                <w:sz w:val="22"/>
                <w:szCs w:val="22"/>
              </w:rPr>
              <w:t>14 (15.7%)</w:t>
            </w:r>
          </w:p>
        </w:tc>
        <w:tc>
          <w:tcPr>
            <w:tcW w:w="1710" w:type="dxa"/>
          </w:tcPr>
          <w:p w14:paraId="4A8DED76" w14:textId="77777777" w:rsidR="00502F16" w:rsidRPr="00326BDB" w:rsidRDefault="00502F16" w:rsidP="006D6368">
            <w:pPr>
              <w:rPr>
                <w:color w:val="000000" w:themeColor="text1"/>
                <w:sz w:val="22"/>
                <w:szCs w:val="22"/>
              </w:rPr>
            </w:pPr>
            <w:r w:rsidRPr="00326BDB">
              <w:rPr>
                <w:color w:val="000000" w:themeColor="text1"/>
                <w:sz w:val="22"/>
                <w:szCs w:val="22"/>
              </w:rPr>
              <w:t>7 (31.8%)</w:t>
            </w:r>
          </w:p>
        </w:tc>
        <w:tc>
          <w:tcPr>
            <w:tcW w:w="1975" w:type="dxa"/>
          </w:tcPr>
          <w:p w14:paraId="41DB98F1" w14:textId="77777777" w:rsidR="00502F16" w:rsidRPr="00326BDB" w:rsidRDefault="00502F16" w:rsidP="006D6368">
            <w:pPr>
              <w:rPr>
                <w:color w:val="000000" w:themeColor="text1"/>
                <w:sz w:val="22"/>
                <w:szCs w:val="22"/>
              </w:rPr>
            </w:pPr>
            <w:r w:rsidRPr="00326BDB">
              <w:rPr>
                <w:color w:val="000000" w:themeColor="text1"/>
                <w:sz w:val="22"/>
                <w:szCs w:val="22"/>
              </w:rPr>
              <w:t>7 (10.4%)</w:t>
            </w:r>
          </w:p>
        </w:tc>
        <w:tc>
          <w:tcPr>
            <w:tcW w:w="2556" w:type="dxa"/>
          </w:tcPr>
          <w:p w14:paraId="20871D8F" w14:textId="77777777" w:rsidR="00502F16" w:rsidRPr="00326BDB" w:rsidRDefault="00502F16" w:rsidP="006D6368">
            <w:pPr>
              <w:rPr>
                <w:color w:val="000000" w:themeColor="text1"/>
                <w:sz w:val="22"/>
                <w:szCs w:val="22"/>
              </w:rPr>
            </w:pPr>
            <w:r w:rsidRPr="00326BDB">
              <w:rPr>
                <w:color w:val="000000" w:themeColor="text1"/>
                <w:sz w:val="22"/>
                <w:szCs w:val="22"/>
              </w:rPr>
              <w:t>χ</w:t>
            </w:r>
            <w:r w:rsidRPr="00326BDB">
              <w:rPr>
                <w:color w:val="000000" w:themeColor="text1"/>
                <w:sz w:val="22"/>
                <w:szCs w:val="22"/>
                <w:vertAlign w:val="superscript"/>
              </w:rPr>
              <w:t>2</w:t>
            </w:r>
            <w:r w:rsidRPr="00326BDB">
              <w:rPr>
                <w:color w:val="000000" w:themeColor="text1"/>
                <w:sz w:val="22"/>
                <w:szCs w:val="22"/>
              </w:rPr>
              <w:t>(1) = 5.71 (p = .017)</w:t>
            </w:r>
          </w:p>
        </w:tc>
      </w:tr>
      <w:tr w:rsidR="00502F16" w:rsidRPr="00326BDB" w14:paraId="3401508F" w14:textId="77777777" w:rsidTr="006D6368">
        <w:tc>
          <w:tcPr>
            <w:tcW w:w="2070" w:type="dxa"/>
          </w:tcPr>
          <w:p w14:paraId="781B2469" w14:textId="77777777" w:rsidR="00502F16" w:rsidRPr="00326BDB" w:rsidRDefault="00502F16" w:rsidP="006D6368">
            <w:pPr>
              <w:rPr>
                <w:color w:val="000000" w:themeColor="text1"/>
                <w:sz w:val="22"/>
                <w:szCs w:val="22"/>
              </w:rPr>
            </w:pPr>
            <w:r w:rsidRPr="00326BDB">
              <w:rPr>
                <w:sz w:val="22"/>
                <w:szCs w:val="22"/>
              </w:rPr>
              <w:t>MTL-AT-PM network MD</w:t>
            </w:r>
          </w:p>
        </w:tc>
        <w:tc>
          <w:tcPr>
            <w:tcW w:w="1890" w:type="dxa"/>
          </w:tcPr>
          <w:p w14:paraId="4450B85F" w14:textId="77777777" w:rsidR="00502F16" w:rsidRPr="00326BDB" w:rsidRDefault="00502F16" w:rsidP="006D6368">
            <w:pPr>
              <w:rPr>
                <w:color w:val="000000" w:themeColor="text1"/>
                <w:sz w:val="22"/>
                <w:szCs w:val="22"/>
              </w:rPr>
            </w:pPr>
            <w:r w:rsidRPr="00326BDB">
              <w:rPr>
                <w:sz w:val="22"/>
                <w:szCs w:val="22"/>
              </w:rPr>
              <w:t>3.08</w:t>
            </w:r>
            <w:r w:rsidRPr="00326BDB">
              <w:rPr>
                <w:rFonts w:ascii="Cambria Math" w:hAnsi="Cambria Math" w:cs="Cambria Math"/>
                <w:sz w:val="22"/>
                <w:szCs w:val="22"/>
              </w:rPr>
              <w:t>⋅</w:t>
            </w:r>
            <w:r w:rsidRPr="00326BDB">
              <w:rPr>
                <w:sz w:val="22"/>
                <w:szCs w:val="22"/>
              </w:rPr>
              <w:t>10</w:t>
            </w:r>
            <w:r w:rsidRPr="00326BDB">
              <w:rPr>
                <w:sz w:val="22"/>
                <w:szCs w:val="22"/>
                <w:vertAlign w:val="superscript"/>
              </w:rPr>
              <w:t>−4</w:t>
            </w:r>
            <w:r w:rsidRPr="00326BDB">
              <w:rPr>
                <w:sz w:val="22"/>
                <w:szCs w:val="22"/>
              </w:rPr>
              <w:t>+/- 6.21</w:t>
            </w:r>
            <w:r w:rsidRPr="00326BDB">
              <w:rPr>
                <w:rFonts w:ascii="Cambria Math" w:hAnsi="Cambria Math" w:cs="Cambria Math"/>
                <w:sz w:val="22"/>
                <w:szCs w:val="22"/>
              </w:rPr>
              <w:t>⋅</w:t>
            </w:r>
            <w:r w:rsidRPr="00326BDB">
              <w:rPr>
                <w:sz w:val="22"/>
                <w:szCs w:val="22"/>
              </w:rPr>
              <w:t>10</w:t>
            </w:r>
            <w:r w:rsidRPr="00326BDB">
              <w:rPr>
                <w:sz w:val="22"/>
                <w:szCs w:val="22"/>
                <w:vertAlign w:val="superscript"/>
              </w:rPr>
              <w:t>−5</w:t>
            </w:r>
          </w:p>
        </w:tc>
        <w:tc>
          <w:tcPr>
            <w:tcW w:w="1710" w:type="dxa"/>
          </w:tcPr>
          <w:p w14:paraId="67BDE176" w14:textId="77777777" w:rsidR="00502F16" w:rsidRPr="00326BDB" w:rsidRDefault="00502F16" w:rsidP="006D6368">
            <w:pPr>
              <w:rPr>
                <w:color w:val="000000" w:themeColor="text1"/>
                <w:sz w:val="22"/>
                <w:szCs w:val="22"/>
              </w:rPr>
            </w:pPr>
            <w:r w:rsidRPr="00326BDB">
              <w:rPr>
                <w:sz w:val="22"/>
                <w:szCs w:val="22"/>
              </w:rPr>
              <w:t>3.14</w:t>
            </w:r>
            <w:r w:rsidRPr="00326BDB">
              <w:rPr>
                <w:rFonts w:ascii="Cambria Math" w:hAnsi="Cambria Math" w:cs="Cambria Math"/>
                <w:sz w:val="22"/>
                <w:szCs w:val="22"/>
              </w:rPr>
              <w:t>⋅</w:t>
            </w:r>
            <w:r w:rsidRPr="00326BDB">
              <w:rPr>
                <w:sz w:val="22"/>
                <w:szCs w:val="22"/>
              </w:rPr>
              <w:t>10</w:t>
            </w:r>
            <w:r w:rsidRPr="00326BDB">
              <w:rPr>
                <w:sz w:val="22"/>
                <w:szCs w:val="22"/>
                <w:vertAlign w:val="superscript"/>
              </w:rPr>
              <w:t>−4</w:t>
            </w:r>
            <w:r w:rsidRPr="00326BDB">
              <w:rPr>
                <w:sz w:val="22"/>
                <w:szCs w:val="22"/>
              </w:rPr>
              <w:t>+/- 5.55</w:t>
            </w:r>
            <w:r w:rsidRPr="00326BDB">
              <w:rPr>
                <w:rFonts w:ascii="Cambria Math" w:hAnsi="Cambria Math" w:cs="Cambria Math"/>
                <w:sz w:val="22"/>
                <w:szCs w:val="22"/>
              </w:rPr>
              <w:t>⋅</w:t>
            </w:r>
            <w:r w:rsidRPr="00326BDB">
              <w:rPr>
                <w:sz w:val="22"/>
                <w:szCs w:val="22"/>
              </w:rPr>
              <w:t>10</w:t>
            </w:r>
            <w:r w:rsidRPr="00326BDB">
              <w:rPr>
                <w:sz w:val="22"/>
                <w:szCs w:val="22"/>
                <w:vertAlign w:val="superscript"/>
              </w:rPr>
              <w:t>−5</w:t>
            </w:r>
          </w:p>
        </w:tc>
        <w:tc>
          <w:tcPr>
            <w:tcW w:w="1975" w:type="dxa"/>
          </w:tcPr>
          <w:p w14:paraId="7A7F5A9C" w14:textId="77777777" w:rsidR="00502F16" w:rsidRPr="00326BDB" w:rsidRDefault="00502F16" w:rsidP="006D6368">
            <w:pPr>
              <w:rPr>
                <w:color w:val="000000" w:themeColor="text1"/>
                <w:sz w:val="22"/>
                <w:szCs w:val="22"/>
              </w:rPr>
            </w:pPr>
            <w:r w:rsidRPr="00326BDB">
              <w:rPr>
                <w:sz w:val="22"/>
                <w:szCs w:val="22"/>
              </w:rPr>
              <w:t>3.06</w:t>
            </w:r>
            <w:r w:rsidRPr="00326BDB">
              <w:rPr>
                <w:rFonts w:ascii="Cambria Math" w:hAnsi="Cambria Math" w:cs="Cambria Math"/>
                <w:sz w:val="22"/>
                <w:szCs w:val="22"/>
              </w:rPr>
              <w:t>⋅</w:t>
            </w:r>
            <w:r w:rsidRPr="00326BDB">
              <w:rPr>
                <w:sz w:val="22"/>
                <w:szCs w:val="22"/>
              </w:rPr>
              <w:t>10</w:t>
            </w:r>
            <w:r w:rsidRPr="00326BDB">
              <w:rPr>
                <w:sz w:val="22"/>
                <w:szCs w:val="22"/>
                <w:vertAlign w:val="superscript"/>
              </w:rPr>
              <w:t>−4</w:t>
            </w:r>
            <w:r w:rsidRPr="00326BDB">
              <w:rPr>
                <w:sz w:val="22"/>
                <w:szCs w:val="22"/>
              </w:rPr>
              <w:t>+/- 6.44</w:t>
            </w:r>
            <w:r w:rsidRPr="00326BDB">
              <w:rPr>
                <w:rFonts w:ascii="Cambria Math" w:hAnsi="Cambria Math" w:cs="Cambria Math"/>
                <w:sz w:val="22"/>
                <w:szCs w:val="22"/>
              </w:rPr>
              <w:t>⋅</w:t>
            </w:r>
            <w:r w:rsidRPr="00326BDB">
              <w:rPr>
                <w:sz w:val="22"/>
                <w:szCs w:val="22"/>
              </w:rPr>
              <w:t>10</w:t>
            </w:r>
            <w:r w:rsidRPr="00326BDB">
              <w:rPr>
                <w:sz w:val="22"/>
                <w:szCs w:val="22"/>
                <w:vertAlign w:val="superscript"/>
              </w:rPr>
              <w:t>−5</w:t>
            </w:r>
          </w:p>
        </w:tc>
        <w:tc>
          <w:tcPr>
            <w:tcW w:w="2556" w:type="dxa"/>
          </w:tcPr>
          <w:p w14:paraId="02C3FE59" w14:textId="77777777" w:rsidR="00502F16" w:rsidRPr="00326BDB" w:rsidRDefault="00502F16" w:rsidP="006D6368">
            <w:pPr>
              <w:rPr>
                <w:color w:val="000000" w:themeColor="text1"/>
                <w:sz w:val="22"/>
                <w:szCs w:val="22"/>
              </w:rPr>
            </w:pPr>
            <w:r w:rsidRPr="00326BDB">
              <w:rPr>
                <w:sz w:val="22"/>
                <w:szCs w:val="22"/>
              </w:rPr>
              <w:t>t(87) = 0.52 (p= .60)</w:t>
            </w:r>
          </w:p>
        </w:tc>
      </w:tr>
      <w:tr w:rsidR="00502F16" w:rsidRPr="00326BDB" w14:paraId="7D08D6BF" w14:textId="77777777" w:rsidTr="006D6368">
        <w:tc>
          <w:tcPr>
            <w:tcW w:w="2070" w:type="dxa"/>
          </w:tcPr>
          <w:p w14:paraId="317C4895" w14:textId="77777777" w:rsidR="00502F16" w:rsidRPr="00326BDB" w:rsidRDefault="00502F16" w:rsidP="006D6368">
            <w:pPr>
              <w:ind w:left="160"/>
              <w:rPr>
                <w:sz w:val="22"/>
                <w:szCs w:val="22"/>
              </w:rPr>
            </w:pPr>
            <w:r w:rsidRPr="00326BDB">
              <w:rPr>
                <w:sz w:val="22"/>
                <w:szCs w:val="22"/>
              </w:rPr>
              <w:t xml:space="preserve">PM network MD </w:t>
            </w:r>
          </w:p>
        </w:tc>
        <w:tc>
          <w:tcPr>
            <w:tcW w:w="1890" w:type="dxa"/>
          </w:tcPr>
          <w:p w14:paraId="07F94351" w14:textId="77777777" w:rsidR="00502F16" w:rsidRPr="00326BDB" w:rsidRDefault="00502F16" w:rsidP="006D6368">
            <w:pPr>
              <w:rPr>
                <w:sz w:val="22"/>
                <w:szCs w:val="22"/>
              </w:rPr>
            </w:pPr>
            <w:r w:rsidRPr="00326BDB">
              <w:rPr>
                <w:sz w:val="22"/>
                <w:szCs w:val="22"/>
              </w:rPr>
              <w:t>3.54</w:t>
            </w:r>
            <w:r w:rsidRPr="00326BDB">
              <w:rPr>
                <w:rFonts w:ascii="Cambria Math" w:hAnsi="Cambria Math" w:cs="Cambria Math"/>
                <w:sz w:val="22"/>
                <w:szCs w:val="22"/>
              </w:rPr>
              <w:t>⋅</w:t>
            </w:r>
            <w:r w:rsidRPr="00326BDB">
              <w:rPr>
                <w:sz w:val="22"/>
                <w:szCs w:val="22"/>
              </w:rPr>
              <w:t>10</w:t>
            </w:r>
            <w:r w:rsidRPr="00326BDB">
              <w:rPr>
                <w:sz w:val="22"/>
                <w:szCs w:val="22"/>
                <w:vertAlign w:val="superscript"/>
              </w:rPr>
              <w:t>−4</w:t>
            </w:r>
            <w:r w:rsidRPr="00326BDB">
              <w:rPr>
                <w:sz w:val="22"/>
                <w:szCs w:val="22"/>
              </w:rPr>
              <w:t>+/- 7.06</w:t>
            </w:r>
            <w:r w:rsidRPr="00326BDB">
              <w:rPr>
                <w:rFonts w:ascii="Cambria Math" w:hAnsi="Cambria Math" w:cs="Cambria Math"/>
                <w:sz w:val="22"/>
                <w:szCs w:val="22"/>
              </w:rPr>
              <w:t>⋅</w:t>
            </w:r>
            <w:r w:rsidRPr="00326BDB">
              <w:rPr>
                <w:sz w:val="22"/>
                <w:szCs w:val="22"/>
              </w:rPr>
              <w:t>10</w:t>
            </w:r>
            <w:r w:rsidRPr="00326BDB">
              <w:rPr>
                <w:sz w:val="22"/>
                <w:szCs w:val="22"/>
                <w:vertAlign w:val="superscript"/>
              </w:rPr>
              <w:t>−5</w:t>
            </w:r>
          </w:p>
        </w:tc>
        <w:tc>
          <w:tcPr>
            <w:tcW w:w="1710" w:type="dxa"/>
          </w:tcPr>
          <w:p w14:paraId="00981CF9" w14:textId="77777777" w:rsidR="00502F16" w:rsidRPr="00326BDB" w:rsidRDefault="00502F16" w:rsidP="006D6368">
            <w:pPr>
              <w:rPr>
                <w:sz w:val="22"/>
                <w:szCs w:val="22"/>
              </w:rPr>
            </w:pPr>
            <w:r w:rsidRPr="00326BDB">
              <w:rPr>
                <w:sz w:val="22"/>
                <w:szCs w:val="22"/>
              </w:rPr>
              <w:t>3.61</w:t>
            </w:r>
            <w:r w:rsidRPr="00326BDB">
              <w:rPr>
                <w:rFonts w:ascii="Cambria Math" w:hAnsi="Cambria Math" w:cs="Cambria Math"/>
                <w:sz w:val="22"/>
                <w:szCs w:val="22"/>
              </w:rPr>
              <w:t>⋅</w:t>
            </w:r>
            <w:r w:rsidRPr="00326BDB">
              <w:rPr>
                <w:sz w:val="22"/>
                <w:szCs w:val="22"/>
              </w:rPr>
              <w:t>10</w:t>
            </w:r>
            <w:r w:rsidRPr="00326BDB">
              <w:rPr>
                <w:sz w:val="22"/>
                <w:szCs w:val="22"/>
                <w:vertAlign w:val="superscript"/>
              </w:rPr>
              <w:t>−4</w:t>
            </w:r>
            <w:r w:rsidRPr="00326BDB">
              <w:rPr>
                <w:sz w:val="22"/>
                <w:szCs w:val="22"/>
              </w:rPr>
              <w:t>+/- 4.51</w:t>
            </w:r>
            <w:r w:rsidRPr="00326BDB">
              <w:rPr>
                <w:rFonts w:ascii="Cambria Math" w:hAnsi="Cambria Math" w:cs="Cambria Math"/>
                <w:sz w:val="22"/>
                <w:szCs w:val="22"/>
              </w:rPr>
              <w:t>⋅</w:t>
            </w:r>
            <w:r w:rsidRPr="00326BDB">
              <w:rPr>
                <w:sz w:val="22"/>
                <w:szCs w:val="22"/>
              </w:rPr>
              <w:t>10</w:t>
            </w:r>
            <w:r w:rsidRPr="00326BDB">
              <w:rPr>
                <w:sz w:val="22"/>
                <w:szCs w:val="22"/>
                <w:vertAlign w:val="superscript"/>
              </w:rPr>
              <w:t>−5</w:t>
            </w:r>
          </w:p>
        </w:tc>
        <w:tc>
          <w:tcPr>
            <w:tcW w:w="1975" w:type="dxa"/>
          </w:tcPr>
          <w:p w14:paraId="669C25D1" w14:textId="77777777" w:rsidR="00502F16" w:rsidRPr="00326BDB" w:rsidRDefault="00502F16" w:rsidP="006D6368">
            <w:pPr>
              <w:tabs>
                <w:tab w:val="left" w:pos="651"/>
              </w:tabs>
              <w:rPr>
                <w:sz w:val="22"/>
                <w:szCs w:val="22"/>
              </w:rPr>
            </w:pPr>
            <w:r w:rsidRPr="00326BDB">
              <w:rPr>
                <w:sz w:val="22"/>
                <w:szCs w:val="22"/>
              </w:rPr>
              <w:t>3.52</w:t>
            </w:r>
            <w:r w:rsidRPr="00326BDB">
              <w:rPr>
                <w:rFonts w:ascii="Cambria Math" w:hAnsi="Cambria Math" w:cs="Cambria Math"/>
                <w:sz w:val="22"/>
                <w:szCs w:val="22"/>
              </w:rPr>
              <w:t>⋅</w:t>
            </w:r>
            <w:r w:rsidRPr="00326BDB">
              <w:rPr>
                <w:sz w:val="22"/>
                <w:szCs w:val="22"/>
              </w:rPr>
              <w:t>10</w:t>
            </w:r>
            <w:r w:rsidRPr="00326BDB">
              <w:rPr>
                <w:sz w:val="22"/>
                <w:szCs w:val="22"/>
                <w:vertAlign w:val="superscript"/>
              </w:rPr>
              <w:t>−4</w:t>
            </w:r>
            <w:r w:rsidRPr="00326BDB">
              <w:rPr>
                <w:sz w:val="22"/>
                <w:szCs w:val="22"/>
              </w:rPr>
              <w:t>+/- 7.73</w:t>
            </w:r>
            <w:r w:rsidRPr="00326BDB">
              <w:rPr>
                <w:rFonts w:ascii="Cambria Math" w:hAnsi="Cambria Math" w:cs="Cambria Math"/>
                <w:sz w:val="22"/>
                <w:szCs w:val="22"/>
              </w:rPr>
              <w:t>⋅</w:t>
            </w:r>
            <w:r w:rsidRPr="00326BDB">
              <w:rPr>
                <w:sz w:val="22"/>
                <w:szCs w:val="22"/>
              </w:rPr>
              <w:t>10</w:t>
            </w:r>
            <w:r w:rsidRPr="00326BDB">
              <w:rPr>
                <w:sz w:val="22"/>
                <w:szCs w:val="22"/>
                <w:vertAlign w:val="superscript"/>
              </w:rPr>
              <w:t>−5</w:t>
            </w:r>
          </w:p>
        </w:tc>
        <w:tc>
          <w:tcPr>
            <w:tcW w:w="2556" w:type="dxa"/>
          </w:tcPr>
          <w:p w14:paraId="0F63A6F6" w14:textId="77777777" w:rsidR="00502F16" w:rsidRPr="00326BDB" w:rsidRDefault="00502F16" w:rsidP="006D6368">
            <w:pPr>
              <w:rPr>
                <w:sz w:val="22"/>
                <w:szCs w:val="22"/>
              </w:rPr>
            </w:pPr>
            <w:r w:rsidRPr="00326BDB">
              <w:rPr>
                <w:sz w:val="22"/>
                <w:szCs w:val="22"/>
              </w:rPr>
              <w:t>t(62.6) = 0.62 (p= .54)</w:t>
            </w:r>
          </w:p>
        </w:tc>
      </w:tr>
      <w:tr w:rsidR="00502F16" w:rsidRPr="00326BDB" w14:paraId="1D78E966" w14:textId="77777777" w:rsidTr="006D6368">
        <w:tc>
          <w:tcPr>
            <w:tcW w:w="2070" w:type="dxa"/>
          </w:tcPr>
          <w:p w14:paraId="5723641B" w14:textId="77777777" w:rsidR="00502F16" w:rsidRPr="00326BDB" w:rsidRDefault="00502F16" w:rsidP="006D6368">
            <w:pPr>
              <w:ind w:left="160"/>
              <w:rPr>
                <w:sz w:val="22"/>
                <w:szCs w:val="22"/>
              </w:rPr>
            </w:pPr>
            <w:r w:rsidRPr="00326BDB">
              <w:rPr>
                <w:sz w:val="22"/>
                <w:szCs w:val="22"/>
              </w:rPr>
              <w:t>AT network MD</w:t>
            </w:r>
          </w:p>
        </w:tc>
        <w:tc>
          <w:tcPr>
            <w:tcW w:w="1890" w:type="dxa"/>
          </w:tcPr>
          <w:p w14:paraId="03C4506E" w14:textId="77777777" w:rsidR="00502F16" w:rsidRPr="00326BDB" w:rsidRDefault="00502F16" w:rsidP="006D6368">
            <w:pPr>
              <w:rPr>
                <w:sz w:val="22"/>
                <w:szCs w:val="22"/>
              </w:rPr>
            </w:pPr>
            <w:r w:rsidRPr="00326BDB">
              <w:rPr>
                <w:sz w:val="22"/>
                <w:szCs w:val="22"/>
              </w:rPr>
              <w:t>2.23</w:t>
            </w:r>
            <w:r w:rsidRPr="00326BDB">
              <w:rPr>
                <w:rFonts w:ascii="Cambria Math" w:hAnsi="Cambria Math" w:cs="Cambria Math"/>
                <w:sz w:val="22"/>
                <w:szCs w:val="22"/>
              </w:rPr>
              <w:t>⋅</w:t>
            </w:r>
            <w:r w:rsidRPr="00326BDB">
              <w:rPr>
                <w:sz w:val="22"/>
                <w:szCs w:val="22"/>
              </w:rPr>
              <w:t>10</w:t>
            </w:r>
            <w:r w:rsidRPr="00326BDB">
              <w:rPr>
                <w:sz w:val="22"/>
                <w:szCs w:val="22"/>
                <w:vertAlign w:val="superscript"/>
              </w:rPr>
              <w:t>−4</w:t>
            </w:r>
            <w:r w:rsidRPr="00326BDB">
              <w:rPr>
                <w:sz w:val="22"/>
                <w:szCs w:val="22"/>
              </w:rPr>
              <w:t>+/- 9.04</w:t>
            </w:r>
            <w:r w:rsidRPr="00326BDB">
              <w:rPr>
                <w:rFonts w:ascii="Cambria Math" w:hAnsi="Cambria Math" w:cs="Cambria Math"/>
                <w:sz w:val="22"/>
                <w:szCs w:val="22"/>
              </w:rPr>
              <w:t>⋅</w:t>
            </w:r>
            <w:r w:rsidRPr="00326BDB">
              <w:rPr>
                <w:sz w:val="22"/>
                <w:szCs w:val="22"/>
              </w:rPr>
              <w:t>10</w:t>
            </w:r>
            <w:r w:rsidRPr="00326BDB">
              <w:rPr>
                <w:sz w:val="22"/>
                <w:szCs w:val="22"/>
                <w:vertAlign w:val="superscript"/>
              </w:rPr>
              <w:t>−5</w:t>
            </w:r>
          </w:p>
        </w:tc>
        <w:tc>
          <w:tcPr>
            <w:tcW w:w="1710" w:type="dxa"/>
          </w:tcPr>
          <w:p w14:paraId="1D4E3FAA" w14:textId="77777777" w:rsidR="00502F16" w:rsidRPr="00326BDB" w:rsidRDefault="00502F16" w:rsidP="006D6368">
            <w:pPr>
              <w:rPr>
                <w:sz w:val="22"/>
                <w:szCs w:val="22"/>
              </w:rPr>
            </w:pPr>
            <w:r w:rsidRPr="00326BDB">
              <w:rPr>
                <w:sz w:val="22"/>
                <w:szCs w:val="22"/>
              </w:rPr>
              <w:t>2.15</w:t>
            </w:r>
            <w:r w:rsidRPr="00326BDB">
              <w:rPr>
                <w:rFonts w:ascii="Cambria Math" w:hAnsi="Cambria Math" w:cs="Cambria Math"/>
                <w:sz w:val="22"/>
                <w:szCs w:val="22"/>
              </w:rPr>
              <w:t>⋅</w:t>
            </w:r>
            <w:r w:rsidRPr="00326BDB">
              <w:rPr>
                <w:sz w:val="22"/>
                <w:szCs w:val="22"/>
              </w:rPr>
              <w:t>10</w:t>
            </w:r>
            <w:r w:rsidRPr="00326BDB">
              <w:rPr>
                <w:sz w:val="22"/>
                <w:szCs w:val="22"/>
                <w:vertAlign w:val="superscript"/>
              </w:rPr>
              <w:t>−4</w:t>
            </w:r>
            <w:r w:rsidRPr="00326BDB">
              <w:rPr>
                <w:sz w:val="22"/>
                <w:szCs w:val="22"/>
              </w:rPr>
              <w:t>+/- 7.69</w:t>
            </w:r>
            <w:r w:rsidRPr="00326BDB">
              <w:rPr>
                <w:rFonts w:ascii="Cambria Math" w:hAnsi="Cambria Math" w:cs="Cambria Math"/>
                <w:sz w:val="22"/>
                <w:szCs w:val="22"/>
              </w:rPr>
              <w:t>⋅</w:t>
            </w:r>
            <w:r w:rsidRPr="00326BDB">
              <w:rPr>
                <w:sz w:val="22"/>
                <w:szCs w:val="22"/>
              </w:rPr>
              <w:t>10</w:t>
            </w:r>
            <w:r w:rsidRPr="00326BDB">
              <w:rPr>
                <w:sz w:val="22"/>
                <w:szCs w:val="22"/>
                <w:vertAlign w:val="superscript"/>
              </w:rPr>
              <w:t>−5</w:t>
            </w:r>
          </w:p>
        </w:tc>
        <w:tc>
          <w:tcPr>
            <w:tcW w:w="1975" w:type="dxa"/>
          </w:tcPr>
          <w:p w14:paraId="5DED1CF8" w14:textId="77777777" w:rsidR="00502F16" w:rsidRPr="00326BDB" w:rsidRDefault="00502F16" w:rsidP="006D6368">
            <w:pPr>
              <w:rPr>
                <w:sz w:val="22"/>
                <w:szCs w:val="22"/>
              </w:rPr>
            </w:pPr>
            <w:r w:rsidRPr="00326BDB">
              <w:rPr>
                <w:sz w:val="22"/>
                <w:szCs w:val="22"/>
              </w:rPr>
              <w:t>2.26</w:t>
            </w:r>
            <w:r w:rsidRPr="00326BDB">
              <w:rPr>
                <w:rFonts w:ascii="Cambria Math" w:hAnsi="Cambria Math" w:cs="Cambria Math"/>
                <w:sz w:val="22"/>
                <w:szCs w:val="22"/>
              </w:rPr>
              <w:t>⋅</w:t>
            </w:r>
            <w:r w:rsidRPr="00326BDB">
              <w:rPr>
                <w:sz w:val="22"/>
                <w:szCs w:val="22"/>
              </w:rPr>
              <w:t>10</w:t>
            </w:r>
            <w:r w:rsidRPr="00326BDB">
              <w:rPr>
                <w:sz w:val="22"/>
                <w:szCs w:val="22"/>
                <w:vertAlign w:val="superscript"/>
              </w:rPr>
              <w:t>−4</w:t>
            </w:r>
            <w:r w:rsidRPr="00326BDB">
              <w:rPr>
                <w:sz w:val="22"/>
                <w:szCs w:val="22"/>
              </w:rPr>
              <w:t>+/- 9.48</w:t>
            </w:r>
            <w:r w:rsidRPr="00326BDB">
              <w:rPr>
                <w:rFonts w:ascii="Cambria Math" w:hAnsi="Cambria Math" w:cs="Cambria Math"/>
                <w:sz w:val="22"/>
                <w:szCs w:val="22"/>
              </w:rPr>
              <w:t>⋅</w:t>
            </w:r>
            <w:r w:rsidRPr="00326BDB">
              <w:rPr>
                <w:sz w:val="22"/>
                <w:szCs w:val="22"/>
              </w:rPr>
              <w:t>10</w:t>
            </w:r>
            <w:r w:rsidRPr="00326BDB">
              <w:rPr>
                <w:sz w:val="22"/>
                <w:szCs w:val="22"/>
                <w:vertAlign w:val="superscript"/>
              </w:rPr>
              <w:t>−5</w:t>
            </w:r>
          </w:p>
        </w:tc>
        <w:tc>
          <w:tcPr>
            <w:tcW w:w="2556" w:type="dxa"/>
          </w:tcPr>
          <w:p w14:paraId="6C7D497B" w14:textId="77777777" w:rsidR="00502F16" w:rsidRPr="00326BDB" w:rsidRDefault="00502F16" w:rsidP="006D6368">
            <w:pPr>
              <w:rPr>
                <w:sz w:val="22"/>
                <w:szCs w:val="22"/>
              </w:rPr>
            </w:pPr>
            <w:r w:rsidRPr="00326BDB">
              <w:rPr>
                <w:sz w:val="22"/>
                <w:szCs w:val="22"/>
              </w:rPr>
              <w:t>t(87) = -0.51 (p= .61)</w:t>
            </w:r>
          </w:p>
        </w:tc>
      </w:tr>
      <w:tr w:rsidR="00502F16" w:rsidRPr="00326BDB" w14:paraId="64C776C5" w14:textId="77777777" w:rsidTr="006D6368">
        <w:tc>
          <w:tcPr>
            <w:tcW w:w="2070" w:type="dxa"/>
          </w:tcPr>
          <w:p w14:paraId="429EAF51" w14:textId="77777777" w:rsidR="00502F16" w:rsidRPr="00326BDB" w:rsidRDefault="00502F16" w:rsidP="006D6368">
            <w:pPr>
              <w:ind w:left="160"/>
              <w:rPr>
                <w:sz w:val="22"/>
                <w:szCs w:val="22"/>
              </w:rPr>
            </w:pPr>
            <w:r w:rsidRPr="00326BDB">
              <w:rPr>
                <w:sz w:val="22"/>
                <w:szCs w:val="22"/>
              </w:rPr>
              <w:t>MTL network MD</w:t>
            </w:r>
          </w:p>
        </w:tc>
        <w:tc>
          <w:tcPr>
            <w:tcW w:w="1890" w:type="dxa"/>
          </w:tcPr>
          <w:p w14:paraId="5CB89848" w14:textId="77777777" w:rsidR="00502F16" w:rsidRPr="00326BDB" w:rsidRDefault="00502F16" w:rsidP="006D6368">
            <w:pPr>
              <w:rPr>
                <w:sz w:val="22"/>
                <w:szCs w:val="22"/>
              </w:rPr>
            </w:pPr>
            <w:r w:rsidRPr="00326BDB">
              <w:rPr>
                <w:sz w:val="22"/>
                <w:szCs w:val="22"/>
              </w:rPr>
              <w:t>3.45</w:t>
            </w:r>
            <w:r w:rsidRPr="00326BDB">
              <w:rPr>
                <w:rFonts w:ascii="Cambria Math" w:hAnsi="Cambria Math" w:cs="Cambria Math"/>
                <w:sz w:val="22"/>
                <w:szCs w:val="22"/>
              </w:rPr>
              <w:t>⋅</w:t>
            </w:r>
            <w:r w:rsidRPr="00326BDB">
              <w:rPr>
                <w:sz w:val="22"/>
                <w:szCs w:val="22"/>
              </w:rPr>
              <w:t>10</w:t>
            </w:r>
            <w:r w:rsidRPr="00326BDB">
              <w:rPr>
                <w:sz w:val="22"/>
                <w:szCs w:val="22"/>
                <w:vertAlign w:val="superscript"/>
              </w:rPr>
              <w:t>−4</w:t>
            </w:r>
            <w:r w:rsidRPr="00326BDB">
              <w:rPr>
                <w:sz w:val="22"/>
                <w:szCs w:val="22"/>
              </w:rPr>
              <w:t>+/- 7.83</w:t>
            </w:r>
            <w:r w:rsidRPr="00326BDB">
              <w:rPr>
                <w:rFonts w:ascii="Cambria Math" w:hAnsi="Cambria Math" w:cs="Cambria Math"/>
                <w:sz w:val="22"/>
                <w:szCs w:val="22"/>
              </w:rPr>
              <w:t>⋅</w:t>
            </w:r>
            <w:r w:rsidRPr="00326BDB">
              <w:rPr>
                <w:sz w:val="22"/>
                <w:szCs w:val="22"/>
              </w:rPr>
              <w:t>10</w:t>
            </w:r>
            <w:r w:rsidRPr="00326BDB">
              <w:rPr>
                <w:sz w:val="22"/>
                <w:szCs w:val="22"/>
                <w:vertAlign w:val="superscript"/>
              </w:rPr>
              <w:t>−5</w:t>
            </w:r>
          </w:p>
        </w:tc>
        <w:tc>
          <w:tcPr>
            <w:tcW w:w="1710" w:type="dxa"/>
          </w:tcPr>
          <w:p w14:paraId="30B6E48A" w14:textId="77777777" w:rsidR="00502F16" w:rsidRPr="00326BDB" w:rsidRDefault="00502F16" w:rsidP="006D6368">
            <w:pPr>
              <w:rPr>
                <w:sz w:val="22"/>
                <w:szCs w:val="22"/>
              </w:rPr>
            </w:pPr>
            <w:r w:rsidRPr="00326BDB">
              <w:rPr>
                <w:sz w:val="22"/>
                <w:szCs w:val="22"/>
              </w:rPr>
              <w:t>3.65</w:t>
            </w:r>
            <w:r w:rsidRPr="00326BDB">
              <w:rPr>
                <w:rFonts w:ascii="Cambria Math" w:hAnsi="Cambria Math" w:cs="Cambria Math"/>
                <w:sz w:val="22"/>
                <w:szCs w:val="22"/>
              </w:rPr>
              <w:t>⋅</w:t>
            </w:r>
            <w:r w:rsidRPr="00326BDB">
              <w:rPr>
                <w:sz w:val="22"/>
                <w:szCs w:val="22"/>
              </w:rPr>
              <w:t>10</w:t>
            </w:r>
            <w:r w:rsidRPr="00326BDB">
              <w:rPr>
                <w:sz w:val="22"/>
                <w:szCs w:val="22"/>
                <w:vertAlign w:val="superscript"/>
              </w:rPr>
              <w:t>−4</w:t>
            </w:r>
            <w:r w:rsidRPr="00326BDB">
              <w:rPr>
                <w:sz w:val="22"/>
                <w:szCs w:val="22"/>
              </w:rPr>
              <w:t>+/- 8.7</w:t>
            </w:r>
            <w:r w:rsidRPr="00326BDB">
              <w:rPr>
                <w:rFonts w:ascii="Cambria Math" w:hAnsi="Cambria Math" w:cs="Cambria Math"/>
                <w:sz w:val="22"/>
                <w:szCs w:val="22"/>
              </w:rPr>
              <w:t>⋅</w:t>
            </w:r>
            <w:r w:rsidRPr="00326BDB">
              <w:rPr>
                <w:sz w:val="22"/>
                <w:szCs w:val="22"/>
              </w:rPr>
              <w:t>10</w:t>
            </w:r>
            <w:r w:rsidRPr="00326BDB">
              <w:rPr>
                <w:sz w:val="22"/>
                <w:szCs w:val="22"/>
                <w:vertAlign w:val="superscript"/>
              </w:rPr>
              <w:t>−5</w:t>
            </w:r>
          </w:p>
        </w:tc>
        <w:tc>
          <w:tcPr>
            <w:tcW w:w="1975" w:type="dxa"/>
          </w:tcPr>
          <w:p w14:paraId="736A4890" w14:textId="77777777" w:rsidR="00502F16" w:rsidRPr="00326BDB" w:rsidRDefault="00502F16" w:rsidP="006D6368">
            <w:pPr>
              <w:rPr>
                <w:sz w:val="22"/>
                <w:szCs w:val="22"/>
              </w:rPr>
            </w:pPr>
            <w:r w:rsidRPr="00326BDB">
              <w:rPr>
                <w:sz w:val="22"/>
                <w:szCs w:val="22"/>
              </w:rPr>
              <w:t>3.38</w:t>
            </w:r>
            <w:r w:rsidRPr="00326BDB">
              <w:rPr>
                <w:rFonts w:ascii="Cambria Math" w:hAnsi="Cambria Math" w:cs="Cambria Math"/>
                <w:sz w:val="22"/>
                <w:szCs w:val="22"/>
              </w:rPr>
              <w:t>⋅</w:t>
            </w:r>
            <w:r w:rsidRPr="00326BDB">
              <w:rPr>
                <w:sz w:val="22"/>
                <w:szCs w:val="22"/>
              </w:rPr>
              <w:t>10</w:t>
            </w:r>
            <w:r w:rsidRPr="00326BDB">
              <w:rPr>
                <w:sz w:val="22"/>
                <w:szCs w:val="22"/>
                <w:vertAlign w:val="superscript"/>
              </w:rPr>
              <w:t>−4</w:t>
            </w:r>
            <w:r w:rsidRPr="00326BDB">
              <w:rPr>
                <w:sz w:val="22"/>
                <w:szCs w:val="22"/>
              </w:rPr>
              <w:t>+/- 7.48</w:t>
            </w:r>
            <w:r w:rsidRPr="00326BDB">
              <w:rPr>
                <w:rFonts w:ascii="Cambria Math" w:hAnsi="Cambria Math" w:cs="Cambria Math"/>
                <w:sz w:val="22"/>
                <w:szCs w:val="22"/>
              </w:rPr>
              <w:t>⋅</w:t>
            </w:r>
            <w:r w:rsidRPr="00326BDB">
              <w:rPr>
                <w:sz w:val="22"/>
                <w:szCs w:val="22"/>
              </w:rPr>
              <w:t>10</w:t>
            </w:r>
            <w:r w:rsidRPr="00326BDB">
              <w:rPr>
                <w:sz w:val="22"/>
                <w:szCs w:val="22"/>
                <w:vertAlign w:val="superscript"/>
              </w:rPr>
              <w:t>−5</w:t>
            </w:r>
          </w:p>
        </w:tc>
        <w:tc>
          <w:tcPr>
            <w:tcW w:w="2556" w:type="dxa"/>
          </w:tcPr>
          <w:p w14:paraId="4F6EB2A0" w14:textId="77777777" w:rsidR="00502F16" w:rsidRPr="00326BDB" w:rsidRDefault="00502F16" w:rsidP="006D6368">
            <w:pPr>
              <w:rPr>
                <w:sz w:val="22"/>
                <w:szCs w:val="22"/>
              </w:rPr>
            </w:pPr>
            <w:r w:rsidRPr="00326BDB">
              <w:rPr>
                <w:sz w:val="22"/>
                <w:szCs w:val="22"/>
              </w:rPr>
              <w:t>t(87) = 1.41 (p= .16)</w:t>
            </w:r>
          </w:p>
        </w:tc>
      </w:tr>
      <w:tr w:rsidR="00502F16" w:rsidRPr="00326BDB" w14:paraId="3731F68A" w14:textId="77777777" w:rsidTr="006D6368">
        <w:tc>
          <w:tcPr>
            <w:tcW w:w="2070" w:type="dxa"/>
          </w:tcPr>
          <w:p w14:paraId="53244AD1" w14:textId="77777777" w:rsidR="00502F16" w:rsidRPr="00326BDB" w:rsidRDefault="00502F16" w:rsidP="006D6368">
            <w:pPr>
              <w:rPr>
                <w:sz w:val="22"/>
                <w:szCs w:val="22"/>
              </w:rPr>
            </w:pPr>
            <w:r w:rsidRPr="00326BDB">
              <w:rPr>
                <w:sz w:val="22"/>
                <w:szCs w:val="22"/>
              </w:rPr>
              <w:t xml:space="preserve">GFAP* </w:t>
            </w:r>
          </w:p>
        </w:tc>
        <w:tc>
          <w:tcPr>
            <w:tcW w:w="1890" w:type="dxa"/>
          </w:tcPr>
          <w:p w14:paraId="3257194E" w14:textId="77777777" w:rsidR="00502F16" w:rsidRPr="00326BDB" w:rsidRDefault="00502F16" w:rsidP="006D6368">
            <w:pPr>
              <w:rPr>
                <w:sz w:val="22"/>
                <w:szCs w:val="22"/>
              </w:rPr>
            </w:pPr>
            <w:r w:rsidRPr="00326BDB">
              <w:rPr>
                <w:sz w:val="22"/>
                <w:szCs w:val="22"/>
              </w:rPr>
              <w:t>4.47+/- 0.43</w:t>
            </w:r>
          </w:p>
        </w:tc>
        <w:tc>
          <w:tcPr>
            <w:tcW w:w="1710" w:type="dxa"/>
          </w:tcPr>
          <w:p w14:paraId="527295F5" w14:textId="77777777" w:rsidR="00502F16" w:rsidRPr="00326BDB" w:rsidRDefault="00502F16" w:rsidP="006D6368">
            <w:pPr>
              <w:rPr>
                <w:sz w:val="22"/>
                <w:szCs w:val="22"/>
              </w:rPr>
            </w:pPr>
            <w:r w:rsidRPr="00326BDB">
              <w:rPr>
                <w:sz w:val="22"/>
                <w:szCs w:val="22"/>
              </w:rPr>
              <w:t>4.61+/- 0.74</w:t>
            </w:r>
          </w:p>
        </w:tc>
        <w:tc>
          <w:tcPr>
            <w:tcW w:w="1975" w:type="dxa"/>
          </w:tcPr>
          <w:p w14:paraId="10EFC2EE" w14:textId="77777777" w:rsidR="00502F16" w:rsidRPr="00326BDB" w:rsidRDefault="00502F16" w:rsidP="006D6368">
            <w:pPr>
              <w:rPr>
                <w:sz w:val="22"/>
                <w:szCs w:val="22"/>
              </w:rPr>
            </w:pPr>
            <w:r w:rsidRPr="00326BDB">
              <w:rPr>
                <w:sz w:val="22"/>
                <w:szCs w:val="22"/>
              </w:rPr>
              <w:t>4.42+/- 0.26</w:t>
            </w:r>
          </w:p>
        </w:tc>
        <w:tc>
          <w:tcPr>
            <w:tcW w:w="2556" w:type="dxa"/>
          </w:tcPr>
          <w:p w14:paraId="5915DFA7" w14:textId="77777777" w:rsidR="00502F16" w:rsidRPr="00326BDB" w:rsidRDefault="00502F16" w:rsidP="006D6368">
            <w:pPr>
              <w:rPr>
                <w:sz w:val="22"/>
                <w:szCs w:val="22"/>
              </w:rPr>
            </w:pPr>
            <w:r w:rsidRPr="00326BDB">
              <w:rPr>
                <w:sz w:val="22"/>
                <w:szCs w:val="22"/>
              </w:rPr>
              <w:t>t(87) = 1.82 (p= .07)</w:t>
            </w:r>
          </w:p>
        </w:tc>
      </w:tr>
      <w:tr w:rsidR="00502F16" w:rsidRPr="00326BDB" w14:paraId="45C1D0A4" w14:textId="77777777" w:rsidTr="006D6368">
        <w:tc>
          <w:tcPr>
            <w:tcW w:w="10201" w:type="dxa"/>
            <w:gridSpan w:val="5"/>
          </w:tcPr>
          <w:p w14:paraId="12CBE30D" w14:textId="77777777" w:rsidR="00502F16" w:rsidRPr="00326BDB" w:rsidRDefault="00502F16" w:rsidP="006D6368">
            <w:pPr>
              <w:rPr>
                <w:color w:val="000000" w:themeColor="text1"/>
                <w:sz w:val="22"/>
                <w:szCs w:val="22"/>
              </w:rPr>
            </w:pPr>
            <w:r w:rsidRPr="00326BDB">
              <w:rPr>
                <w:color w:val="000000" w:themeColor="text1"/>
                <w:sz w:val="22"/>
                <w:szCs w:val="22"/>
              </w:rPr>
              <w:t xml:space="preserve">NOTE. *natural log transformed </w:t>
            </w:r>
          </w:p>
          <w:p w14:paraId="32D2382C" w14:textId="77777777" w:rsidR="00502F16" w:rsidRPr="00326BDB" w:rsidRDefault="00502F16" w:rsidP="006D6368">
            <w:pPr>
              <w:shd w:val="clear" w:color="auto" w:fill="FFFFFF"/>
              <w:rPr>
                <w:color w:val="000000" w:themeColor="text1"/>
                <w:sz w:val="22"/>
                <w:szCs w:val="22"/>
              </w:rPr>
            </w:pPr>
            <w:r w:rsidRPr="00326BDB">
              <w:rPr>
                <w:color w:val="000000" w:themeColor="text1"/>
                <w:sz w:val="22"/>
                <w:szCs w:val="22"/>
              </w:rPr>
              <w:t xml:space="preserve">Abbreviations: APOE4=apolipoprotein E ε4; MCI=mild cognitive impairment; MD=mean diffusivity; MTL=medial temporal lobe; AT=anterior temporal; PM=posterior medial; </w:t>
            </w:r>
            <w:r w:rsidRPr="00326BDB">
              <w:rPr>
                <w:sz w:val="22"/>
                <w:szCs w:val="22"/>
              </w:rPr>
              <w:t>GFAP=</w:t>
            </w:r>
            <w:r w:rsidRPr="00326BDB">
              <w:rPr>
                <w:color w:val="000000" w:themeColor="text1"/>
                <w:sz w:val="22"/>
                <w:szCs w:val="22"/>
                <w:bdr w:val="none" w:sz="0" w:space="0" w:color="auto" w:frame="1"/>
                <w:shd w:val="clear" w:color="auto" w:fill="FFFFFF"/>
              </w:rPr>
              <w:t>glial fibrillary acidic protein</w:t>
            </w:r>
          </w:p>
        </w:tc>
      </w:tr>
    </w:tbl>
    <w:p w14:paraId="376E098E" w14:textId="77777777" w:rsidR="00502F16" w:rsidRDefault="00502F16" w:rsidP="00502F16">
      <w:pPr>
        <w:rPr>
          <w:b/>
          <w:bCs/>
          <w:color w:val="000000" w:themeColor="text1"/>
          <w:bdr w:val="none" w:sz="0" w:space="0" w:color="auto" w:frame="1"/>
          <w:shd w:val="clear" w:color="auto" w:fill="FFFFFF"/>
        </w:rPr>
      </w:pPr>
    </w:p>
    <w:p w14:paraId="13716E98" w14:textId="77777777" w:rsidR="00502F16" w:rsidRDefault="00502F16" w:rsidP="00502F16">
      <w:pPr>
        <w:rPr>
          <w:b/>
          <w:bCs/>
          <w:color w:val="000000" w:themeColor="text1"/>
          <w:bdr w:val="none" w:sz="0" w:space="0" w:color="auto" w:frame="1"/>
          <w:shd w:val="clear" w:color="auto" w:fill="FFFFFF"/>
        </w:rPr>
      </w:pPr>
      <w:r>
        <w:rPr>
          <w:b/>
          <w:bCs/>
          <w:color w:val="000000" w:themeColor="text1"/>
          <w:bdr w:val="none" w:sz="0" w:space="0" w:color="auto" w:frame="1"/>
          <w:shd w:val="clear" w:color="auto" w:fill="FFFFFF"/>
        </w:rPr>
        <w:br w:type="page"/>
      </w:r>
    </w:p>
    <w:p w14:paraId="01AC872D" w14:textId="77777777" w:rsidR="00502F16" w:rsidRPr="002D5649" w:rsidRDefault="00502F16" w:rsidP="00502F16">
      <w:pPr>
        <w:rPr>
          <w:color w:val="000000" w:themeColor="text1"/>
          <w:shd w:val="clear" w:color="auto" w:fill="FFFFFF"/>
        </w:rPr>
      </w:pPr>
      <w:r>
        <w:rPr>
          <w:b/>
          <w:bCs/>
          <w:color w:val="000000" w:themeColor="text1"/>
          <w:bdr w:val="none" w:sz="0" w:space="0" w:color="auto" w:frame="1"/>
          <w:shd w:val="clear" w:color="auto" w:fill="FFFFFF"/>
        </w:rPr>
        <w:lastRenderedPageBreak/>
        <w:t>S</w:t>
      </w:r>
      <w:r w:rsidRPr="002D5649">
        <w:rPr>
          <w:b/>
          <w:bCs/>
          <w:color w:val="000000" w:themeColor="text1"/>
          <w:bdr w:val="none" w:sz="0" w:space="0" w:color="auto" w:frame="1"/>
          <w:shd w:val="clear" w:color="auto" w:fill="FFFFFF"/>
        </w:rPr>
        <w:t>upplemental Figure 1</w:t>
      </w:r>
      <w:r>
        <w:rPr>
          <w:b/>
          <w:bCs/>
          <w:color w:val="000000" w:themeColor="text1"/>
          <w:bdr w:val="none" w:sz="0" w:space="0" w:color="auto" w:frame="1"/>
          <w:shd w:val="clear" w:color="auto" w:fill="FFFFFF"/>
        </w:rPr>
        <w:t xml:space="preserve">. </w:t>
      </w:r>
      <w:r w:rsidRPr="00166503">
        <w:rPr>
          <w:color w:val="000000" w:themeColor="text1"/>
          <w:shd w:val="clear" w:color="auto" w:fill="FFFFFF"/>
        </w:rPr>
        <w:t xml:space="preserve">Relationship between </w:t>
      </w:r>
      <w:r>
        <w:rPr>
          <w:color w:val="000000" w:themeColor="text1"/>
          <w:shd w:val="clear" w:color="auto" w:fill="FFFFFF"/>
        </w:rPr>
        <w:t>plasma GFAP levels</w:t>
      </w:r>
      <w:r w:rsidRPr="00166503">
        <w:rPr>
          <w:color w:val="000000" w:themeColor="text1"/>
          <w:shd w:val="clear" w:color="auto" w:fill="FFFFFF"/>
        </w:rPr>
        <w:t xml:space="preserve"> and MTL network </w:t>
      </w:r>
      <w:r>
        <w:rPr>
          <w:color w:val="000000" w:themeColor="text1"/>
          <w:shd w:val="clear" w:color="auto" w:fill="FFFFFF"/>
        </w:rPr>
        <w:t>mean diffusivity</w:t>
      </w:r>
      <w:r w:rsidRPr="00166503">
        <w:rPr>
          <w:color w:val="000000" w:themeColor="text1"/>
          <w:shd w:val="clear" w:color="auto" w:fill="FFFFFF"/>
        </w:rPr>
        <w:t xml:space="preserve"> as a total sample and by </w:t>
      </w:r>
      <w:r>
        <w:rPr>
          <w:color w:val="000000" w:themeColor="text1"/>
          <w:shd w:val="clear" w:color="auto" w:fill="FFFFFF"/>
        </w:rPr>
        <w:t>APOE4 status.</w:t>
      </w:r>
    </w:p>
    <w:p w14:paraId="52CA878A" w14:textId="77777777" w:rsidR="00502F16" w:rsidRDefault="00502F16" w:rsidP="00502F16">
      <w:pPr>
        <w:rPr>
          <w:b/>
          <w:bCs/>
          <w:color w:val="000000" w:themeColor="text1"/>
          <w:bdr w:val="none" w:sz="0" w:space="0" w:color="auto" w:frame="1"/>
          <w:shd w:val="clear" w:color="auto" w:fill="FFFFFF"/>
        </w:rPr>
      </w:pPr>
    </w:p>
    <w:p w14:paraId="3EBE89D5" w14:textId="77777777" w:rsidR="00502F16" w:rsidRDefault="00502F16" w:rsidP="00502F16">
      <w:pPr>
        <w:rPr>
          <w:color w:val="000000" w:themeColor="text1"/>
          <w:shd w:val="clear" w:color="auto" w:fill="FFFFFF"/>
        </w:rPr>
      </w:pPr>
      <w:r w:rsidRPr="000063D8">
        <w:rPr>
          <w:noProof/>
          <w:color w:val="000000" w:themeColor="text1"/>
          <w:shd w:val="clear" w:color="auto" w:fill="FFFFFF"/>
        </w:rPr>
        <w:drawing>
          <wp:inline distT="0" distB="0" distL="0" distR="0" wp14:anchorId="15F55C00" wp14:editId="00D719C9">
            <wp:extent cx="5943600" cy="3438525"/>
            <wp:effectExtent l="0" t="0" r="0" b="3175"/>
            <wp:docPr id="456596266" name="Picture 1" descr="A graph with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6596266" name="Picture 1" descr="A graph with red and blue lines&#10;&#10;Description automatically generated"/>
                    <pic:cNvPicPr/>
                  </pic:nvPicPr>
                  <pic:blipFill>
                    <a:blip r:embed="rId5"/>
                    <a:stretch>
                      <a:fillRect/>
                    </a:stretch>
                  </pic:blipFill>
                  <pic:spPr>
                    <a:xfrm>
                      <a:off x="0" y="0"/>
                      <a:ext cx="5943600" cy="3438525"/>
                    </a:xfrm>
                    <a:prstGeom prst="rect">
                      <a:avLst/>
                    </a:prstGeom>
                  </pic:spPr>
                </pic:pic>
              </a:graphicData>
            </a:graphic>
          </wp:inline>
        </w:drawing>
      </w:r>
    </w:p>
    <w:p w14:paraId="2EBA92E9" w14:textId="77777777" w:rsidR="00502F16" w:rsidRPr="00CB7A5F" w:rsidRDefault="00502F16" w:rsidP="00502F16">
      <w:pPr>
        <w:rPr>
          <w:color w:val="000000" w:themeColor="text1"/>
          <w:shd w:val="clear" w:color="auto" w:fill="FFFFFF"/>
        </w:rPr>
      </w:pPr>
      <w:r>
        <w:rPr>
          <w:color w:val="000000" w:themeColor="text1"/>
          <w:shd w:val="clear" w:color="auto" w:fill="FFFFFF"/>
        </w:rPr>
        <w:br w:type="page"/>
      </w:r>
    </w:p>
    <w:p w14:paraId="5426D5BB"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2F16"/>
    <w:rsid w:val="003C2EF4"/>
    <w:rsid w:val="00502F1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0020DD"/>
  <w15:chartTrackingRefBased/>
  <w15:docId w15:val="{DFFCAE17-02D0-4821-8A8E-D8388409C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2F16"/>
    <w:pPr>
      <w:spacing w:after="0" w:line="240" w:lineRule="auto"/>
    </w:pPr>
    <w:rPr>
      <w:rFonts w:ascii="Times New Roman" w:eastAsia="Times New Roman" w:hAnsi="Times New Roman" w:cs="Times New Roman"/>
      <w:kern w:val="0"/>
      <w:sz w:val="24"/>
      <w:szCs w:val="24"/>
      <w:lang w:eastAsia="zh-C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02F16"/>
    <w:pPr>
      <w:spacing w:before="100" w:beforeAutospacing="1" w:after="100" w:afterAutospacing="1"/>
    </w:pPr>
  </w:style>
  <w:style w:type="character" w:styleId="Hyperlink">
    <w:name w:val="Hyperlink"/>
    <w:basedOn w:val="DefaultParagraphFont"/>
    <w:uiPriority w:val="99"/>
    <w:unhideWhenUsed/>
    <w:rsid w:val="00502F16"/>
    <w:rPr>
      <w:color w:val="0000FF"/>
      <w:u w:val="single"/>
    </w:rPr>
  </w:style>
  <w:style w:type="table" w:styleId="TableGrid">
    <w:name w:val="Table Grid"/>
    <w:basedOn w:val="TableNormal"/>
    <w:uiPriority w:val="39"/>
    <w:rsid w:val="00502F16"/>
    <w:pPr>
      <w:spacing w:after="0" w:line="240" w:lineRule="auto"/>
    </w:pPr>
    <w:rPr>
      <w:rFonts w:eastAsiaTheme="minorEastAsia"/>
      <w:sz w:val="24"/>
      <w:szCs w:val="24"/>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hyperlink" Target="https://files.alz.washington.edu/documentation/rdd-genetic-data.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1479</Words>
  <Characters>8431</Characters>
  <Application>Microsoft Office Word</Application>
  <DocSecurity>0</DocSecurity>
  <Lines>70</Lines>
  <Paragraphs>19</Paragraphs>
  <ScaleCrop>false</ScaleCrop>
  <Company>Springer Nature</Company>
  <LinksUpToDate>false</LinksUpToDate>
  <CharactersWithSpaces>9891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2024-03-15T05:57:00Z</dcterms:created>
  <dcterms:modified xsi:type="dcterms:W3CDTF">2024-03-15T05:58:00Z</dcterms:modified>
</cp:coreProperties>
</file>