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0DC5A" w14:textId="77777777" w:rsidR="00A04591" w:rsidRPr="00A04591" w:rsidRDefault="00A04591" w:rsidP="00A04591">
      <w:pPr>
        <w:spacing w:before="240" w:after="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b/>
          <w:bCs/>
          <w:color w:val="000000"/>
          <w:kern w:val="0"/>
          <w14:ligatures w14:val="none"/>
        </w:rPr>
        <w:t>Appendix 1</w:t>
      </w:r>
      <w:r w:rsidRPr="00A04591">
        <w:rPr>
          <w:rFonts w:ascii="Times New Roman" w:eastAsia="Times New Roman" w:hAnsi="Times New Roman" w:cs="Times New Roman"/>
          <w:color w:val="000000"/>
          <w:kern w:val="0"/>
          <w14:ligatures w14:val="none"/>
        </w:rPr>
        <w:t>. Sarimax modeling and Chow test</w:t>
      </w:r>
    </w:p>
    <w:p w14:paraId="23422C82" w14:textId="77777777" w:rsidR="00A04591" w:rsidRPr="00A04591" w:rsidRDefault="00A04591" w:rsidP="00A04591">
      <w:pPr>
        <w:rPr>
          <w:rFonts w:ascii="Times New Roman" w:eastAsia="Times New Roman" w:hAnsi="Times New Roman" w:cs="Times New Roman"/>
          <w:color w:val="000000"/>
          <w:kern w:val="0"/>
          <w14:ligatures w14:val="none"/>
        </w:rPr>
      </w:pPr>
    </w:p>
    <w:p w14:paraId="3CB23977" w14:textId="77777777" w:rsidR="00A04591" w:rsidRPr="00A04591" w:rsidRDefault="00A04591" w:rsidP="00A04591">
      <w:pPr>
        <w:spacing w:after="12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b/>
          <w:bCs/>
          <w:color w:val="000000"/>
          <w:kern w:val="0"/>
          <w14:ligatures w14:val="none"/>
        </w:rPr>
        <w:t>The Sarimax Model</w:t>
      </w:r>
    </w:p>
    <w:p w14:paraId="1C535396" w14:textId="08BF67D7" w:rsidR="00A04591" w:rsidRPr="00A04591" w:rsidRDefault="00A04591" w:rsidP="00A04591">
      <w:pPr>
        <w:spacing w:before="240" w:after="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In times series analysis, the autocorrelation introduced by sampling adjacent points in time generates some challenges. This autocorrelation can severely restrict the applicability of many conventional statistical methods traditionally dependent on the strong assumption that these adjacent observations are independent and identically distributed. For example, GLMs (generalized linear models; Prather et al</w:t>
      </w:r>
      <w:r w:rsidR="0038022C">
        <w:rPr>
          <w:rFonts w:ascii="Times New Roman" w:eastAsia="Times New Roman" w:hAnsi="Times New Roman" w:cs="Times New Roman"/>
          <w:color w:val="000000"/>
          <w:kern w:val="0"/>
          <w14:ligatures w14:val="none"/>
        </w:rPr>
        <w:t>.</w:t>
      </w:r>
      <w:r w:rsidRPr="00A04591">
        <w:rPr>
          <w:rFonts w:ascii="Times New Roman" w:eastAsia="Times New Roman" w:hAnsi="Times New Roman" w:cs="Times New Roman"/>
          <w:color w:val="000000"/>
          <w:kern w:val="0"/>
          <w14:ligatures w14:val="none"/>
        </w:rPr>
        <w:t xml:space="preserve"> 2023) and GAMs (generalized additive models; Grimbacher et al. 2018), assume that response variables are independent. But present time series values are generally highly correlated with past values, so errors in the model will be autocorrelated. This implies that estimated regression coefficients and residuals of a model might be negatively biased, which also implies that previously computed p-values of statistical tests or confidence intervals are wrong (Novales, 1993). Two extensions of GLMs and GAMs have been used to model abundance (as a response variable dependent in time) in the past, namely generalized linear mixed models (GLMM; Gibb et al. 2018; Gibb et al. 2022; Prather et al 2023) and generalized additive mixed models (GAMM; Basset et al. 2023). These methodologies handle temporal data by including an autoregressive term (AR) for errors in the model (i.e., includes in the specification of the model the presence of autocorrelation in the errors). A third challenge appears because, in dynamic models, estimating regression models at different points in time requires the inclusion of the lagged dependent variable as a predictor. In most situations, one of the best predictors of what happens at time t is what happened at time t-1. Including a lagged dependent variable in a mixed model leads to severe bias and inconsistency of the estimators because it violates the assumption of independence between the predictor variables and the error term (Novales, 1993). In this case, the procedure for obtaining consistent estimates is known as the instrumental variable estimator (Keele and Kelly, 2005; Maruotti et al. 2015). To our knowledge, this methodology has not been implemented in temporal analyses of biodiversity datasets (Table A1).</w:t>
      </w:r>
    </w:p>
    <w:p w14:paraId="43BA74AA" w14:textId="77777777" w:rsidR="00A04591" w:rsidRPr="00A04591" w:rsidRDefault="00A04591" w:rsidP="00A04591">
      <w:pPr>
        <w:rPr>
          <w:rFonts w:ascii="Times New Roman" w:eastAsia="Times New Roman" w:hAnsi="Times New Roman" w:cs="Times New Roman"/>
          <w:color w:val="000000"/>
          <w:kern w:val="0"/>
          <w14:ligatures w14:val="none"/>
        </w:rPr>
      </w:pPr>
    </w:p>
    <w:p w14:paraId="631A690F" w14:textId="77777777" w:rsidR="00A04591" w:rsidRPr="00A04591" w:rsidRDefault="00A04591" w:rsidP="00A04591">
      <w:pPr>
        <w:spacing w:before="240" w:after="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Table A1. Literature review of manuscripts where the time windows vary between four and thirty years and in which at least 12 points in time are studied.</w:t>
      </w:r>
    </w:p>
    <w:p w14:paraId="073D5359" w14:textId="77777777" w:rsidR="00A04591" w:rsidRPr="00A04591" w:rsidRDefault="00A04591" w:rsidP="00A04591">
      <w:pPr>
        <w:rPr>
          <w:rFonts w:ascii="Times New Roman" w:eastAsia="Times New Roman" w:hAnsi="Times New Roman" w:cs="Times New Roman"/>
          <w:color w:val="000000"/>
          <w:kern w:val="0"/>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401"/>
        <w:gridCol w:w="1656"/>
        <w:gridCol w:w="1431"/>
        <w:gridCol w:w="2829"/>
        <w:gridCol w:w="2027"/>
      </w:tblGrid>
      <w:tr w:rsidR="00A04591" w:rsidRPr="00A04591" w14:paraId="11A328E1" w14:textId="77777777" w:rsidTr="00A04591">
        <w:trPr>
          <w:trHeight w:val="27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6B32A37"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b/>
                <w:bCs/>
                <w:color w:val="000000"/>
                <w:kern w:val="0"/>
                <w14:ligatures w14:val="none"/>
              </w:rPr>
              <w:t>Study</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2675241"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b/>
                <w:bCs/>
                <w:color w:val="000000"/>
                <w:kern w:val="0"/>
                <w14:ligatures w14:val="none"/>
              </w:rPr>
              <w:t>Extent (yr) and Frequency (yr)</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0CB4C06"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b/>
                <w:bCs/>
                <w:color w:val="000000"/>
                <w:kern w:val="0"/>
                <w14:ligatures w14:val="none"/>
              </w:rPr>
              <w:t>Human Stressor</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23055CD"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b/>
                <w:bCs/>
                <w:color w:val="000000"/>
                <w:kern w:val="0"/>
                <w14:ligatures w14:val="none"/>
              </w:rPr>
              <w:t>Climatic Variables</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23586839"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b/>
                <w:bCs/>
                <w:color w:val="000000"/>
                <w:kern w:val="0"/>
                <w14:ligatures w14:val="none"/>
              </w:rPr>
              <w:t>Statistical approach</w:t>
            </w:r>
          </w:p>
        </w:tc>
      </w:tr>
      <w:tr w:rsidR="00A04591" w:rsidRPr="00A04591" w14:paraId="1EB75A5A" w14:textId="77777777" w:rsidTr="00A04591">
        <w:trPr>
          <w:trHeight w:val="78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3B63EEDE"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Gibb et al. 2022</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3CF9E28"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22, Yearly</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EF32066"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none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14:paraId="602EC7EA"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Total plant cover, seed index, flowering index, rainfall, temperature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DB83432"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piecewise structural equation, GLMM</w:t>
            </w:r>
          </w:p>
        </w:tc>
      </w:tr>
      <w:tr w:rsidR="00A04591" w:rsidRPr="00A04591" w14:paraId="5715618D" w14:textId="77777777" w:rsidTr="00A04591">
        <w:trPr>
          <w:trHeight w:val="78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B11EFA8"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Prather et al 2023</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A23EC60"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45, four times per year</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F3011BD"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none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14:paraId="02256B09"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snowmelt, average temperature, cumulative precipitation</w:t>
            </w:r>
          </w:p>
          <w:p w14:paraId="7087F6E8"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lastRenderedPageBreak/>
              <w:t>(mm), cumulative snow precipitation, and a cold severity index. </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2B181CCB"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lastRenderedPageBreak/>
              <w:t>Linear Regression, GLM,GLMM, PCA</w:t>
            </w:r>
          </w:p>
        </w:tc>
      </w:tr>
      <w:tr w:rsidR="00A04591" w:rsidRPr="00A04591" w14:paraId="40CA5ED7" w14:textId="77777777" w:rsidTr="00A04591">
        <w:trPr>
          <w:trHeight w:val="27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6A4C34D6"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Basset et al. 2023</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893F50D"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13, four times per year</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2F2C9824"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none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14:paraId="5CD55B31"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none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01856E6"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GAMM</w:t>
            </w:r>
          </w:p>
        </w:tc>
      </w:tr>
      <w:tr w:rsidR="00A04591" w:rsidRPr="00A04591" w14:paraId="396BB20D" w14:textId="77777777" w:rsidTr="00A04591">
        <w:trPr>
          <w:trHeight w:val="525"/>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2EA53B2B" w14:textId="62DE214D" w:rsidR="00A04591" w:rsidRPr="00A04591" w:rsidRDefault="00E6668E" w:rsidP="00A04591">
            <w:pPr>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14:ligatures w14:val="none"/>
              </w:rPr>
              <w:t>Gibb</w:t>
            </w:r>
            <w:r w:rsidR="00A04591" w:rsidRPr="00A04591">
              <w:rPr>
                <w:rFonts w:ascii="Times New Roman" w:eastAsia="Times New Roman" w:hAnsi="Times New Roman" w:cs="Times New Roman"/>
                <w:color w:val="000000"/>
                <w:kern w:val="0"/>
                <w14:ligatures w14:val="none"/>
              </w:rPr>
              <w:t xml:space="preserve"> et al. 2018</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3DBB8AA"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22, Yearly</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6F4815A4"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none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14:paraId="3B732426"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rainfall, temperature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B3E8B1D"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piecewise structural equation, GLMM</w:t>
            </w:r>
          </w:p>
        </w:tc>
      </w:tr>
      <w:tr w:rsidR="00A04591" w:rsidRPr="00A04591" w14:paraId="42101C16" w14:textId="77777777" w:rsidTr="00A04591">
        <w:trPr>
          <w:trHeight w:val="525"/>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39A6061"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Grimbacher et al. 2018</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4706A45"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4, monthly</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67A9844C"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litter manipulation</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14:paraId="6D455064"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rainfall, temperature, and relative humidity</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172A050A"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GAM, Multiple Response Permutation Procedure</w:t>
            </w:r>
          </w:p>
        </w:tc>
      </w:tr>
      <w:tr w:rsidR="00A04591" w:rsidRPr="00A04591" w14:paraId="0C53C06F" w14:textId="77777777" w:rsidTr="00A04591">
        <w:trPr>
          <w:trHeight w:val="525"/>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F124E75"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Bowie et al. 2019</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C58CFDE"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30, 1, 30 two times per month for a year</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62B711B"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none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14:paraId="7B9F0394"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elevation, Soil moisture, Leaf litter, temperature, rainfall</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1E593ED4"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Mantel tests, Spearman’s</w:t>
            </w:r>
          </w:p>
          <w:p w14:paraId="60CBFA72"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rank correlation</w:t>
            </w:r>
          </w:p>
        </w:tc>
      </w:tr>
      <w:tr w:rsidR="00A04591" w:rsidRPr="00A04591" w14:paraId="55E675F8" w14:textId="77777777" w:rsidTr="00A04591">
        <w:trPr>
          <w:trHeight w:val="78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40A0DB6"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This study</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0BCB91D"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16, Yearly, 2 weeks in wet and dry season</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331657A4"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none</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hideMark/>
          </w:tcPr>
          <w:p w14:paraId="7B2CFAB4"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Rain, Temperature, Relative Humidity, ENSO, Evapotranspiracion, ONI</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79ABA37" w14:textId="77777777" w:rsidR="00A04591" w:rsidRPr="00A04591" w:rsidRDefault="00A04591" w:rsidP="00A04591">
            <w:pPr>
              <w:rPr>
                <w:rFonts w:ascii="Times New Roman" w:eastAsia="Times New Roman" w:hAnsi="Times New Roman" w:cs="Times New Roman"/>
                <w:kern w:val="0"/>
                <w14:ligatures w14:val="none"/>
              </w:rPr>
            </w:pPr>
            <w:r w:rsidRPr="00A04591">
              <w:rPr>
                <w:rFonts w:ascii="Times New Roman" w:eastAsia="Times New Roman" w:hAnsi="Times New Roman" w:cs="Times New Roman"/>
                <w:color w:val="000000"/>
                <w:kern w:val="0"/>
                <w14:ligatures w14:val="none"/>
              </w:rPr>
              <w:t>SARIMAX</w:t>
            </w:r>
          </w:p>
        </w:tc>
      </w:tr>
    </w:tbl>
    <w:p w14:paraId="05488875" w14:textId="6BF225EF" w:rsidR="00A04591" w:rsidRPr="00A04591" w:rsidRDefault="00A04591" w:rsidP="00A04591">
      <w:pPr>
        <w:spacing w:after="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br/>
      </w:r>
    </w:p>
    <w:p w14:paraId="4AA7B06B" w14:textId="77777777" w:rsidR="00A04591" w:rsidRPr="00A04591" w:rsidRDefault="00A04591" w:rsidP="00A04591">
      <w:pPr>
        <w:spacing w:before="240" w:after="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As an alternative, dynamic models with independent variables, among them Seasonal Auto-Regressive Integrated Moving Average (SARIMAX) models (Box and Jenkins, 1970), have been proposed as a rigorous methodology for the identification, estimation, diagnosis, and forecasting of univariate time series data. For example, Donoso et al. (2022) used a weekly ant dataset with 58-time observations to model environmental variables and male ant abundance for over one year. Unlike the GLMM or GAMM models, the specification and diagnosis of SARIMAX models account for the stochastic structure of the error term (challenge 2) and the dynamic properties of the relationships between variables (challenge 3) (Novales, 1993). In temporal analyses of biodiversity datasets SARIMAX thus performs better than general linear regression models since the stochastic noise is usually not sufficiently covered by autocorrelation assumptions. In SARIMAX forecasting, the model is first trained on historical data to learn the patterns and relationships between the variables. Once the model is trained, it can be used to predict future values of the time series variable based on its past values, accounting for any seasonal patterns and the effects of the independent variables.</w:t>
      </w:r>
    </w:p>
    <w:p w14:paraId="1E27D064" w14:textId="77777777" w:rsidR="00A04591" w:rsidRPr="00A04591" w:rsidRDefault="00A04591" w:rsidP="00A04591">
      <w:pPr>
        <w:spacing w:before="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 xml:space="preserve">SARIMAX models make the following assumptions: a) Stationarity: which means that the mean, variance, and covariance of the series should remain constant over time. We need stationary series to mitigate the error of incorporating exogenous variables into the model where the correlation could be spurious (Granger &amp; Newbold, 1974). That is, if we introduce any variable that has the same trend as the dependent variable, the relationship will be significant. This occurs, for example, in Seibold, S. et al. (2019), where a GLMM model is utilized, in which the climatic variables are related to the dependent variable via the implicit trend in the data without regard for stationarity. Thus, the coefficients will be statistically significant. Daskalova et al. (2021) include a year random effect as another variable to explain the same event, causing several of the variables used in Seibold, S. et al. (2019) to lose statistical significance. According to Daskalova et al. (2021), this change happens as a result of the omitted variable problem, as </w:t>
      </w:r>
      <w:r w:rsidRPr="00A04591">
        <w:rPr>
          <w:rFonts w:ascii="Times New Roman" w:eastAsia="Times New Roman" w:hAnsi="Times New Roman" w:cs="Times New Roman"/>
          <w:color w:val="000000"/>
          <w:kern w:val="0"/>
          <w14:ligatures w14:val="none"/>
        </w:rPr>
        <w:lastRenderedPageBreak/>
        <w:t>well as the fact that shorter time series are more likely to be affected by sampling error variance. However, the author does not show if the year is cointegrated with the climate variables in the model (Engle &amp; Granger, 1987). Without this statistical test the effect associated with the trend is now incorporated into the year random effect (adding a random term for time would account for the fact that several measurements taken in the same year are simultaneously affected by year-to-year trend in environmental conditions). Then, both proposals disregard the intrinsic stationarity of these time series.</w:t>
      </w:r>
    </w:p>
    <w:p w14:paraId="787245CC" w14:textId="77777777" w:rsidR="00A04591" w:rsidRPr="00A04591" w:rsidRDefault="00A04591" w:rsidP="00A04591">
      <w:pPr>
        <w:rPr>
          <w:rFonts w:ascii="Times New Roman" w:eastAsia="Times New Roman" w:hAnsi="Times New Roman" w:cs="Times New Roman"/>
          <w:color w:val="000000"/>
          <w:kern w:val="0"/>
          <w14:ligatures w14:val="none"/>
        </w:rPr>
      </w:pPr>
    </w:p>
    <w:p w14:paraId="52EC8929"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Transformations must be applied to non-stationary series to make them stationary. The most common way is by a first-order differentiation, using the following expression: ΔXt = Xt - Xt-1. This process can be iterative, and the order is determined by the number of iterations performed;</w:t>
      </w:r>
    </w:p>
    <w:p w14:paraId="5756D2DE" w14:textId="77777777" w:rsidR="00A04591" w:rsidRPr="00A04591" w:rsidRDefault="00A04591" w:rsidP="00A04591">
      <w:pPr>
        <w:rPr>
          <w:rFonts w:ascii="Times New Roman" w:eastAsia="Times New Roman" w:hAnsi="Times New Roman" w:cs="Times New Roman"/>
          <w:color w:val="000000"/>
          <w:kern w:val="0"/>
          <w14:ligatures w14:val="none"/>
        </w:rPr>
      </w:pPr>
    </w:p>
    <w:p w14:paraId="38E47AD8"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 b) Seasonality: meaning that the values at one point in time are influenced by the values at the same point in previous years. This seasonal pattern should be constant over time; c) No Autocorrelation: The residuals of the model should be independent and identically distributed with zero mean and constant variance. If they are correlated, the model may not be capturing all the patterns in the data and the structure of the error term requires an autoregressive integrated moving average modeling (ARIMA); d) No multicollinearity: The explanatory variables used in the model should not be highly correlated (e.g., &gt;0.7) with each other. If they are, it may be difficult to determine the independent effects of each predictor on the dependent variable (Enders, 2105).</w:t>
      </w:r>
    </w:p>
    <w:p w14:paraId="30499566" w14:textId="77777777" w:rsidR="00A04591" w:rsidRPr="00A04591" w:rsidRDefault="00A04591" w:rsidP="00A04591">
      <w:pPr>
        <w:rPr>
          <w:rFonts w:ascii="Times New Roman" w:eastAsia="Times New Roman" w:hAnsi="Times New Roman" w:cs="Times New Roman"/>
          <w:color w:val="000000"/>
          <w:kern w:val="0"/>
          <w14:ligatures w14:val="none"/>
        </w:rPr>
      </w:pPr>
    </w:p>
    <w:p w14:paraId="11F5373C"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A simplified SARIMAX model is specified in equations (3) and (4) with a single independent variable X.</w:t>
      </w:r>
    </w:p>
    <w:p w14:paraId="0754AFB9" w14:textId="77777777" w:rsidR="00A04591" w:rsidRPr="00A04591" w:rsidRDefault="00A04591" w:rsidP="00A04591">
      <w:pPr>
        <w:spacing w:after="240"/>
        <w:rPr>
          <w:rFonts w:ascii="Times New Roman" w:eastAsia="Times New Roman" w:hAnsi="Times New Roman" w:cs="Times New Roman"/>
          <w:color w:val="000000"/>
          <w:kern w:val="0"/>
          <w14:ligatures w14:val="none"/>
        </w:rPr>
      </w:pPr>
    </w:p>
    <w:p w14:paraId="56E60527"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 xml:space="preserve">Yt = C +v(B)Xt + Nt </w:t>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t>(3)</w:t>
      </w:r>
    </w:p>
    <w:p w14:paraId="516084CE" w14:textId="77777777" w:rsidR="00A04591" w:rsidRPr="00A04591" w:rsidRDefault="00A04591" w:rsidP="00A04591">
      <w:pPr>
        <w:rPr>
          <w:rFonts w:ascii="Times New Roman" w:eastAsia="Times New Roman" w:hAnsi="Times New Roman" w:cs="Times New Roman"/>
          <w:color w:val="000000"/>
          <w:kern w:val="0"/>
          <w14:ligatures w14:val="none"/>
        </w:rPr>
      </w:pPr>
    </w:p>
    <w:p w14:paraId="7ED3B24B"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where: Y</w:t>
      </w:r>
      <w:r w:rsidRPr="00A04591">
        <w:rPr>
          <w:rFonts w:ascii="Times New Roman" w:eastAsia="Times New Roman" w:hAnsi="Times New Roman" w:cs="Times New Roman"/>
          <w:color w:val="000000"/>
          <w:kern w:val="0"/>
          <w:sz w:val="14"/>
          <w:szCs w:val="14"/>
          <w:vertAlign w:val="subscript"/>
          <w14:ligatures w14:val="none"/>
        </w:rPr>
        <w:t>t</w:t>
      </w:r>
      <w:r w:rsidRPr="00A04591">
        <w:rPr>
          <w:rFonts w:ascii="Times New Roman" w:eastAsia="Times New Roman" w:hAnsi="Times New Roman" w:cs="Times New Roman"/>
          <w:color w:val="000000"/>
          <w:kern w:val="0"/>
          <w14:ligatures w14:val="none"/>
        </w:rPr>
        <w:t xml:space="preserve"> is the dependent variable incidence of ants at time t, C is a constant, X</w:t>
      </w:r>
      <w:r w:rsidRPr="00A04591">
        <w:rPr>
          <w:rFonts w:ascii="Times New Roman" w:eastAsia="Times New Roman" w:hAnsi="Times New Roman" w:cs="Times New Roman"/>
          <w:color w:val="000000"/>
          <w:kern w:val="0"/>
          <w:sz w:val="14"/>
          <w:szCs w:val="14"/>
          <w:vertAlign w:val="subscript"/>
          <w14:ligatures w14:val="none"/>
        </w:rPr>
        <w:t>t</w:t>
      </w:r>
      <w:r w:rsidRPr="00A04591">
        <w:rPr>
          <w:rFonts w:ascii="Times New Roman" w:eastAsia="Times New Roman" w:hAnsi="Times New Roman" w:cs="Times New Roman"/>
          <w:color w:val="000000"/>
          <w:kern w:val="0"/>
          <w14:ligatures w14:val="none"/>
        </w:rPr>
        <w:t xml:space="preserve"> is the independent climatic variable at time t, B is the delay or lag operator, N</w:t>
      </w:r>
      <w:r w:rsidRPr="00A04591">
        <w:rPr>
          <w:rFonts w:ascii="Times New Roman" w:eastAsia="Times New Roman" w:hAnsi="Times New Roman" w:cs="Times New Roman"/>
          <w:color w:val="000000"/>
          <w:kern w:val="0"/>
          <w:sz w:val="14"/>
          <w:szCs w:val="14"/>
          <w:vertAlign w:val="subscript"/>
          <w14:ligatures w14:val="none"/>
        </w:rPr>
        <w:t>t</w:t>
      </w:r>
      <w:r w:rsidRPr="00A04591">
        <w:rPr>
          <w:rFonts w:ascii="Times New Roman" w:eastAsia="Times New Roman" w:hAnsi="Times New Roman" w:cs="Times New Roman"/>
          <w:color w:val="000000"/>
          <w:kern w:val="0"/>
          <w14:ligatures w14:val="none"/>
        </w:rPr>
        <w:t xml:space="preserve"> is the stochastic perturbation of the model that will be represented in a univariate ARIMA, i.e.:</w:t>
      </w:r>
    </w:p>
    <w:p w14:paraId="1A6BD0D3" w14:textId="77777777" w:rsidR="00A04591" w:rsidRPr="00A04591" w:rsidRDefault="00A04591" w:rsidP="00A04591">
      <w:pPr>
        <w:rPr>
          <w:rFonts w:ascii="Times New Roman" w:eastAsia="Times New Roman" w:hAnsi="Times New Roman" w:cs="Times New Roman"/>
          <w:color w:val="000000"/>
          <w:kern w:val="0"/>
          <w14:ligatures w14:val="none"/>
        </w:rPr>
      </w:pPr>
    </w:p>
    <w:p w14:paraId="3536DF95"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Nt=θ(B)Θ(B)ϕ(B)Φ(B)ut</w:t>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t>(4)</w:t>
      </w:r>
    </w:p>
    <w:p w14:paraId="152C220F" w14:textId="77777777" w:rsidR="00A04591" w:rsidRPr="00A04591" w:rsidRDefault="00A04591" w:rsidP="00A04591">
      <w:pPr>
        <w:rPr>
          <w:rFonts w:ascii="Times New Roman" w:eastAsia="Times New Roman" w:hAnsi="Times New Roman" w:cs="Times New Roman"/>
          <w:color w:val="000000"/>
          <w:kern w:val="0"/>
          <w14:ligatures w14:val="none"/>
        </w:rPr>
      </w:pPr>
    </w:p>
    <w:p w14:paraId="59236580"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Where the polynomials (B) and B refer to the seasonal behavior of the moving average and autoregressive polynomials, respectively. The polynomials B and (B) must have roots of module not greater than one and ut is a Gaussian white noise independent of the climatic variable X.</w:t>
      </w:r>
    </w:p>
    <w:p w14:paraId="3DF9C75A" w14:textId="77777777" w:rsidR="00A04591" w:rsidRPr="00A04591" w:rsidRDefault="00A04591" w:rsidP="00A04591">
      <w:pPr>
        <w:rPr>
          <w:rFonts w:ascii="Times New Roman" w:eastAsia="Times New Roman" w:hAnsi="Times New Roman" w:cs="Times New Roman"/>
          <w:color w:val="000000"/>
          <w:kern w:val="0"/>
          <w14:ligatures w14:val="none"/>
        </w:rPr>
      </w:pPr>
    </w:p>
    <w:p w14:paraId="32619818"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Also, v(B)Xt in (3) describes the impulse response function, which allows the climatic variable to influence the incidence of ants through a distributed delay. Moreover, the incidence of ant at time t (Yt) may not react immediately to a change in the climatic variable at time t (Xt), so some initial weights may be zero, these are called dead times.</w:t>
      </w:r>
    </w:p>
    <w:p w14:paraId="6514A6BC" w14:textId="77777777" w:rsidR="00A04591" w:rsidRPr="00A04591" w:rsidRDefault="00A04591" w:rsidP="00A04591">
      <w:pPr>
        <w:rPr>
          <w:rFonts w:ascii="Times New Roman" w:eastAsia="Times New Roman" w:hAnsi="Times New Roman" w:cs="Times New Roman"/>
          <w:color w:val="000000"/>
          <w:kern w:val="0"/>
          <w14:ligatures w14:val="none"/>
        </w:rPr>
      </w:pPr>
    </w:p>
    <w:p w14:paraId="644D6837"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The impulse response function can be written as the quotient of two polynomials of finite order:</w:t>
      </w:r>
    </w:p>
    <w:p w14:paraId="08A3F1BB" w14:textId="77777777" w:rsidR="00A04591" w:rsidRPr="00A04591" w:rsidRDefault="00A04591" w:rsidP="00A04591">
      <w:pPr>
        <w:rPr>
          <w:rFonts w:ascii="Times New Roman" w:eastAsia="Times New Roman" w:hAnsi="Times New Roman" w:cs="Times New Roman"/>
          <w:color w:val="000000"/>
          <w:kern w:val="0"/>
          <w14:ligatures w14:val="none"/>
        </w:rPr>
      </w:pPr>
    </w:p>
    <w:p w14:paraId="147D4E0E"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vBXt=hBBbrBXt</w:t>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r>
      <w:r w:rsidRPr="00A04591">
        <w:rPr>
          <w:rFonts w:ascii="Times New Roman" w:eastAsia="Times New Roman" w:hAnsi="Times New Roman" w:cs="Times New Roman"/>
          <w:color w:val="000000"/>
          <w:kern w:val="0"/>
          <w14:ligatures w14:val="none"/>
        </w:rPr>
        <w:tab/>
        <w:t>(5)</w:t>
      </w:r>
    </w:p>
    <w:p w14:paraId="26282EA1" w14:textId="77777777" w:rsidR="00A04591" w:rsidRPr="00A04591" w:rsidRDefault="00A04591" w:rsidP="00A04591">
      <w:pPr>
        <w:rPr>
          <w:rFonts w:ascii="Times New Roman" w:eastAsia="Times New Roman" w:hAnsi="Times New Roman" w:cs="Times New Roman"/>
          <w:color w:val="000000"/>
          <w:kern w:val="0"/>
          <w14:ligatures w14:val="none"/>
        </w:rPr>
      </w:pPr>
    </w:p>
    <w:p w14:paraId="6E918B29"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lastRenderedPageBreak/>
        <w:t>where:</w:t>
      </w:r>
    </w:p>
    <w:p w14:paraId="60949855" w14:textId="77777777" w:rsidR="00A04591" w:rsidRPr="00A04591" w:rsidRDefault="00A04591" w:rsidP="00A04591">
      <w:pPr>
        <w:rPr>
          <w:rFonts w:ascii="Times New Roman" w:eastAsia="Times New Roman" w:hAnsi="Times New Roman" w:cs="Times New Roman"/>
          <w:color w:val="000000"/>
          <w:kern w:val="0"/>
          <w14:ligatures w14:val="none"/>
        </w:rPr>
      </w:pPr>
    </w:p>
    <w:p w14:paraId="3FA4D90F"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hB=0B0-…-hBh moving average polynomial;</w:t>
      </w:r>
    </w:p>
    <w:p w14:paraId="3227E8AB"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rB=1-1B+…+rBr autorregresive polynomial</w:t>
      </w:r>
    </w:p>
    <w:p w14:paraId="4015C841"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Bb incorporates the dead time. </w:t>
      </w:r>
    </w:p>
    <w:p w14:paraId="1EB0412E" w14:textId="77777777" w:rsidR="00A04591" w:rsidRPr="00A04591" w:rsidRDefault="00A04591" w:rsidP="00A04591">
      <w:pPr>
        <w:rPr>
          <w:rFonts w:ascii="Times New Roman" w:eastAsia="Times New Roman" w:hAnsi="Times New Roman" w:cs="Times New Roman"/>
          <w:color w:val="000000"/>
          <w:kern w:val="0"/>
          <w14:ligatures w14:val="none"/>
        </w:rPr>
      </w:pPr>
    </w:p>
    <w:p w14:paraId="6AC133D6" w14:textId="77777777"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br/>
        <w:t>To establish the model, it is necessary to estimate the coefficients of v(B)Xt, incorporating the orders r and h of rB and whB respectively, as well as the dead time b. Once the established models meet the criteria of correct specification (Enders, 2015), we chose the best model using the Bayesian Information Criterion (BIC), which guaranteed that the preferred model complied with the criterion of parsimony. </w:t>
      </w:r>
    </w:p>
    <w:p w14:paraId="10EE8671" w14:textId="77777777" w:rsidR="00A04591" w:rsidRPr="00A04591" w:rsidRDefault="00A04591" w:rsidP="00A04591">
      <w:pPr>
        <w:spacing w:after="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br/>
      </w:r>
    </w:p>
    <w:p w14:paraId="29A84D88" w14:textId="77777777" w:rsidR="00A04591" w:rsidRPr="00A04591" w:rsidRDefault="00A04591" w:rsidP="00A04591">
      <w:pPr>
        <w:spacing w:after="12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b/>
          <w:bCs/>
          <w:color w:val="000000"/>
          <w:kern w:val="0"/>
          <w14:ligatures w14:val="none"/>
        </w:rPr>
        <w:t>The Chow test</w:t>
      </w:r>
    </w:p>
    <w:p w14:paraId="38B321E3"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Chow test consists in splitting the sample into two sub-periods, estimating the parameters for each of the sub-periods, and then testing whether the two sub-periods are similar, using F-statistics. In other terms, the Chow test tells us whether regression coefficients are different for split data sets. It tests whether one regression line or two separate regression lines best fit a split data set. If the regression coefficients are different, then the test indicates the presence of a structural break.</w:t>
      </w:r>
    </w:p>
    <w:p w14:paraId="4B27E63E"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Consider the two data sets which are being compared. Firstly there is the 'primary' data set i={1,2...,n</w:t>
      </w:r>
      <w:r w:rsidRPr="00A04591">
        <w:rPr>
          <w:rFonts w:ascii="Times New Roman" w:eastAsia="Times New Roman" w:hAnsi="Times New Roman" w:cs="Times New Roman"/>
          <w:color w:val="000000"/>
          <w:kern w:val="0"/>
          <w:sz w:val="14"/>
          <w:szCs w:val="14"/>
          <w:vertAlign w:val="subscript"/>
          <w14:ligatures w14:val="none"/>
        </w:rPr>
        <w:t>1</w:t>
      </w:r>
      <w:r w:rsidRPr="00A04591">
        <w:rPr>
          <w:rFonts w:ascii="Times New Roman" w:eastAsia="Times New Roman" w:hAnsi="Times New Roman" w:cs="Times New Roman"/>
          <w:color w:val="000000"/>
          <w:kern w:val="0"/>
          <w14:ligatures w14:val="none"/>
        </w:rPr>
        <w:t>} and the 'secondary' data set i={n</w:t>
      </w:r>
      <w:r w:rsidRPr="00A04591">
        <w:rPr>
          <w:rFonts w:ascii="Times New Roman" w:eastAsia="Times New Roman" w:hAnsi="Times New Roman" w:cs="Times New Roman"/>
          <w:color w:val="000000"/>
          <w:kern w:val="0"/>
          <w:sz w:val="14"/>
          <w:szCs w:val="14"/>
          <w:vertAlign w:val="subscript"/>
          <w14:ligatures w14:val="none"/>
        </w:rPr>
        <w:t>1</w:t>
      </w:r>
      <w:r w:rsidRPr="00A04591">
        <w:rPr>
          <w:rFonts w:ascii="Times New Roman" w:eastAsia="Times New Roman" w:hAnsi="Times New Roman" w:cs="Times New Roman"/>
          <w:color w:val="000000"/>
          <w:kern w:val="0"/>
          <w14:ligatures w14:val="none"/>
        </w:rPr>
        <w:t>+1,...,n}. Then there is the union of these two sets: i={1,2,..,n}. If there is no structural change between the primary and secondary data sets a regression can be run over the union without the biased estimators.</w:t>
      </w:r>
    </w:p>
    <w:p w14:paraId="54B8BE20"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Consider the regression:</w:t>
      </w:r>
    </w:p>
    <w:p w14:paraId="4E62B727" w14:textId="6A2E1BF4"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bdr w:val="none" w:sz="0" w:space="0" w:color="auto" w:frame="1"/>
          <w14:ligatures w14:val="none"/>
        </w:rPr>
        <w:fldChar w:fldCharType="begin"/>
      </w:r>
      <w:r w:rsidRPr="00A04591">
        <w:rPr>
          <w:rFonts w:ascii="Times New Roman" w:eastAsia="Times New Roman" w:hAnsi="Times New Roman" w:cs="Times New Roman"/>
          <w:color w:val="000000"/>
          <w:kern w:val="0"/>
          <w:bdr w:val="none" w:sz="0" w:space="0" w:color="auto" w:frame="1"/>
          <w14:ligatures w14:val="none"/>
        </w:rPr>
        <w:instrText xml:space="preserve"> INCLUDEPICTURE "https://lh7-us.googleusercontent.com/pGjwc75X3urQjDRDvCrxBHBMGBPx8N4VhY3JDz2IA6FcDDlUcah0N6pt5CWbGveAFPy3gh_Lco8UrR2dkRCC5OV4GR_1T8GvLDsmT2GUnWNpzhF7oXCewdiof4vANtMacRg6vZLBLQCu_8QC_dXblw" \* MERGEFORMATINET </w:instrText>
      </w:r>
      <w:r w:rsidRPr="00A04591">
        <w:rPr>
          <w:rFonts w:ascii="Times New Roman" w:eastAsia="Times New Roman" w:hAnsi="Times New Roman" w:cs="Times New Roman"/>
          <w:color w:val="000000"/>
          <w:kern w:val="0"/>
          <w:bdr w:val="none" w:sz="0" w:space="0" w:color="auto" w:frame="1"/>
          <w14:ligatures w14:val="none"/>
        </w:rPr>
        <w:fldChar w:fldCharType="separate"/>
      </w:r>
      <w:r w:rsidRPr="00A04591">
        <w:rPr>
          <w:rFonts w:ascii="Times New Roman" w:eastAsia="Times New Roman" w:hAnsi="Times New Roman" w:cs="Times New Roman"/>
          <w:noProof/>
          <w:color w:val="000000"/>
          <w:kern w:val="0"/>
          <w:bdr w:val="none" w:sz="0" w:space="0" w:color="auto" w:frame="1"/>
          <w14:ligatures w14:val="none"/>
        </w:rPr>
        <w:drawing>
          <wp:inline distT="0" distB="0" distL="0" distR="0" wp14:anchorId="67863D85" wp14:editId="6E52EF24">
            <wp:extent cx="5882640" cy="622935"/>
            <wp:effectExtent l="0" t="0" r="0" b="0"/>
            <wp:docPr id="12191806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a:ext>
                      </a:extLst>
                    </a:blip>
                    <a:srcRect/>
                    <a:stretch>
                      <a:fillRect/>
                    </a:stretch>
                  </pic:blipFill>
                  <pic:spPr bwMode="auto">
                    <a:xfrm>
                      <a:off x="0" y="0"/>
                      <a:ext cx="5882640" cy="622935"/>
                    </a:xfrm>
                    <a:prstGeom prst="rect">
                      <a:avLst/>
                    </a:prstGeom>
                    <a:noFill/>
                    <a:ln>
                      <a:noFill/>
                    </a:ln>
                  </pic:spPr>
                </pic:pic>
              </a:graphicData>
            </a:graphic>
          </wp:inline>
        </w:drawing>
      </w:r>
      <w:r w:rsidRPr="00A04591">
        <w:rPr>
          <w:rFonts w:ascii="Times New Roman" w:eastAsia="Times New Roman" w:hAnsi="Times New Roman" w:cs="Times New Roman"/>
          <w:color w:val="000000"/>
          <w:kern w:val="0"/>
          <w:bdr w:val="none" w:sz="0" w:space="0" w:color="auto" w:frame="1"/>
          <w14:ligatures w14:val="none"/>
        </w:rPr>
        <w:fldChar w:fldCharType="end"/>
      </w:r>
    </w:p>
    <w:p w14:paraId="3C1931BA"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Which is run over i={1,...,n}.</w:t>
      </w:r>
    </w:p>
    <w:p w14:paraId="2D958F41"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D is a dummy variable taking a value of 1 for i={n1+1,...,n} and 0 otherwise.</w:t>
      </w:r>
    </w:p>
    <w:p w14:paraId="5DA56C8E"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If both data sets can be explained fully by (β0, β1,…, βk) then there is no use in the dummy variable as the data set is explained fully by the restricted equation. That is, under the assumption of no structural change we have a null and alternative hypothesis of:</w:t>
      </w:r>
    </w:p>
    <w:p w14:paraId="2E42696A" w14:textId="291EE52E"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 </w:t>
      </w:r>
      <w:r w:rsidRPr="00A04591">
        <w:rPr>
          <w:rFonts w:ascii="Times New Roman" w:eastAsia="Times New Roman" w:hAnsi="Times New Roman" w:cs="Times New Roman"/>
          <w:color w:val="000000"/>
          <w:kern w:val="0"/>
          <w:bdr w:val="none" w:sz="0" w:space="0" w:color="auto" w:frame="1"/>
          <w14:ligatures w14:val="none"/>
        </w:rPr>
        <w:fldChar w:fldCharType="begin"/>
      </w:r>
      <w:r w:rsidRPr="00A04591">
        <w:rPr>
          <w:rFonts w:ascii="Times New Roman" w:eastAsia="Times New Roman" w:hAnsi="Times New Roman" w:cs="Times New Roman"/>
          <w:color w:val="000000"/>
          <w:kern w:val="0"/>
          <w:bdr w:val="none" w:sz="0" w:space="0" w:color="auto" w:frame="1"/>
          <w14:ligatures w14:val="none"/>
        </w:rPr>
        <w:instrText xml:space="preserve"> INCLUDEPICTURE "https://lh7-us.googleusercontent.com/H5YFrbzfU9y0aINjAiHts4uMnvO0NfjfGkf3U7XgN9-oVJTXom1CT2h17WuxX4FVWlU9wCIovlAfDOC9okwQGxBwkgXp4TtUe4-sOux_Rzy3Vv0R1Uoq6Dw3r30wVUqSq5S2mjtInnK1orGqmsSz7w" \* MERGEFORMATINET </w:instrText>
      </w:r>
      <w:r w:rsidRPr="00A04591">
        <w:rPr>
          <w:rFonts w:ascii="Times New Roman" w:eastAsia="Times New Roman" w:hAnsi="Times New Roman" w:cs="Times New Roman"/>
          <w:color w:val="000000"/>
          <w:kern w:val="0"/>
          <w:bdr w:val="none" w:sz="0" w:space="0" w:color="auto" w:frame="1"/>
          <w14:ligatures w14:val="none"/>
        </w:rPr>
        <w:fldChar w:fldCharType="separate"/>
      </w:r>
      <w:r w:rsidRPr="00A04591">
        <w:rPr>
          <w:rFonts w:ascii="Times New Roman" w:eastAsia="Times New Roman" w:hAnsi="Times New Roman" w:cs="Times New Roman"/>
          <w:noProof/>
          <w:color w:val="000000"/>
          <w:kern w:val="0"/>
          <w:bdr w:val="none" w:sz="0" w:space="0" w:color="auto" w:frame="1"/>
          <w14:ligatures w14:val="none"/>
        </w:rPr>
        <w:drawing>
          <wp:inline distT="0" distB="0" distL="0" distR="0" wp14:anchorId="23F2FB1F" wp14:editId="598C16C8">
            <wp:extent cx="3139440" cy="647065"/>
            <wp:effectExtent l="0" t="0" r="0" b="635"/>
            <wp:docPr id="1816971850" name="Picture 3" descr="A black text with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black text with number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a:ext>
                      </a:extLst>
                    </a:blip>
                    <a:srcRect/>
                    <a:stretch>
                      <a:fillRect/>
                    </a:stretch>
                  </pic:blipFill>
                  <pic:spPr bwMode="auto">
                    <a:xfrm>
                      <a:off x="0" y="0"/>
                      <a:ext cx="3139440" cy="647065"/>
                    </a:xfrm>
                    <a:prstGeom prst="rect">
                      <a:avLst/>
                    </a:prstGeom>
                    <a:noFill/>
                    <a:ln>
                      <a:noFill/>
                    </a:ln>
                  </pic:spPr>
                </pic:pic>
              </a:graphicData>
            </a:graphic>
          </wp:inline>
        </w:drawing>
      </w:r>
      <w:r w:rsidRPr="00A04591">
        <w:rPr>
          <w:rFonts w:ascii="Times New Roman" w:eastAsia="Times New Roman" w:hAnsi="Times New Roman" w:cs="Times New Roman"/>
          <w:color w:val="000000"/>
          <w:kern w:val="0"/>
          <w:bdr w:val="none" w:sz="0" w:space="0" w:color="auto" w:frame="1"/>
          <w14:ligatures w14:val="none"/>
        </w:rPr>
        <w:fldChar w:fldCharType="end"/>
      </w:r>
    </w:p>
    <w:p w14:paraId="44D2DB94"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The null hypothesis of joint insignificance of D can be run as an F-test with n-2(k+1) degrees of freedom (DoF). That is: </w:t>
      </w:r>
    </w:p>
    <w:p w14:paraId="683E8EF6" w14:textId="5172373F"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t> </w:t>
      </w:r>
      <w:r w:rsidRPr="00A04591">
        <w:rPr>
          <w:rFonts w:ascii="Times New Roman" w:eastAsia="Times New Roman" w:hAnsi="Times New Roman" w:cs="Times New Roman"/>
          <w:color w:val="000000"/>
          <w:kern w:val="0"/>
          <w:bdr w:val="none" w:sz="0" w:space="0" w:color="auto" w:frame="1"/>
          <w14:ligatures w14:val="none"/>
        </w:rPr>
        <w:fldChar w:fldCharType="begin"/>
      </w:r>
      <w:r w:rsidRPr="00A04591">
        <w:rPr>
          <w:rFonts w:ascii="Times New Roman" w:eastAsia="Times New Roman" w:hAnsi="Times New Roman" w:cs="Times New Roman"/>
          <w:color w:val="000000"/>
          <w:kern w:val="0"/>
          <w:bdr w:val="none" w:sz="0" w:space="0" w:color="auto" w:frame="1"/>
          <w14:ligatures w14:val="none"/>
        </w:rPr>
        <w:instrText xml:space="preserve"> INCLUDEPICTURE "https://lh7-us.googleusercontent.com/QH9JOeStJp04aMuC-lw1TWnkPRCh-Ihw9FVxtrMquGG0TJ0UxuvacG-IUr4rvFaEtV7anUrRnssvRpbPuXREmnMGj9cp_-MCU-BOIKb-_J2Z8gST3vfeMcQPLOtzUDCYvq7fPjOpzHIOxZMPxQPYwA" \* MERGEFORMATINET </w:instrText>
      </w:r>
      <w:r w:rsidRPr="00A04591">
        <w:rPr>
          <w:rFonts w:ascii="Times New Roman" w:eastAsia="Times New Roman" w:hAnsi="Times New Roman" w:cs="Times New Roman"/>
          <w:color w:val="000000"/>
          <w:kern w:val="0"/>
          <w:bdr w:val="none" w:sz="0" w:space="0" w:color="auto" w:frame="1"/>
          <w14:ligatures w14:val="none"/>
        </w:rPr>
        <w:fldChar w:fldCharType="separate"/>
      </w:r>
      <w:r w:rsidRPr="00A04591">
        <w:rPr>
          <w:rFonts w:ascii="Times New Roman" w:eastAsia="Times New Roman" w:hAnsi="Times New Roman" w:cs="Times New Roman"/>
          <w:noProof/>
          <w:color w:val="000000"/>
          <w:kern w:val="0"/>
          <w:bdr w:val="none" w:sz="0" w:space="0" w:color="auto" w:frame="1"/>
          <w14:ligatures w14:val="none"/>
        </w:rPr>
        <w:drawing>
          <wp:inline distT="0" distB="0" distL="0" distR="0" wp14:anchorId="3B98AC01" wp14:editId="010FE335">
            <wp:extent cx="3107055" cy="663575"/>
            <wp:effectExtent l="0" t="0" r="4445" b="0"/>
            <wp:docPr id="1363575104" name="Picture 2" descr="A black text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black text with a line&#10;&#10;Description automatically generated"/>
                    <pic:cNvPicPr>
                      <a:picLocks noChangeAspect="1" noChangeArrowheads="1"/>
                    </pic:cNvPicPr>
                  </pic:nvPicPr>
                  <pic:blipFill>
                    <a:blip r:embed="rId6">
                      <a:extLst>
                        <a:ext uri="{28A0092B-C50C-407E-A947-70E740481C1C}">
                          <a14:useLocalDpi xmlns:a14="http://schemas.microsoft.com/office/drawing/2010/main"/>
                        </a:ext>
                      </a:extLst>
                    </a:blip>
                    <a:srcRect/>
                    <a:stretch>
                      <a:fillRect/>
                    </a:stretch>
                  </pic:blipFill>
                  <pic:spPr bwMode="auto">
                    <a:xfrm>
                      <a:off x="0" y="0"/>
                      <a:ext cx="3107055" cy="663575"/>
                    </a:xfrm>
                    <a:prstGeom prst="rect">
                      <a:avLst/>
                    </a:prstGeom>
                    <a:noFill/>
                    <a:ln>
                      <a:noFill/>
                    </a:ln>
                  </pic:spPr>
                </pic:pic>
              </a:graphicData>
            </a:graphic>
          </wp:inline>
        </w:drawing>
      </w:r>
      <w:r w:rsidRPr="00A04591">
        <w:rPr>
          <w:rFonts w:ascii="Times New Roman" w:eastAsia="Times New Roman" w:hAnsi="Times New Roman" w:cs="Times New Roman"/>
          <w:color w:val="000000"/>
          <w:kern w:val="0"/>
          <w:bdr w:val="none" w:sz="0" w:space="0" w:color="auto" w:frame="1"/>
          <w14:ligatures w14:val="none"/>
        </w:rPr>
        <w:fldChar w:fldCharType="end"/>
      </w:r>
    </w:p>
    <w:p w14:paraId="42FF572C" w14:textId="77777777" w:rsidR="00A04591" w:rsidRPr="00A04591" w:rsidRDefault="00A04591" w:rsidP="00A04591">
      <w:pPr>
        <w:shd w:val="clear" w:color="auto" w:fill="FFFFFF"/>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lastRenderedPageBreak/>
        <w:t>Where RSS</w:t>
      </w:r>
      <w:r w:rsidRPr="00A04591">
        <w:rPr>
          <w:rFonts w:ascii="Times New Roman" w:eastAsia="Times New Roman" w:hAnsi="Times New Roman" w:cs="Times New Roman"/>
          <w:color w:val="000000"/>
          <w:kern w:val="0"/>
          <w:sz w:val="14"/>
          <w:szCs w:val="14"/>
          <w:vertAlign w:val="superscript"/>
          <w14:ligatures w14:val="none"/>
        </w:rPr>
        <w:t>R</w:t>
      </w:r>
      <w:r w:rsidRPr="00A04591">
        <w:rPr>
          <w:rFonts w:ascii="Times New Roman" w:eastAsia="Times New Roman" w:hAnsi="Times New Roman" w:cs="Times New Roman"/>
          <w:color w:val="000000"/>
          <w:kern w:val="0"/>
          <w14:ligatures w14:val="none"/>
        </w:rPr>
        <w:t xml:space="preserve"> and RSS</w:t>
      </w:r>
      <w:r w:rsidRPr="00A04591">
        <w:rPr>
          <w:rFonts w:ascii="Times New Roman" w:eastAsia="Times New Roman" w:hAnsi="Times New Roman" w:cs="Times New Roman"/>
          <w:color w:val="000000"/>
          <w:kern w:val="0"/>
          <w:sz w:val="14"/>
          <w:szCs w:val="14"/>
          <w:vertAlign w:val="superscript"/>
          <w14:ligatures w14:val="none"/>
        </w:rPr>
        <w:t>U</w:t>
      </w:r>
      <w:r w:rsidRPr="00A04591">
        <w:rPr>
          <w:rFonts w:ascii="Times New Roman" w:eastAsia="Times New Roman" w:hAnsi="Times New Roman" w:cs="Times New Roman"/>
          <w:color w:val="000000"/>
          <w:kern w:val="0"/>
          <w14:ligatures w14:val="none"/>
        </w:rPr>
        <w:t xml:space="preserve"> are the residual sum of squares restricted and unrestricted, respectively (Wooldridge, 2009)</w:t>
      </w:r>
    </w:p>
    <w:p w14:paraId="58C00AB9" w14:textId="51C3D0F4" w:rsidR="00A04591" w:rsidRPr="00A04591" w:rsidRDefault="00A04591" w:rsidP="00A04591">
      <w:pPr>
        <w:spacing w:after="240"/>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14:ligatures w14:val="none"/>
        </w:rPr>
        <w:br/>
      </w:r>
      <w:r w:rsidRPr="00A04591">
        <w:rPr>
          <w:rFonts w:ascii="Times New Roman" w:eastAsia="Times New Roman" w:hAnsi="Times New Roman" w:cs="Times New Roman"/>
          <w:color w:val="000000"/>
          <w:kern w:val="0"/>
          <w14:ligatures w14:val="none"/>
        </w:rPr>
        <w:br/>
      </w:r>
    </w:p>
    <w:p w14:paraId="5A684FF2" w14:textId="43A64579" w:rsid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b/>
          <w:bCs/>
          <w:color w:val="000000"/>
          <w:kern w:val="0"/>
          <w14:ligatures w14:val="none"/>
        </w:rPr>
        <w:t xml:space="preserve">Figure </w:t>
      </w:r>
      <w:r>
        <w:rPr>
          <w:rFonts w:ascii="Times New Roman" w:eastAsia="Times New Roman" w:hAnsi="Times New Roman" w:cs="Times New Roman"/>
          <w:b/>
          <w:bCs/>
          <w:color w:val="000000"/>
          <w:kern w:val="0"/>
          <w14:ligatures w14:val="none"/>
        </w:rPr>
        <w:t>A</w:t>
      </w:r>
      <w:r w:rsidRPr="00A04591">
        <w:rPr>
          <w:rFonts w:ascii="Times New Roman" w:eastAsia="Times New Roman" w:hAnsi="Times New Roman" w:cs="Times New Roman"/>
          <w:b/>
          <w:bCs/>
          <w:color w:val="000000"/>
          <w:kern w:val="0"/>
          <w14:ligatures w14:val="none"/>
        </w:rPr>
        <w:t>1:</w:t>
      </w:r>
      <w:r w:rsidRPr="00A04591">
        <w:rPr>
          <w:rFonts w:ascii="Times New Roman" w:eastAsia="Times New Roman" w:hAnsi="Times New Roman" w:cs="Times New Roman"/>
          <w:color w:val="000000"/>
          <w:kern w:val="0"/>
          <w14:ligatures w14:val="none"/>
        </w:rPr>
        <w:t xml:space="preserve"> Test of correct specification: Correlogram of the estimated autocorrelations and partial autocorrelations of residuals. </w:t>
      </w:r>
    </w:p>
    <w:p w14:paraId="4787168D" w14:textId="77777777" w:rsidR="00A04591" w:rsidRPr="00A04591" w:rsidRDefault="00A04591" w:rsidP="00A04591">
      <w:pPr>
        <w:rPr>
          <w:rFonts w:ascii="Times New Roman" w:eastAsia="Times New Roman" w:hAnsi="Times New Roman" w:cs="Times New Roman"/>
          <w:color w:val="000000"/>
          <w:kern w:val="0"/>
          <w14:ligatures w14:val="none"/>
        </w:rPr>
      </w:pPr>
    </w:p>
    <w:p w14:paraId="6ECFD09A" w14:textId="340EEC49" w:rsidR="00A04591" w:rsidRPr="00A04591" w:rsidRDefault="00A04591" w:rsidP="00A04591">
      <w:pPr>
        <w:rPr>
          <w:rFonts w:ascii="Times New Roman" w:eastAsia="Times New Roman" w:hAnsi="Times New Roman" w:cs="Times New Roman"/>
          <w:color w:val="000000"/>
          <w:kern w:val="0"/>
          <w14:ligatures w14:val="none"/>
        </w:rPr>
      </w:pPr>
      <w:r w:rsidRPr="00A04591">
        <w:rPr>
          <w:rFonts w:ascii="Times New Roman" w:eastAsia="Times New Roman" w:hAnsi="Times New Roman" w:cs="Times New Roman"/>
          <w:color w:val="000000"/>
          <w:kern w:val="0"/>
          <w:bdr w:val="none" w:sz="0" w:space="0" w:color="auto" w:frame="1"/>
          <w14:ligatures w14:val="none"/>
        </w:rPr>
        <w:fldChar w:fldCharType="begin"/>
      </w:r>
      <w:r w:rsidRPr="00A04591">
        <w:rPr>
          <w:rFonts w:ascii="Times New Roman" w:eastAsia="Times New Roman" w:hAnsi="Times New Roman" w:cs="Times New Roman"/>
          <w:color w:val="000000"/>
          <w:kern w:val="0"/>
          <w:bdr w:val="none" w:sz="0" w:space="0" w:color="auto" w:frame="1"/>
          <w14:ligatures w14:val="none"/>
        </w:rPr>
        <w:instrText xml:space="preserve"> INCLUDEPICTURE "https://lh7-us.googleusercontent.com/a_s1nkd7qdl-BxepmXCAjwFJcegmWsFAME8soaN_6x2WrMw3sSdfnno0pCUCpN8Nyn42IOq8QdWEQuMYmXb7YB-6IGZE9qQ9RTiTaPrfJxtAwKqvIJuiGvkNGB7L5_d2ORxyxnabGqpXo7EASMXDfA" \* MERGEFORMATINET </w:instrText>
      </w:r>
      <w:r w:rsidRPr="00A04591">
        <w:rPr>
          <w:rFonts w:ascii="Times New Roman" w:eastAsia="Times New Roman" w:hAnsi="Times New Roman" w:cs="Times New Roman"/>
          <w:color w:val="000000"/>
          <w:kern w:val="0"/>
          <w:bdr w:val="none" w:sz="0" w:space="0" w:color="auto" w:frame="1"/>
          <w14:ligatures w14:val="none"/>
        </w:rPr>
        <w:fldChar w:fldCharType="separate"/>
      </w:r>
      <w:r w:rsidRPr="00A04591">
        <w:rPr>
          <w:rFonts w:ascii="Times New Roman" w:eastAsia="Times New Roman" w:hAnsi="Times New Roman" w:cs="Times New Roman"/>
          <w:noProof/>
          <w:color w:val="000000"/>
          <w:kern w:val="0"/>
          <w:bdr w:val="none" w:sz="0" w:space="0" w:color="auto" w:frame="1"/>
          <w14:ligatures w14:val="none"/>
        </w:rPr>
        <w:drawing>
          <wp:inline distT="0" distB="0" distL="0" distR="0" wp14:anchorId="6B0B70BC" wp14:editId="7EAD2060">
            <wp:extent cx="4005558" cy="2136140"/>
            <wp:effectExtent l="0" t="0" r="0" b="0"/>
            <wp:docPr id="165974327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screenshot of a computer&#10;&#10;Description automatically generated"/>
                    <pic:cNvPicPr>
                      <a:picLocks noChangeAspect="1" noChangeArrowheads="1"/>
                    </pic:cNvPicPr>
                  </pic:nvPicPr>
                  <pic:blipFill rotWithShape="1">
                    <a:blip r:embed="rId7">
                      <a:extLst>
                        <a:ext uri="{28A0092B-C50C-407E-A947-70E740481C1C}">
                          <a14:useLocalDpi xmlns:a14="http://schemas.microsoft.com/office/drawing/2010/main"/>
                        </a:ext>
                      </a:extLst>
                    </a:blip>
                    <a:srcRect/>
                    <a:stretch/>
                  </pic:blipFill>
                  <pic:spPr bwMode="auto">
                    <a:xfrm>
                      <a:off x="0" y="0"/>
                      <a:ext cx="4006319" cy="2136546"/>
                    </a:xfrm>
                    <a:prstGeom prst="rect">
                      <a:avLst/>
                    </a:prstGeom>
                    <a:noFill/>
                    <a:ln>
                      <a:noFill/>
                    </a:ln>
                    <a:extLst>
                      <a:ext uri="{53640926-AAD7-44D8-BBD7-CCE9431645EC}">
                        <a14:shadowObscured xmlns:a14="http://schemas.microsoft.com/office/drawing/2010/main"/>
                      </a:ext>
                    </a:extLst>
                  </pic:spPr>
                </pic:pic>
              </a:graphicData>
            </a:graphic>
          </wp:inline>
        </w:drawing>
      </w:r>
      <w:r w:rsidRPr="00A04591">
        <w:rPr>
          <w:rFonts w:ascii="Times New Roman" w:eastAsia="Times New Roman" w:hAnsi="Times New Roman" w:cs="Times New Roman"/>
          <w:color w:val="000000"/>
          <w:kern w:val="0"/>
          <w:bdr w:val="none" w:sz="0" w:space="0" w:color="auto" w:frame="1"/>
          <w14:ligatures w14:val="none"/>
        </w:rPr>
        <w:fldChar w:fldCharType="end"/>
      </w:r>
    </w:p>
    <w:p w14:paraId="0C558B1F" w14:textId="78656E88" w:rsidR="00E6668E" w:rsidRPr="00E6668E" w:rsidRDefault="00A04591" w:rsidP="00A04591">
      <w:pPr>
        <w:spacing w:after="240"/>
        <w:rPr>
          <w:rFonts w:ascii="Times New Roman" w:eastAsia="Times New Roman" w:hAnsi="Times New Roman" w:cs="Times New Roman"/>
          <w:b/>
          <w:bCs/>
          <w:color w:val="000000"/>
          <w:kern w:val="0"/>
          <w14:ligatures w14:val="none"/>
        </w:rPr>
      </w:pPr>
      <w:r w:rsidRPr="00A04591">
        <w:rPr>
          <w:rFonts w:ascii="Times New Roman" w:eastAsia="Times New Roman" w:hAnsi="Times New Roman" w:cs="Times New Roman"/>
          <w:color w:val="000000"/>
          <w:kern w:val="0"/>
          <w14:ligatures w14:val="none"/>
        </w:rPr>
        <w:br/>
      </w:r>
      <w:r w:rsidRPr="00A04591">
        <w:rPr>
          <w:rFonts w:ascii="Times New Roman" w:eastAsia="Times New Roman" w:hAnsi="Times New Roman" w:cs="Times New Roman"/>
          <w:color w:val="000000"/>
          <w:kern w:val="0"/>
          <w14:ligatures w14:val="none"/>
        </w:rPr>
        <w:br/>
      </w:r>
      <w:r w:rsidRPr="00A04591">
        <w:rPr>
          <w:rFonts w:ascii="Times New Roman" w:eastAsia="Times New Roman" w:hAnsi="Times New Roman" w:cs="Times New Roman"/>
          <w:color w:val="000000"/>
          <w:kern w:val="0"/>
          <w14:ligatures w14:val="none"/>
        </w:rPr>
        <w:br/>
      </w:r>
      <w:r w:rsidRPr="00A04591">
        <w:rPr>
          <w:rFonts w:ascii="Times New Roman" w:eastAsia="Times New Roman" w:hAnsi="Times New Roman" w:cs="Times New Roman"/>
          <w:color w:val="000000"/>
          <w:kern w:val="0"/>
          <w14:ligatures w14:val="none"/>
        </w:rPr>
        <w:br/>
      </w:r>
      <w:r w:rsidR="00E6668E" w:rsidRPr="00E6668E">
        <w:rPr>
          <w:rFonts w:ascii="Times New Roman" w:eastAsia="Times New Roman" w:hAnsi="Times New Roman" w:cs="Times New Roman"/>
          <w:b/>
          <w:bCs/>
          <w:color w:val="000000"/>
          <w:kern w:val="0"/>
          <w14:ligatures w14:val="none"/>
        </w:rPr>
        <w:t>References</w:t>
      </w:r>
    </w:p>
    <w:p w14:paraId="2034C766" w14:textId="75CEC2D1" w:rsidR="0038022C" w:rsidRPr="0038022C" w:rsidRDefault="0038022C" w:rsidP="0038022C">
      <w:pPr>
        <w:spacing w:before="240"/>
        <w:rPr>
          <w:rFonts w:ascii="Times New Roman" w:eastAsia="Times New Roman" w:hAnsi="Times New Roman" w:cs="Times New Roman"/>
          <w:color w:val="000000"/>
          <w:kern w:val="0"/>
          <w14:ligatures w14:val="none"/>
        </w:rPr>
      </w:pPr>
      <w:r w:rsidRPr="0038022C">
        <w:rPr>
          <w:rFonts w:ascii="Times New Roman" w:eastAsia="Times New Roman" w:hAnsi="Times New Roman" w:cs="Times New Roman"/>
          <w:color w:val="000000"/>
          <w:kern w:val="0"/>
          <w14:ligatures w14:val="none"/>
        </w:rPr>
        <w:t xml:space="preserve">Engle, R. &amp; Granger, W. Cointegration and error correction representation, estimation and testing. </w:t>
      </w:r>
      <w:r w:rsidRPr="0038022C">
        <w:rPr>
          <w:rFonts w:ascii="Times New Roman" w:eastAsia="Times New Roman" w:hAnsi="Times New Roman" w:cs="Times New Roman"/>
          <w:i/>
          <w:iCs/>
          <w:color w:val="000000"/>
          <w:kern w:val="0"/>
          <w14:ligatures w14:val="none"/>
        </w:rPr>
        <w:t>Econometrica</w:t>
      </w:r>
      <w:r w:rsidRPr="0038022C">
        <w:rPr>
          <w:rFonts w:ascii="Times New Roman" w:eastAsia="Times New Roman" w:hAnsi="Times New Roman" w:cs="Times New Roman"/>
          <w:color w:val="000000"/>
          <w:kern w:val="0"/>
          <w14:ligatures w14:val="none"/>
        </w:rPr>
        <w:t xml:space="preserve"> </w:t>
      </w:r>
      <w:r w:rsidRPr="0038022C">
        <w:rPr>
          <w:rFonts w:ascii="Times New Roman" w:eastAsia="Times New Roman" w:hAnsi="Times New Roman" w:cs="Times New Roman"/>
          <w:b/>
          <w:bCs/>
          <w:color w:val="000000"/>
          <w:kern w:val="0"/>
          <w14:ligatures w14:val="none"/>
        </w:rPr>
        <w:t>55</w:t>
      </w:r>
      <w:r w:rsidRPr="0038022C">
        <w:rPr>
          <w:rFonts w:ascii="Times New Roman" w:eastAsia="Times New Roman" w:hAnsi="Times New Roman" w:cs="Times New Roman"/>
          <w:color w:val="000000"/>
          <w:kern w:val="0"/>
          <w14:ligatures w14:val="none"/>
        </w:rPr>
        <w:t>, 251–276 (1987).</w:t>
      </w:r>
    </w:p>
    <w:p w14:paraId="0046869F" w14:textId="2A674AC3" w:rsidR="0038022C" w:rsidRPr="0038022C" w:rsidRDefault="0038022C" w:rsidP="0038022C">
      <w:pPr>
        <w:rPr>
          <w:rFonts w:ascii="Times New Roman" w:eastAsia="Times New Roman" w:hAnsi="Times New Roman" w:cs="Times New Roman"/>
          <w:color w:val="000000"/>
          <w:kern w:val="0"/>
          <w14:ligatures w14:val="none"/>
        </w:rPr>
      </w:pPr>
      <w:r w:rsidRPr="0038022C">
        <w:rPr>
          <w:rFonts w:ascii="Times New Roman" w:eastAsia="Times New Roman" w:hAnsi="Times New Roman" w:cs="Times New Roman"/>
          <w:color w:val="000000"/>
          <w:kern w:val="0"/>
          <w14:ligatures w14:val="none"/>
        </w:rPr>
        <w:br/>
      </w:r>
      <w:r w:rsidRPr="0038022C">
        <w:rPr>
          <w:rFonts w:ascii="Times New Roman" w:eastAsia="Times New Roman" w:hAnsi="Times New Roman" w:cs="Times New Roman"/>
          <w:color w:val="1C1D1E"/>
          <w:kern w:val="0"/>
          <w14:ligatures w14:val="none"/>
        </w:rPr>
        <w:t>Gibb, H.</w:t>
      </w:r>
      <w:r w:rsidRPr="0038022C">
        <w:rPr>
          <w:rFonts w:ascii="Times New Roman" w:eastAsia="Times New Roman" w:hAnsi="Times New Roman" w:cs="Times New Roman"/>
          <w:color w:val="1C1D1E"/>
          <w:kern w:val="0"/>
          <w:shd w:val="clear" w:color="auto" w:fill="FFFFFF"/>
          <w14:ligatures w14:val="none"/>
        </w:rPr>
        <w:t xml:space="preserve"> </w:t>
      </w:r>
      <w:r w:rsidRPr="0038022C">
        <w:rPr>
          <w:rFonts w:ascii="Times New Roman" w:eastAsia="Times New Roman" w:hAnsi="Times New Roman" w:cs="Times New Roman"/>
          <w:i/>
          <w:iCs/>
          <w:color w:val="1C1D1E"/>
          <w:kern w:val="0"/>
          <w:shd w:val="clear" w:color="auto" w:fill="FFFFFF"/>
          <w14:ligatures w14:val="none"/>
        </w:rPr>
        <w:t xml:space="preserve">et al. </w:t>
      </w:r>
      <w:r w:rsidRPr="0038022C">
        <w:rPr>
          <w:rFonts w:ascii="Times New Roman" w:eastAsia="Times New Roman" w:hAnsi="Times New Roman" w:cs="Times New Roman"/>
          <w:color w:val="1C1D1E"/>
          <w:kern w:val="0"/>
          <w14:ligatures w14:val="none"/>
        </w:rPr>
        <w:t>Long-term responses of desert ant assemblages to climate</w:t>
      </w:r>
      <w:r w:rsidRPr="0038022C">
        <w:rPr>
          <w:rFonts w:ascii="Times New Roman" w:eastAsia="Times New Roman" w:hAnsi="Times New Roman" w:cs="Times New Roman"/>
          <w:color w:val="1C1D1E"/>
          <w:kern w:val="0"/>
          <w:shd w:val="clear" w:color="auto" w:fill="FFFFFF"/>
          <w14:ligatures w14:val="none"/>
        </w:rPr>
        <w:t xml:space="preserve">. </w:t>
      </w:r>
      <w:r w:rsidRPr="0038022C">
        <w:rPr>
          <w:rFonts w:ascii="Times New Roman" w:eastAsia="Times New Roman" w:hAnsi="Times New Roman" w:cs="Times New Roman"/>
          <w:i/>
          <w:iCs/>
          <w:color w:val="1C1D1E"/>
          <w:kern w:val="0"/>
          <w14:ligatures w14:val="none"/>
        </w:rPr>
        <w:t>J Anim Ecol</w:t>
      </w:r>
      <w:r w:rsidRPr="0038022C">
        <w:rPr>
          <w:rFonts w:ascii="Times New Roman" w:eastAsia="Times New Roman" w:hAnsi="Times New Roman" w:cs="Times New Roman"/>
          <w:color w:val="1C1D1E"/>
          <w:kern w:val="0"/>
          <w:shd w:val="clear" w:color="auto" w:fill="FFFFFF"/>
          <w14:ligatures w14:val="none"/>
        </w:rPr>
        <w:t xml:space="preserve">. </w:t>
      </w:r>
      <w:r w:rsidRPr="0038022C">
        <w:rPr>
          <w:rFonts w:ascii="Times New Roman" w:eastAsia="Times New Roman" w:hAnsi="Times New Roman" w:cs="Times New Roman"/>
          <w:color w:val="1C1D1E"/>
          <w:kern w:val="0"/>
          <w14:ligatures w14:val="none"/>
        </w:rPr>
        <w:t>88</w:t>
      </w:r>
      <w:r w:rsidRPr="0038022C">
        <w:rPr>
          <w:rFonts w:ascii="Times New Roman" w:eastAsia="Times New Roman" w:hAnsi="Times New Roman" w:cs="Times New Roman"/>
          <w:color w:val="1C1D1E"/>
          <w:kern w:val="0"/>
          <w:shd w:val="clear" w:color="auto" w:fill="FFFFFF"/>
          <w14:ligatures w14:val="none"/>
        </w:rPr>
        <w:t xml:space="preserve">: </w:t>
      </w:r>
      <w:r w:rsidRPr="0038022C">
        <w:rPr>
          <w:rFonts w:ascii="Times New Roman" w:eastAsia="Times New Roman" w:hAnsi="Times New Roman" w:cs="Times New Roman"/>
          <w:color w:val="1C1D1E"/>
          <w:kern w:val="0"/>
          <w14:ligatures w14:val="none"/>
        </w:rPr>
        <w:t>1549</w:t>
      </w:r>
      <w:r w:rsidRPr="0038022C">
        <w:rPr>
          <w:rFonts w:ascii="Times New Roman" w:eastAsia="Times New Roman" w:hAnsi="Times New Roman" w:cs="Times New Roman"/>
          <w:color w:val="1C1D1E"/>
          <w:kern w:val="0"/>
          <w:shd w:val="clear" w:color="auto" w:fill="FFFFFF"/>
          <w14:ligatures w14:val="none"/>
        </w:rPr>
        <w:t>–</w:t>
      </w:r>
      <w:r w:rsidRPr="0038022C">
        <w:rPr>
          <w:rFonts w:ascii="Times New Roman" w:eastAsia="Times New Roman" w:hAnsi="Times New Roman" w:cs="Times New Roman"/>
          <w:color w:val="1C1D1E"/>
          <w:kern w:val="0"/>
          <w14:ligatures w14:val="none"/>
        </w:rPr>
        <w:t>1563</w:t>
      </w:r>
      <w:r w:rsidRPr="0038022C">
        <w:rPr>
          <w:rFonts w:ascii="Times New Roman" w:eastAsia="Times New Roman" w:hAnsi="Times New Roman" w:cs="Times New Roman"/>
          <w:color w:val="1C1D1E"/>
          <w:kern w:val="0"/>
          <w:shd w:val="clear" w:color="auto" w:fill="FFFFFF"/>
          <w14:ligatures w14:val="none"/>
        </w:rPr>
        <w:t xml:space="preserve"> (</w:t>
      </w:r>
      <w:r w:rsidRPr="0038022C">
        <w:rPr>
          <w:rFonts w:ascii="Times New Roman" w:eastAsia="Times New Roman" w:hAnsi="Times New Roman" w:cs="Times New Roman"/>
          <w:color w:val="1C1D1E"/>
          <w:kern w:val="0"/>
          <w14:ligatures w14:val="none"/>
        </w:rPr>
        <w:t>2019</w:t>
      </w:r>
      <w:r w:rsidRPr="0038022C">
        <w:rPr>
          <w:rFonts w:ascii="Times New Roman" w:eastAsia="Times New Roman" w:hAnsi="Times New Roman" w:cs="Times New Roman"/>
          <w:color w:val="1C1D1E"/>
          <w:kern w:val="0"/>
          <w:shd w:val="clear" w:color="auto" w:fill="FFFFFF"/>
          <w14:ligatures w14:val="none"/>
        </w:rPr>
        <w:t>).</w:t>
      </w:r>
    </w:p>
    <w:p w14:paraId="0F08D281" w14:textId="4F76D8F7" w:rsidR="00E6668E" w:rsidRDefault="0038022C" w:rsidP="0048268E">
      <w:pPr>
        <w:rPr>
          <w:rFonts w:ascii="Times New Roman" w:eastAsia="Times New Roman" w:hAnsi="Times New Roman" w:cs="Times New Roman"/>
          <w:kern w:val="0"/>
          <w14:ligatures w14:val="none"/>
        </w:rPr>
      </w:pPr>
      <w:r w:rsidRPr="0038022C">
        <w:rPr>
          <w:rFonts w:ascii="Times New Roman" w:eastAsia="Times New Roman" w:hAnsi="Times New Roman" w:cs="Times New Roman"/>
          <w:color w:val="000000"/>
          <w:kern w:val="0"/>
          <w14:ligatures w14:val="none"/>
        </w:rPr>
        <w:br/>
        <w:t xml:space="preserve">Gibb, H. </w:t>
      </w:r>
      <w:r w:rsidRPr="0038022C">
        <w:rPr>
          <w:rFonts w:ascii="Times New Roman" w:eastAsia="Times New Roman" w:hAnsi="Times New Roman" w:cs="Times New Roman"/>
          <w:i/>
          <w:iCs/>
          <w:color w:val="1C1D1E"/>
          <w:kern w:val="0"/>
          <w:shd w:val="clear" w:color="auto" w:fill="FFFFFF"/>
          <w14:ligatures w14:val="none"/>
        </w:rPr>
        <w:t xml:space="preserve">et al. </w:t>
      </w:r>
      <w:r w:rsidRPr="0038022C">
        <w:rPr>
          <w:rFonts w:ascii="Times New Roman" w:eastAsia="Times New Roman" w:hAnsi="Times New Roman" w:cs="Times New Roman"/>
          <w:color w:val="000000"/>
          <w:kern w:val="0"/>
          <w14:ligatures w14:val="none"/>
        </w:rPr>
        <w:t xml:space="preserve"> Top-down response to spatial variation in productivity and bottom-up response to temporal variation in productivity in a long-term study of desert ants. </w:t>
      </w:r>
      <w:r w:rsidRPr="0038022C">
        <w:rPr>
          <w:rFonts w:ascii="Times New Roman" w:eastAsia="Times New Roman" w:hAnsi="Times New Roman" w:cs="Times New Roman"/>
          <w:i/>
          <w:iCs/>
          <w:color w:val="000000"/>
          <w:kern w:val="0"/>
          <w14:ligatures w14:val="none"/>
        </w:rPr>
        <w:t>Biol. Lett.</w:t>
      </w:r>
      <w:r w:rsidRPr="0038022C">
        <w:rPr>
          <w:rFonts w:ascii="Times New Roman" w:eastAsia="Times New Roman" w:hAnsi="Times New Roman" w:cs="Times New Roman"/>
          <w:color w:val="000000"/>
          <w:kern w:val="0"/>
          <w14:ligatures w14:val="none"/>
        </w:rPr>
        <w:t xml:space="preserve"> </w:t>
      </w:r>
      <w:r w:rsidRPr="0038022C">
        <w:rPr>
          <w:rFonts w:ascii="Times New Roman" w:eastAsia="Times New Roman" w:hAnsi="Times New Roman" w:cs="Times New Roman"/>
          <w:b/>
          <w:bCs/>
          <w:color w:val="000000"/>
          <w:kern w:val="0"/>
          <w14:ligatures w14:val="none"/>
        </w:rPr>
        <w:t>18</w:t>
      </w:r>
      <w:r w:rsidRPr="0038022C">
        <w:rPr>
          <w:rFonts w:ascii="Times New Roman" w:eastAsia="Times New Roman" w:hAnsi="Times New Roman" w:cs="Times New Roman"/>
          <w:color w:val="000000"/>
          <w:kern w:val="0"/>
          <w14:ligatures w14:val="none"/>
        </w:rPr>
        <w:t>: 20220314 (2022).</w:t>
      </w:r>
    </w:p>
    <w:p w14:paraId="2DDE07D0" w14:textId="77777777" w:rsidR="0048268E" w:rsidRPr="0048268E" w:rsidRDefault="0048268E" w:rsidP="0048268E">
      <w:pPr>
        <w:rPr>
          <w:rFonts w:ascii="Times New Roman" w:eastAsia="Times New Roman" w:hAnsi="Times New Roman" w:cs="Times New Roman"/>
          <w:kern w:val="0"/>
          <w14:ligatures w14:val="none"/>
        </w:rPr>
      </w:pPr>
    </w:p>
    <w:p w14:paraId="73F69C9A" w14:textId="4D9472F0" w:rsidR="00E6668E" w:rsidRPr="00E6668E" w:rsidRDefault="00E6668E" w:rsidP="0038022C">
      <w:pPr>
        <w:spacing w:before="240"/>
        <w:rPr>
          <w:rFonts w:ascii="Times New Roman" w:eastAsia="Times New Roman" w:hAnsi="Times New Roman" w:cs="Times New Roman"/>
          <w:color w:val="000000"/>
          <w:kern w:val="0"/>
          <w14:ligatures w14:val="none"/>
        </w:rPr>
      </w:pPr>
      <w:r w:rsidRPr="00E6668E">
        <w:rPr>
          <w:rFonts w:ascii="Times New Roman" w:eastAsia="Times New Roman" w:hAnsi="Times New Roman" w:cs="Times New Roman"/>
          <w:color w:val="000000"/>
          <w:kern w:val="0"/>
          <w14:ligatures w14:val="none"/>
        </w:rPr>
        <w:t xml:space="preserve">Granger, C. &amp; Newbold, P. Spurious regressions in econometrics. </w:t>
      </w:r>
      <w:r w:rsidRPr="00E6668E">
        <w:rPr>
          <w:rFonts w:ascii="Times New Roman" w:eastAsia="Times New Roman" w:hAnsi="Times New Roman" w:cs="Times New Roman"/>
          <w:i/>
          <w:iCs/>
          <w:color w:val="000000"/>
          <w:kern w:val="0"/>
          <w14:ligatures w14:val="none"/>
        </w:rPr>
        <w:t>J. Econom.</w:t>
      </w:r>
      <w:r w:rsidRPr="00E6668E">
        <w:rPr>
          <w:rFonts w:ascii="Times New Roman" w:eastAsia="Times New Roman" w:hAnsi="Times New Roman" w:cs="Times New Roman"/>
          <w:color w:val="000000"/>
          <w:kern w:val="0"/>
          <w14:ligatures w14:val="none"/>
        </w:rPr>
        <w:t xml:space="preserve"> </w:t>
      </w:r>
      <w:r w:rsidRPr="00E6668E">
        <w:rPr>
          <w:rFonts w:ascii="Times New Roman" w:eastAsia="Times New Roman" w:hAnsi="Times New Roman" w:cs="Times New Roman"/>
          <w:b/>
          <w:bCs/>
          <w:color w:val="000000"/>
          <w:kern w:val="0"/>
          <w14:ligatures w14:val="none"/>
        </w:rPr>
        <w:t>2</w:t>
      </w:r>
      <w:r w:rsidRPr="00E6668E">
        <w:rPr>
          <w:rFonts w:ascii="Times New Roman" w:eastAsia="Times New Roman" w:hAnsi="Times New Roman" w:cs="Times New Roman"/>
          <w:color w:val="000000"/>
          <w:kern w:val="0"/>
          <w14:ligatures w14:val="none"/>
        </w:rPr>
        <w:t>, 111–120 (1974).</w:t>
      </w:r>
    </w:p>
    <w:p w14:paraId="56E2B6A1" w14:textId="77777777" w:rsidR="00E6668E" w:rsidRPr="00E6668E" w:rsidRDefault="00E6668E" w:rsidP="00E6668E">
      <w:pPr>
        <w:rPr>
          <w:rFonts w:ascii="Times New Roman" w:eastAsia="Times New Roman" w:hAnsi="Times New Roman" w:cs="Times New Roman"/>
          <w:kern w:val="0"/>
          <w14:ligatures w14:val="none"/>
        </w:rPr>
      </w:pPr>
    </w:p>
    <w:p w14:paraId="619F51CD" w14:textId="77777777" w:rsidR="0048268E" w:rsidRDefault="0038022C" w:rsidP="00A04591">
      <w:pPr>
        <w:spacing w:after="240"/>
        <w:rPr>
          <w:rFonts w:ascii="Times New Roman" w:hAnsi="Times New Roman" w:cs="Times New Roman"/>
          <w:color w:val="000000"/>
        </w:rPr>
      </w:pPr>
      <w:r w:rsidRPr="0038022C">
        <w:rPr>
          <w:rFonts w:ascii="Times New Roman" w:hAnsi="Times New Roman" w:cs="Times New Roman"/>
          <w:color w:val="000000"/>
        </w:rPr>
        <w:t xml:space="preserve">Prather RM et al. Current and lagged climate affects phenology across diverse taxonomic groups. </w:t>
      </w:r>
      <w:r w:rsidRPr="0038022C">
        <w:rPr>
          <w:rFonts w:ascii="Times New Roman" w:hAnsi="Times New Roman" w:cs="Times New Roman"/>
          <w:i/>
          <w:iCs/>
          <w:color w:val="000000"/>
        </w:rPr>
        <w:t>Proc. R. Soc. B</w:t>
      </w:r>
      <w:r w:rsidRPr="0038022C">
        <w:rPr>
          <w:rFonts w:ascii="Times New Roman" w:hAnsi="Times New Roman" w:cs="Times New Roman"/>
          <w:color w:val="000000"/>
        </w:rPr>
        <w:t xml:space="preserve"> </w:t>
      </w:r>
      <w:r w:rsidRPr="0038022C">
        <w:rPr>
          <w:rFonts w:ascii="Times New Roman" w:hAnsi="Times New Roman" w:cs="Times New Roman"/>
          <w:b/>
          <w:bCs/>
          <w:color w:val="000000"/>
        </w:rPr>
        <w:t>290</w:t>
      </w:r>
      <w:r w:rsidRPr="0038022C">
        <w:rPr>
          <w:rFonts w:ascii="Times New Roman" w:hAnsi="Times New Roman" w:cs="Times New Roman"/>
          <w:color w:val="000000"/>
        </w:rPr>
        <w:t>: 20222181 (2023).</w:t>
      </w:r>
    </w:p>
    <w:p w14:paraId="28AFACE1" w14:textId="77777777" w:rsidR="0048268E" w:rsidRDefault="0048268E" w:rsidP="00A04591">
      <w:pPr>
        <w:spacing w:after="240"/>
        <w:rPr>
          <w:rFonts w:ascii="Times New Roman" w:hAnsi="Times New Roman" w:cs="Times New Roman"/>
          <w:color w:val="000000"/>
        </w:rPr>
      </w:pPr>
    </w:p>
    <w:p w14:paraId="35828E0B" w14:textId="381214AB" w:rsidR="00A04591" w:rsidRPr="0038022C" w:rsidRDefault="00A04591" w:rsidP="00A04591">
      <w:pPr>
        <w:spacing w:after="240"/>
        <w:rPr>
          <w:rFonts w:ascii="Times New Roman" w:eastAsia="Times New Roman" w:hAnsi="Times New Roman" w:cs="Times New Roman"/>
          <w:kern w:val="0"/>
          <w14:ligatures w14:val="none"/>
        </w:rPr>
      </w:pPr>
      <w:r w:rsidRPr="0038022C">
        <w:rPr>
          <w:rFonts w:ascii="Times New Roman" w:eastAsia="Times New Roman" w:hAnsi="Times New Roman" w:cs="Times New Roman"/>
          <w:color w:val="000000"/>
          <w:kern w:val="0"/>
          <w14:ligatures w14:val="none"/>
        </w:rPr>
        <w:br/>
      </w:r>
    </w:p>
    <w:p w14:paraId="6C901DA0" w14:textId="77777777" w:rsidR="00A04591" w:rsidRPr="00A04591" w:rsidRDefault="00A04591" w:rsidP="00A04591">
      <w:pPr>
        <w:rPr>
          <w:rFonts w:ascii="Times New Roman" w:eastAsia="Times New Roman" w:hAnsi="Times New Roman" w:cs="Times New Roman"/>
          <w:kern w:val="0"/>
          <w14:ligatures w14:val="none"/>
        </w:rPr>
      </w:pPr>
    </w:p>
    <w:p w14:paraId="15BE5199" w14:textId="77777777" w:rsidR="007D004E" w:rsidRDefault="007D004E"/>
    <w:sectPr w:rsidR="007D004E" w:rsidSect="0053396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591"/>
    <w:rsid w:val="0038022C"/>
    <w:rsid w:val="0048268E"/>
    <w:rsid w:val="005167DA"/>
    <w:rsid w:val="0053396E"/>
    <w:rsid w:val="0065160F"/>
    <w:rsid w:val="007D004E"/>
    <w:rsid w:val="00A04591"/>
    <w:rsid w:val="00A51E61"/>
    <w:rsid w:val="00BF2A5C"/>
    <w:rsid w:val="00E6668E"/>
  </w:rsids>
  <m:mathPr>
    <m:mathFont m:val="Cambria Math"/>
    <m:brkBin m:val="before"/>
    <m:brkBinSub m:val="--"/>
    <m:smallFrac m:val="0"/>
    <m:dispDef/>
    <m:lMargin m:val="0"/>
    <m:rMargin m:val="0"/>
    <m:defJc m:val="centerGroup"/>
    <m:wrapIndent m:val="1440"/>
    <m:intLim m:val="subSup"/>
    <m:naryLim m:val="undOvr"/>
  </m:mathPr>
  <w:themeFontLang w:val="en-EC"/>
  <w:clrSchemeMapping w:bg1="light1" w:t1="dark1" w:bg2="light2" w:t2="dark2" w:accent1="accent1" w:accent2="accent2" w:accent3="accent3" w:accent4="accent4" w:accent5="accent5" w:accent6="accent6" w:hyperlink="hyperlink" w:followedHyperlink="followedHyperlink"/>
  <w:decimalSymbol w:val="."/>
  <w:listSeparator w:val=","/>
  <w14:docId w14:val="7A2C87E9"/>
  <w15:chartTrackingRefBased/>
  <w15:docId w15:val="{04BDB709-FBE6-7E47-B154-05DCCFB2E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EC"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45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45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45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45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45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459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459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459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459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45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45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45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45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45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45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45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45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4591"/>
    <w:rPr>
      <w:rFonts w:eastAsiaTheme="majorEastAsia" w:cstheme="majorBidi"/>
      <w:color w:val="272727" w:themeColor="text1" w:themeTint="D8"/>
    </w:rPr>
  </w:style>
  <w:style w:type="paragraph" w:styleId="Title">
    <w:name w:val="Title"/>
    <w:basedOn w:val="Normal"/>
    <w:next w:val="Normal"/>
    <w:link w:val="TitleChar"/>
    <w:uiPriority w:val="10"/>
    <w:qFormat/>
    <w:rsid w:val="00A0459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45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459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45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459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04591"/>
    <w:rPr>
      <w:i/>
      <w:iCs/>
      <w:color w:val="404040" w:themeColor="text1" w:themeTint="BF"/>
    </w:rPr>
  </w:style>
  <w:style w:type="paragraph" w:styleId="ListParagraph">
    <w:name w:val="List Paragraph"/>
    <w:basedOn w:val="Normal"/>
    <w:uiPriority w:val="34"/>
    <w:qFormat/>
    <w:rsid w:val="00A04591"/>
    <w:pPr>
      <w:ind w:left="720"/>
      <w:contextualSpacing/>
    </w:pPr>
  </w:style>
  <w:style w:type="character" w:styleId="IntenseEmphasis">
    <w:name w:val="Intense Emphasis"/>
    <w:basedOn w:val="DefaultParagraphFont"/>
    <w:uiPriority w:val="21"/>
    <w:qFormat/>
    <w:rsid w:val="00A04591"/>
    <w:rPr>
      <w:i/>
      <w:iCs/>
      <w:color w:val="0F4761" w:themeColor="accent1" w:themeShade="BF"/>
    </w:rPr>
  </w:style>
  <w:style w:type="paragraph" w:styleId="IntenseQuote">
    <w:name w:val="Intense Quote"/>
    <w:basedOn w:val="Normal"/>
    <w:next w:val="Normal"/>
    <w:link w:val="IntenseQuoteChar"/>
    <w:uiPriority w:val="30"/>
    <w:qFormat/>
    <w:rsid w:val="00A045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4591"/>
    <w:rPr>
      <w:i/>
      <w:iCs/>
      <w:color w:val="0F4761" w:themeColor="accent1" w:themeShade="BF"/>
    </w:rPr>
  </w:style>
  <w:style w:type="character" w:styleId="IntenseReference">
    <w:name w:val="Intense Reference"/>
    <w:basedOn w:val="DefaultParagraphFont"/>
    <w:uiPriority w:val="32"/>
    <w:qFormat/>
    <w:rsid w:val="00A04591"/>
    <w:rPr>
      <w:b/>
      <w:bCs/>
      <w:smallCaps/>
      <w:color w:val="0F4761" w:themeColor="accent1" w:themeShade="BF"/>
      <w:spacing w:val="5"/>
    </w:rPr>
  </w:style>
  <w:style w:type="paragraph" w:styleId="NormalWeb">
    <w:name w:val="Normal (Web)"/>
    <w:basedOn w:val="Normal"/>
    <w:uiPriority w:val="99"/>
    <w:semiHidden/>
    <w:unhideWhenUsed/>
    <w:rsid w:val="00A04591"/>
    <w:pPr>
      <w:spacing w:before="100" w:beforeAutospacing="1" w:after="100" w:afterAutospacing="1"/>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A04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674787">
      <w:bodyDiv w:val="1"/>
      <w:marLeft w:val="0"/>
      <w:marRight w:val="0"/>
      <w:marTop w:val="0"/>
      <w:marBottom w:val="0"/>
      <w:divBdr>
        <w:top w:val="none" w:sz="0" w:space="0" w:color="auto"/>
        <w:left w:val="none" w:sz="0" w:space="0" w:color="auto"/>
        <w:bottom w:val="none" w:sz="0" w:space="0" w:color="auto"/>
        <w:right w:val="none" w:sz="0" w:space="0" w:color="auto"/>
      </w:divBdr>
    </w:div>
    <w:div w:id="777336627">
      <w:bodyDiv w:val="1"/>
      <w:marLeft w:val="0"/>
      <w:marRight w:val="0"/>
      <w:marTop w:val="0"/>
      <w:marBottom w:val="0"/>
      <w:divBdr>
        <w:top w:val="none" w:sz="0" w:space="0" w:color="auto"/>
        <w:left w:val="none" w:sz="0" w:space="0" w:color="auto"/>
        <w:bottom w:val="none" w:sz="0" w:space="0" w:color="auto"/>
        <w:right w:val="none" w:sz="0" w:space="0" w:color="auto"/>
      </w:divBdr>
    </w:div>
    <w:div w:id="1339773956">
      <w:bodyDiv w:val="1"/>
      <w:marLeft w:val="0"/>
      <w:marRight w:val="0"/>
      <w:marTop w:val="0"/>
      <w:marBottom w:val="0"/>
      <w:divBdr>
        <w:top w:val="none" w:sz="0" w:space="0" w:color="auto"/>
        <w:left w:val="none" w:sz="0" w:space="0" w:color="auto"/>
        <w:bottom w:val="none" w:sz="0" w:space="0" w:color="auto"/>
        <w:right w:val="none" w:sz="0" w:space="0" w:color="auto"/>
      </w:divBdr>
    </w:div>
    <w:div w:id="1634017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1850</Words>
  <Characters>10550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ANDRES DONOSO VARGAS</dc:creator>
  <cp:keywords/>
  <dc:description/>
  <cp:lastModifiedBy>DAVID ANDRES DONOSO VARGAS</cp:lastModifiedBy>
  <cp:revision>3</cp:revision>
  <dcterms:created xsi:type="dcterms:W3CDTF">2024-03-08T14:39:00Z</dcterms:created>
  <dcterms:modified xsi:type="dcterms:W3CDTF">2024-03-08T18:43:00Z</dcterms:modified>
</cp:coreProperties>
</file>