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 w:rsidR="007506E0" w14:paraId="7AF24344" w14:textId="77777777" w:rsidTr="00E47DAB">
        <w:tc>
          <w:tcPr>
            <w:tcW w:w="7338" w:type="dxa"/>
            <w:tcBorders>
              <w:top w:val="nil"/>
              <w:left w:val="nil"/>
              <w:right w:val="nil"/>
            </w:tcBorders>
          </w:tcPr>
          <w:p w14:paraId="6AF2AD61" w14:textId="77777777" w:rsidR="007506E0" w:rsidRDefault="007506E0" w:rsidP="00E47DAB">
            <w:pPr>
              <w:spacing w:line="360" w:lineRule="auto"/>
              <w:jc w:val="left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TABLE 1. Demographic, Clinical, and Immunologic Features of 136 Chinese Patients With Primary Sj</w:t>
            </w:r>
            <w:r>
              <w:rPr>
                <w:sz w:val="18"/>
                <w:szCs w:val="18"/>
              </w:rPr>
              <w:t>ö</w:t>
            </w:r>
            <w:r>
              <w:rPr>
                <w:rFonts w:hint="eastAsia"/>
                <w:sz w:val="18"/>
                <w:szCs w:val="16"/>
              </w:rPr>
              <w:t>gren Syndrome</w:t>
            </w:r>
          </w:p>
        </w:tc>
      </w:tr>
      <w:tr w:rsidR="007506E0" w14:paraId="45B71207" w14:textId="77777777" w:rsidTr="00E47DAB">
        <w:trPr>
          <w:trHeight w:val="90"/>
        </w:trPr>
        <w:tc>
          <w:tcPr>
            <w:tcW w:w="7338" w:type="dxa"/>
            <w:tcBorders>
              <w:left w:val="nil"/>
              <w:right w:val="nil"/>
            </w:tcBorders>
          </w:tcPr>
          <w:p w14:paraId="3B0B9099" w14:textId="77777777" w:rsidR="007506E0" w:rsidRDefault="007506E0" w:rsidP="00E47DAB">
            <w:pPr>
              <w:spacing w:line="360" w:lineRule="auto"/>
              <w:rPr>
                <w:rFonts w:eastAsia="SimSun"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     Variables at protocol</w:t>
            </w:r>
            <w:r>
              <w:rPr>
                <w:rFonts w:hint="eastAsia"/>
                <w:sz w:val="18"/>
                <w:szCs w:val="16"/>
                <w:vertAlign w:val="superscript"/>
              </w:rPr>
              <w:t xml:space="preserve">* </w:t>
            </w:r>
            <w:r>
              <w:rPr>
                <w:rFonts w:hint="eastAsia"/>
                <w:sz w:val="18"/>
                <w:szCs w:val="16"/>
              </w:rPr>
              <w:t xml:space="preserve">                           n = 136</w:t>
            </w:r>
          </w:p>
        </w:tc>
      </w:tr>
      <w:tr w:rsidR="007506E0" w14:paraId="6EC52CB5" w14:textId="77777777" w:rsidTr="00E47DAB">
        <w:trPr>
          <w:trHeight w:val="636"/>
        </w:trPr>
        <w:tc>
          <w:tcPr>
            <w:tcW w:w="7338" w:type="dxa"/>
            <w:tcBorders>
              <w:left w:val="nil"/>
              <w:right w:val="nil"/>
            </w:tcBorders>
          </w:tcPr>
          <w:p w14:paraId="1B3B6538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Gender, male, n(%)                                    4 (2.9)</w:t>
            </w:r>
          </w:p>
          <w:p w14:paraId="50A6E48B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Age at onset, mean (S.D.), years                         42</w:t>
            </w:r>
            <w:r>
              <w:rPr>
                <w:rFonts w:ascii="SimSun" w:hAnsi="SimSun" w:hint="eastAsia"/>
                <w:sz w:val="18"/>
                <w:szCs w:val="16"/>
              </w:rPr>
              <w:t>±</w:t>
            </w:r>
            <w:r>
              <w:rPr>
                <w:rFonts w:hint="eastAsia"/>
                <w:sz w:val="18"/>
                <w:szCs w:val="16"/>
              </w:rPr>
              <w:t>11</w:t>
            </w:r>
          </w:p>
          <w:p w14:paraId="2D9A821D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Disease duration, mean (S.D.), years                     6.3</w:t>
            </w:r>
            <w:r>
              <w:rPr>
                <w:rFonts w:hint="eastAsia"/>
                <w:sz w:val="18"/>
                <w:szCs w:val="16"/>
              </w:rPr>
              <w:t>±</w:t>
            </w:r>
            <w:r>
              <w:rPr>
                <w:rFonts w:hint="eastAsia"/>
                <w:sz w:val="18"/>
                <w:szCs w:val="16"/>
              </w:rPr>
              <w:t>3.7</w:t>
            </w:r>
          </w:p>
          <w:p w14:paraId="1B7E4F4E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hyperlink r:id="rId4" w:history="1">
              <w:r>
                <w:rPr>
                  <w:rFonts w:hint="eastAsia"/>
                  <w:sz w:val="18"/>
                  <w:szCs w:val="16"/>
                </w:rPr>
                <w:t>I</w:t>
              </w:r>
              <w:r>
                <w:rPr>
                  <w:sz w:val="18"/>
                  <w:szCs w:val="16"/>
                </w:rPr>
                <w:t>nitial</w:t>
              </w:r>
            </w:hyperlink>
            <w:r>
              <w:rPr>
                <w:sz w:val="18"/>
                <w:szCs w:val="16"/>
              </w:rPr>
              <w:t xml:space="preserve"> </w:t>
            </w:r>
            <w:hyperlink r:id="rId5" w:history="1">
              <w:r>
                <w:rPr>
                  <w:sz w:val="18"/>
                  <w:szCs w:val="16"/>
                </w:rPr>
                <w:t>symptom</w:t>
              </w:r>
            </w:hyperlink>
            <w:r>
              <w:rPr>
                <w:rFonts w:hint="eastAsia"/>
                <w:sz w:val="18"/>
                <w:szCs w:val="16"/>
              </w:rPr>
              <w:t>s</w:t>
            </w:r>
          </w:p>
          <w:p w14:paraId="57B522B9" w14:textId="77777777" w:rsidR="007506E0" w:rsidRDefault="007506E0" w:rsidP="00E47DAB">
            <w:pPr>
              <w:spacing w:line="360" w:lineRule="auto"/>
              <w:ind w:firstLine="360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S</w:t>
            </w:r>
            <w:r>
              <w:rPr>
                <w:sz w:val="18"/>
                <w:szCs w:val="16"/>
              </w:rPr>
              <w:t>icca symptoms</w:t>
            </w:r>
            <w:r>
              <w:rPr>
                <w:rFonts w:hint="eastAsia"/>
                <w:sz w:val="18"/>
                <w:szCs w:val="16"/>
              </w:rPr>
              <w:t>, n (%)                            97 (71.3)</w:t>
            </w:r>
          </w:p>
          <w:p w14:paraId="5B0206AC" w14:textId="77777777" w:rsidR="007506E0" w:rsidRPr="007506E0" w:rsidRDefault="007506E0" w:rsidP="00E47DAB">
            <w:pPr>
              <w:spacing w:line="360" w:lineRule="auto"/>
              <w:ind w:firstLine="360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Articular involvement, n (%)                        54 (39.7)</w:t>
            </w:r>
          </w:p>
          <w:p w14:paraId="77C6CACC" w14:textId="77777777" w:rsidR="007506E0" w:rsidRPr="007506E0" w:rsidRDefault="007506E0" w:rsidP="00E47DAB">
            <w:pPr>
              <w:spacing w:line="360" w:lineRule="auto"/>
              <w:ind w:firstLine="360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Parotid enlargement, n (%)                          17 (12.5)</w:t>
            </w:r>
          </w:p>
          <w:p w14:paraId="205EFDE8" w14:textId="77777777" w:rsidR="007506E0" w:rsidRPr="007506E0" w:rsidRDefault="007506E0" w:rsidP="00E47DAB">
            <w:pPr>
              <w:spacing w:line="360" w:lineRule="auto"/>
              <w:ind w:firstLineChars="200" w:firstLine="360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H</w:t>
            </w:r>
            <w:r w:rsidRPr="007506E0">
              <w:rPr>
                <w:sz w:val="18"/>
                <w:szCs w:val="16"/>
                <w:lang w:val="pt-PT"/>
              </w:rPr>
              <w:t>ypocytosis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, n (%)                                15 (11.0)</w:t>
            </w:r>
          </w:p>
          <w:p w14:paraId="773F6241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 xml:space="preserve">    </w:t>
            </w:r>
            <w:hyperlink r:id="rId6" w:history="1">
              <w:r w:rsidRPr="007506E0">
                <w:rPr>
                  <w:rFonts w:hint="eastAsia"/>
                  <w:sz w:val="18"/>
                  <w:szCs w:val="16"/>
                  <w:lang w:val="pt-PT"/>
                </w:rPr>
                <w:t>S</w:t>
              </w:r>
              <w:r w:rsidRPr="007506E0">
                <w:rPr>
                  <w:sz w:val="18"/>
                  <w:szCs w:val="16"/>
                  <w:lang w:val="pt-PT"/>
                </w:rPr>
                <w:t>a</w:t>
              </w:r>
              <w:bookmarkStart w:id="0" w:name="_Hlt383376593"/>
              <w:bookmarkStart w:id="1" w:name="_Hlt383376592"/>
              <w:r w:rsidRPr="007506E0">
                <w:rPr>
                  <w:sz w:val="18"/>
                  <w:szCs w:val="16"/>
                  <w:lang w:val="pt-PT"/>
                </w:rPr>
                <w:t>p</w:t>
              </w:r>
              <w:bookmarkEnd w:id="0"/>
              <w:bookmarkEnd w:id="1"/>
              <w:r w:rsidRPr="007506E0">
                <w:rPr>
                  <w:sz w:val="18"/>
                  <w:szCs w:val="16"/>
                  <w:lang w:val="pt-PT"/>
                </w:rPr>
                <w:t>rodontia</w:t>
              </w:r>
            </w:hyperlink>
            <w:r w:rsidRPr="007506E0">
              <w:rPr>
                <w:rFonts w:hint="eastAsia"/>
                <w:sz w:val="18"/>
                <w:szCs w:val="16"/>
                <w:lang w:val="pt-PT"/>
              </w:rPr>
              <w:t>,n (%)                                 12 (8.8)</w:t>
            </w:r>
          </w:p>
          <w:p w14:paraId="55A9419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 xml:space="preserve">    </w:t>
            </w:r>
            <w:hyperlink r:id="rId7" w:history="1">
              <w:r>
                <w:rPr>
                  <w:rFonts w:hint="eastAsia"/>
                  <w:sz w:val="18"/>
                  <w:szCs w:val="16"/>
                </w:rPr>
                <w:t>P</w:t>
              </w:r>
              <w:r>
                <w:rPr>
                  <w:sz w:val="18"/>
                  <w:szCs w:val="16"/>
                </w:rPr>
                <w:t>urpura</w:t>
              </w:r>
            </w:hyperlink>
            <w:r>
              <w:rPr>
                <w:rFonts w:hint="eastAsia"/>
                <w:sz w:val="18"/>
                <w:szCs w:val="16"/>
              </w:rPr>
              <w:t>,n (%)                                    10 (7.4)</w:t>
            </w:r>
          </w:p>
          <w:p w14:paraId="59450528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    </w:t>
            </w:r>
            <w:hyperlink r:id="rId8" w:history="1">
              <w:r>
                <w:rPr>
                  <w:rFonts w:hint="eastAsia"/>
                  <w:sz w:val="18"/>
                  <w:szCs w:val="16"/>
                </w:rPr>
                <w:t>F</w:t>
              </w:r>
              <w:r>
                <w:rPr>
                  <w:sz w:val="18"/>
                  <w:szCs w:val="16"/>
                </w:rPr>
                <w:t>laccid</w:t>
              </w:r>
            </w:hyperlink>
            <w:r>
              <w:rPr>
                <w:sz w:val="18"/>
                <w:szCs w:val="16"/>
              </w:rPr>
              <w:t xml:space="preserve"> </w:t>
            </w:r>
            <w:hyperlink r:id="rId9" w:history="1">
              <w:r>
                <w:rPr>
                  <w:sz w:val="18"/>
                  <w:szCs w:val="16"/>
                </w:rPr>
                <w:t>paralysis</w:t>
              </w:r>
            </w:hyperlink>
            <w:r>
              <w:rPr>
                <w:rFonts w:hint="eastAsia"/>
                <w:sz w:val="18"/>
                <w:szCs w:val="16"/>
              </w:rPr>
              <w:t xml:space="preserve"> due to </w:t>
            </w:r>
            <w:hyperlink r:id="rId10" w:history="1">
              <w:r>
                <w:rPr>
                  <w:sz w:val="18"/>
                  <w:szCs w:val="16"/>
                </w:rPr>
                <w:t>hypokalemia</w:t>
              </w:r>
            </w:hyperlink>
            <w:r>
              <w:rPr>
                <w:rFonts w:hint="eastAsia"/>
                <w:sz w:val="18"/>
                <w:szCs w:val="16"/>
              </w:rPr>
              <w:t xml:space="preserve">                   7 (5.1)</w:t>
            </w:r>
          </w:p>
          <w:p w14:paraId="47E3B330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>
              <w:rPr>
                <w:rFonts w:hint="eastAsia"/>
                <w:sz w:val="18"/>
                <w:szCs w:val="16"/>
              </w:rPr>
              <w:t xml:space="preserve">    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Fever                                            4 (2.9)</w:t>
            </w:r>
          </w:p>
          <w:p w14:paraId="055E023F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Xerostomia, n (%)                                    104 (76.5)</w:t>
            </w:r>
          </w:p>
          <w:p w14:paraId="0288DB25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Xerophthalmia, n (%)                                  84 (61.8)</w:t>
            </w:r>
          </w:p>
          <w:p w14:paraId="574BCD04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hyperlink r:id="rId11" w:history="1">
              <w:r w:rsidRPr="007506E0">
                <w:rPr>
                  <w:rFonts w:hint="eastAsia"/>
                  <w:sz w:val="18"/>
                  <w:szCs w:val="16"/>
                  <w:lang w:val="pt-PT"/>
                </w:rPr>
                <w:t>S</w:t>
              </w:r>
              <w:r w:rsidRPr="007506E0">
                <w:rPr>
                  <w:sz w:val="18"/>
                  <w:szCs w:val="16"/>
                  <w:lang w:val="pt-PT"/>
                </w:rPr>
                <w:t>aprodontia</w:t>
              </w:r>
            </w:hyperlink>
            <w:r w:rsidRPr="007506E0">
              <w:rPr>
                <w:rFonts w:hint="eastAsia"/>
                <w:sz w:val="18"/>
                <w:szCs w:val="16"/>
                <w:lang w:val="pt-PT"/>
              </w:rPr>
              <w:t>, n (%)                                    26 (19.1)</w:t>
            </w:r>
          </w:p>
          <w:p w14:paraId="1205039A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bookmarkStart w:id="2" w:name="OLE_LINK1"/>
            <w:r w:rsidRPr="007506E0">
              <w:rPr>
                <w:rFonts w:hint="eastAsia"/>
                <w:sz w:val="18"/>
                <w:szCs w:val="16"/>
                <w:lang w:val="pt-PT"/>
              </w:rPr>
              <w:t>Parotid enlargement</w:t>
            </w:r>
            <w:bookmarkEnd w:id="2"/>
            <w:r w:rsidRPr="007506E0">
              <w:rPr>
                <w:rFonts w:hint="eastAsia"/>
                <w:sz w:val="18"/>
                <w:szCs w:val="16"/>
                <w:lang w:val="pt-PT"/>
              </w:rPr>
              <w:t>, n (%)                              28(20.6)</w:t>
            </w:r>
          </w:p>
          <w:p w14:paraId="6567D9B3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Altered ocular tests,</w:t>
            </w:r>
            <w:bookmarkStart w:id="3" w:name="OLE_LINK130"/>
            <w:r>
              <w:rPr>
                <w:rFonts w:hint="eastAsia"/>
                <w:sz w:val="18"/>
                <w:szCs w:val="16"/>
              </w:rPr>
              <w:t xml:space="preserve"> n (%)</w:t>
            </w:r>
            <w:bookmarkEnd w:id="3"/>
            <w:r>
              <w:rPr>
                <w:rFonts w:hint="eastAsia"/>
                <w:sz w:val="18"/>
                <w:szCs w:val="16"/>
              </w:rPr>
              <w:t xml:space="preserve">                             132 (96.4)</w:t>
            </w:r>
          </w:p>
          <w:p w14:paraId="5C178F0D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   </w:t>
            </w:r>
            <w:r>
              <w:rPr>
                <w:sz w:val="18"/>
                <w:szCs w:val="16"/>
              </w:rPr>
              <w:t>Schirmer’s I test</w:t>
            </w:r>
            <w:r>
              <w:rPr>
                <w:rFonts w:hint="eastAsia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( ≤5 mm in 5 min)</w:t>
            </w:r>
            <w:bookmarkStart w:id="4" w:name="OLE_LINK131"/>
            <w:bookmarkStart w:id="5" w:name="OLE_LINK132"/>
            <w:r>
              <w:rPr>
                <w:rFonts w:hint="eastAsia"/>
                <w:sz w:val="18"/>
                <w:szCs w:val="16"/>
              </w:rPr>
              <w:t>, n (%)</w:t>
            </w:r>
            <w:bookmarkEnd w:id="4"/>
            <w:bookmarkEnd w:id="5"/>
            <w:r>
              <w:rPr>
                <w:rFonts w:hint="eastAsia"/>
                <w:sz w:val="18"/>
                <w:szCs w:val="16"/>
              </w:rPr>
              <w:t xml:space="preserve">             123 (90.4)</w:t>
            </w:r>
          </w:p>
          <w:p w14:paraId="0ED7DC9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  </w:t>
            </w:r>
            <w:bookmarkStart w:id="6" w:name="OLE_LINK134"/>
            <w:bookmarkStart w:id="7" w:name="OLE_LINK133"/>
            <w:r>
              <w:rPr>
                <w:rFonts w:hint="eastAsia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 xml:space="preserve">ocular dye </w:t>
            </w:r>
            <w:r>
              <w:rPr>
                <w:rFonts w:hint="eastAsia"/>
                <w:sz w:val="18"/>
                <w:szCs w:val="16"/>
              </w:rPr>
              <w:t>positive</w:t>
            </w:r>
            <w:bookmarkEnd w:id="6"/>
            <w:bookmarkEnd w:id="7"/>
            <w:r>
              <w:rPr>
                <w:rFonts w:hint="eastAsia"/>
                <w:sz w:val="18"/>
                <w:szCs w:val="16"/>
              </w:rPr>
              <w:t>, n (%)</w:t>
            </w:r>
            <w:r>
              <w:rPr>
                <w:rFonts w:hint="eastAsia"/>
                <w:sz w:val="18"/>
                <w:szCs w:val="16"/>
                <w:vertAlign w:val="superscript"/>
              </w:rPr>
              <w:t>#</w:t>
            </w:r>
            <w:r>
              <w:rPr>
                <w:rFonts w:hint="eastAsia"/>
                <w:sz w:val="18"/>
                <w:szCs w:val="16"/>
              </w:rPr>
              <w:t xml:space="preserve">                          114 (83.8)</w:t>
            </w:r>
          </w:p>
          <w:p w14:paraId="0A3536F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Altered oral tests, n (%)                               116 (85.3)</w:t>
            </w:r>
          </w:p>
          <w:p w14:paraId="368958A0" w14:textId="77777777" w:rsidR="007506E0" w:rsidRDefault="007506E0" w:rsidP="00E47DAB">
            <w:pPr>
              <w:spacing w:line="360" w:lineRule="auto"/>
              <w:ind w:firstLine="357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WUSF </w:t>
            </w:r>
            <w:r>
              <w:rPr>
                <w:sz w:val="18"/>
                <w:szCs w:val="16"/>
              </w:rPr>
              <w:t>( ≤1.5 mL in 15 min)</w:t>
            </w:r>
            <w:r>
              <w:rPr>
                <w:rFonts w:hint="eastAsia"/>
                <w:sz w:val="18"/>
                <w:szCs w:val="16"/>
              </w:rPr>
              <w:t xml:space="preserve">                        99 (72.8)</w:t>
            </w:r>
          </w:p>
          <w:p w14:paraId="4E19B7E2" w14:textId="77777777" w:rsidR="007506E0" w:rsidRDefault="007506E0" w:rsidP="00E47DAB">
            <w:pPr>
              <w:spacing w:line="360" w:lineRule="auto"/>
              <w:ind w:firstLine="357"/>
              <w:rPr>
                <w:rFonts w:hint="eastAsia"/>
                <w:sz w:val="18"/>
                <w:szCs w:val="16"/>
              </w:rPr>
            </w:pPr>
            <w:r>
              <w:rPr>
                <w:sz w:val="18"/>
                <w:szCs w:val="16"/>
              </w:rPr>
              <w:t>Parotid sialography</w:t>
            </w:r>
            <w:r>
              <w:rPr>
                <w:rFonts w:hint="eastAsia"/>
                <w:sz w:val="18"/>
                <w:szCs w:val="16"/>
              </w:rPr>
              <w:t xml:space="preserve"> positive</w:t>
            </w:r>
            <w:r>
              <w:rPr>
                <w:rFonts w:hint="eastAsia"/>
                <w:sz w:val="18"/>
                <w:szCs w:val="16"/>
                <w:vertAlign w:val="superscript"/>
              </w:rPr>
              <w:t>$</w:t>
            </w:r>
            <w:r>
              <w:rPr>
                <w:rFonts w:hint="eastAsia"/>
                <w:sz w:val="18"/>
                <w:szCs w:val="16"/>
              </w:rPr>
              <w:t xml:space="preserve">                       109 (94.0)</w:t>
            </w:r>
          </w:p>
          <w:p w14:paraId="4BB0371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Positive salivary gland biopsy, n (%)                 121/129 (93.8)</w:t>
            </w:r>
          </w:p>
          <w:p w14:paraId="423D321C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Arthritis                                             24(17.6)</w:t>
            </w:r>
          </w:p>
          <w:p w14:paraId="40B83915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Fever                                               14(10.3)</w:t>
            </w:r>
          </w:p>
          <w:p w14:paraId="7672BD75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hyperlink r:id="rId12" w:history="1">
              <w:r w:rsidRPr="007506E0">
                <w:rPr>
                  <w:rFonts w:hint="eastAsia"/>
                  <w:sz w:val="18"/>
                  <w:szCs w:val="16"/>
                  <w:lang w:val="pt-PT"/>
                </w:rPr>
                <w:t>F</w:t>
              </w:r>
              <w:r w:rsidRPr="007506E0">
                <w:rPr>
                  <w:sz w:val="18"/>
                  <w:szCs w:val="16"/>
                  <w:lang w:val="pt-PT"/>
                </w:rPr>
                <w:t>atigue</w:t>
              </w:r>
            </w:hyperlink>
            <w:r w:rsidRPr="007506E0">
              <w:rPr>
                <w:rFonts w:hint="eastAsia"/>
                <w:sz w:val="18"/>
                <w:szCs w:val="16"/>
                <w:lang w:val="pt-PT"/>
              </w:rPr>
              <w:t xml:space="preserve">                                              18(13.2)</w:t>
            </w:r>
          </w:p>
          <w:p w14:paraId="2ADB21C0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hyperlink r:id="rId13" w:history="1">
              <w:r w:rsidRPr="007506E0">
                <w:rPr>
                  <w:rFonts w:hint="eastAsia"/>
                  <w:sz w:val="18"/>
                  <w:szCs w:val="16"/>
                  <w:lang w:val="pt-PT"/>
                </w:rPr>
                <w:t>P</w:t>
              </w:r>
              <w:r w:rsidRPr="007506E0">
                <w:rPr>
                  <w:sz w:val="18"/>
                  <w:szCs w:val="16"/>
                  <w:lang w:val="pt-PT"/>
                </w:rPr>
                <w:t>urpura</w:t>
              </w:r>
            </w:hyperlink>
            <w:r w:rsidRPr="007506E0">
              <w:rPr>
                <w:rFonts w:hint="eastAsia"/>
                <w:sz w:val="18"/>
                <w:szCs w:val="16"/>
                <w:lang w:val="pt-PT"/>
              </w:rPr>
              <w:t>,n (%)                                         13(9.6)</w:t>
            </w:r>
          </w:p>
          <w:p w14:paraId="33AA7A2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hyperlink r:id="rId14" w:history="1">
              <w:r>
                <w:rPr>
                  <w:rFonts w:hint="eastAsia"/>
                  <w:sz w:val="18"/>
                  <w:szCs w:val="16"/>
                </w:rPr>
                <w:t>F</w:t>
              </w:r>
              <w:r>
                <w:rPr>
                  <w:sz w:val="18"/>
                  <w:szCs w:val="16"/>
                </w:rPr>
                <w:t>laccid</w:t>
              </w:r>
            </w:hyperlink>
            <w:r>
              <w:rPr>
                <w:sz w:val="18"/>
                <w:szCs w:val="16"/>
              </w:rPr>
              <w:t xml:space="preserve"> </w:t>
            </w:r>
            <w:hyperlink r:id="rId15" w:history="1">
              <w:r>
                <w:rPr>
                  <w:sz w:val="18"/>
                  <w:szCs w:val="16"/>
                </w:rPr>
                <w:t>paralysis</w:t>
              </w:r>
            </w:hyperlink>
            <w:r>
              <w:rPr>
                <w:rFonts w:hint="eastAsia"/>
                <w:sz w:val="18"/>
                <w:szCs w:val="16"/>
              </w:rPr>
              <w:t xml:space="preserve"> due to </w:t>
            </w:r>
            <w:hyperlink r:id="rId16" w:history="1">
              <w:r>
                <w:rPr>
                  <w:sz w:val="18"/>
                  <w:szCs w:val="16"/>
                </w:rPr>
                <w:t>hypokalemia</w:t>
              </w:r>
            </w:hyperlink>
            <w:r>
              <w:rPr>
                <w:rFonts w:hint="eastAsia"/>
                <w:sz w:val="18"/>
                <w:szCs w:val="16"/>
              </w:rPr>
              <w:t xml:space="preserve">                       11(8.1)</w:t>
            </w:r>
          </w:p>
          <w:p w14:paraId="2E1BDA05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Heart involvement                                     44(32.4)</w:t>
            </w:r>
          </w:p>
          <w:p w14:paraId="7D87B4B9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Pulmonary involvement                                 39(28.7) </w:t>
            </w:r>
          </w:p>
          <w:p w14:paraId="5A2D2547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Liver involvement                                     35(25.7)</w:t>
            </w:r>
          </w:p>
          <w:p w14:paraId="10FBE93E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Renal involvement                                      13(9.6)</w:t>
            </w:r>
          </w:p>
          <w:p w14:paraId="2B2F97D6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Autoimmune </w:t>
            </w:r>
            <w:hyperlink r:id="rId17" w:history="1">
              <w:r>
                <w:rPr>
                  <w:sz w:val="18"/>
                  <w:szCs w:val="16"/>
                </w:rPr>
                <w:t>thyroiditis</w:t>
              </w:r>
            </w:hyperlink>
            <w:r>
              <w:rPr>
                <w:rFonts w:hint="eastAsia"/>
                <w:sz w:val="18"/>
                <w:szCs w:val="16"/>
              </w:rPr>
              <w:t xml:space="preserve">                                 17(12.5)</w:t>
            </w:r>
          </w:p>
          <w:p w14:paraId="5BE0BBF1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Family history of rheumatic disease                         13(9.6)</w:t>
            </w:r>
          </w:p>
          <w:p w14:paraId="5796E62A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Cytopenia                                            69(50.7)</w:t>
            </w:r>
          </w:p>
          <w:p w14:paraId="5308BC63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 xml:space="preserve">  Leucopenia (&lt;4</w:t>
            </w:r>
            <w:r w:rsidRPr="007506E0">
              <w:rPr>
                <w:sz w:val="18"/>
                <w:szCs w:val="16"/>
                <w:lang w:val="pt-PT"/>
              </w:rPr>
              <w:t>×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10</w:t>
            </w:r>
            <w:r w:rsidRPr="007506E0">
              <w:rPr>
                <w:rFonts w:hint="eastAsia"/>
                <w:sz w:val="18"/>
                <w:szCs w:val="16"/>
                <w:vertAlign w:val="superscript"/>
                <w:lang w:val="pt-PT"/>
              </w:rPr>
              <w:t>9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/L), n (%)                         41 (30.1)</w:t>
            </w:r>
          </w:p>
          <w:p w14:paraId="113007B8" w14:textId="77777777" w:rsidR="007506E0" w:rsidRPr="007506E0" w:rsidRDefault="007506E0" w:rsidP="00E47DAB">
            <w:pPr>
              <w:spacing w:line="360" w:lineRule="auto"/>
              <w:ind w:firstLineChars="100" w:firstLine="180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Anemia (Hb&lt;110 g/l),n (%)                            17(12.5)</w:t>
            </w:r>
          </w:p>
          <w:p w14:paraId="7AA4EAF1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 xml:space="preserve">  Thrombocytopenia (&lt;100</w:t>
            </w:r>
            <w:r w:rsidRPr="007506E0">
              <w:rPr>
                <w:sz w:val="18"/>
                <w:szCs w:val="16"/>
                <w:lang w:val="pt-PT"/>
              </w:rPr>
              <w:t>×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10</w:t>
            </w:r>
            <w:r w:rsidRPr="007506E0">
              <w:rPr>
                <w:rFonts w:hint="eastAsia"/>
                <w:sz w:val="18"/>
                <w:szCs w:val="16"/>
                <w:vertAlign w:val="superscript"/>
                <w:lang w:val="pt-PT"/>
              </w:rPr>
              <w:t>9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/L), n (%)                 17 (12.5)</w:t>
            </w:r>
          </w:p>
          <w:p w14:paraId="23D61C3C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lastRenderedPageBreak/>
              <w:t xml:space="preserve">  Lymphopenia (&lt;0.8</w:t>
            </w:r>
            <w:r w:rsidRPr="007506E0">
              <w:rPr>
                <w:sz w:val="18"/>
                <w:szCs w:val="16"/>
                <w:lang w:val="pt-PT"/>
              </w:rPr>
              <w:t>×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10</w:t>
            </w:r>
            <w:r w:rsidRPr="007506E0">
              <w:rPr>
                <w:rFonts w:hint="eastAsia"/>
                <w:sz w:val="18"/>
                <w:szCs w:val="16"/>
                <w:vertAlign w:val="superscript"/>
                <w:lang w:val="pt-PT"/>
              </w:rPr>
              <w:t>9</w:t>
            </w:r>
            <w:r w:rsidRPr="007506E0">
              <w:rPr>
                <w:rFonts w:hint="eastAsia"/>
                <w:sz w:val="18"/>
                <w:szCs w:val="16"/>
                <w:lang w:val="pt-PT"/>
              </w:rPr>
              <w:t>/L), n (%)                       11 (8.1)</w:t>
            </w:r>
          </w:p>
          <w:p w14:paraId="6805E6DC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ANA positive, n (%)                                  125 (91.9)</w:t>
            </w:r>
          </w:p>
          <w:p w14:paraId="4576878C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Anti-Ro/SS-A positive, n (%)                            106(77.9)</w:t>
            </w:r>
          </w:p>
          <w:p w14:paraId="6F3AE8D6" w14:textId="77777777" w:rsidR="007506E0" w:rsidRP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  <w:lang w:val="pt-PT"/>
              </w:rPr>
            </w:pPr>
            <w:r w:rsidRPr="007506E0">
              <w:rPr>
                <w:rFonts w:hint="eastAsia"/>
                <w:sz w:val="18"/>
                <w:szCs w:val="16"/>
                <w:lang w:val="pt-PT"/>
              </w:rPr>
              <w:t>Anti-La/SS-B positive, n (%)                             65 (48.5)</w:t>
            </w:r>
          </w:p>
          <w:p w14:paraId="420357EC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RF positive, n (%)                                     89 (65.4)</w:t>
            </w:r>
          </w:p>
          <w:p w14:paraId="1550CE15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High IgG levels (</w:t>
            </w:r>
            <w:r>
              <w:rPr>
                <w:sz w:val="18"/>
                <w:szCs w:val="16"/>
              </w:rPr>
              <w:t>&gt;</w:t>
            </w:r>
            <w:r>
              <w:rPr>
                <w:rFonts w:hint="eastAsia"/>
                <w:sz w:val="18"/>
                <w:szCs w:val="16"/>
              </w:rPr>
              <w:t>17 g/L), n (%)                         105(77.2)</w:t>
            </w:r>
          </w:p>
          <w:p w14:paraId="57FEAAD5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High IgA levels (</w:t>
            </w:r>
            <w:r>
              <w:rPr>
                <w:sz w:val="18"/>
                <w:szCs w:val="16"/>
              </w:rPr>
              <w:t>&gt;</w:t>
            </w:r>
            <w:r>
              <w:rPr>
                <w:rFonts w:hint="eastAsia"/>
                <w:sz w:val="18"/>
                <w:szCs w:val="16"/>
              </w:rPr>
              <w:t>4 g/L), n (%)                           45(33.1)</w:t>
            </w:r>
          </w:p>
          <w:p w14:paraId="5FEC97DA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High IgM levels (</w:t>
            </w:r>
            <w:r>
              <w:rPr>
                <w:sz w:val="18"/>
                <w:szCs w:val="16"/>
              </w:rPr>
              <w:t>&gt;</w:t>
            </w:r>
            <w:r>
              <w:rPr>
                <w:rFonts w:hint="eastAsia"/>
                <w:sz w:val="18"/>
                <w:szCs w:val="16"/>
              </w:rPr>
              <w:t>2.3g /L), n (%)                         30(22.1)</w:t>
            </w:r>
          </w:p>
          <w:p w14:paraId="128A644F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Low C3 levels (&lt;0.9 g/l), n (%)                           28(20.6)</w:t>
            </w:r>
          </w:p>
          <w:p w14:paraId="6236E391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Low C4 levels (&lt;0.1 g/l), n (%)                             9(6.6)</w:t>
            </w:r>
          </w:p>
        </w:tc>
      </w:tr>
      <w:tr w:rsidR="007506E0" w14:paraId="4236A5F7" w14:textId="77777777" w:rsidTr="00E47DAB">
        <w:trPr>
          <w:trHeight w:val="342"/>
        </w:trPr>
        <w:tc>
          <w:tcPr>
            <w:tcW w:w="7338" w:type="dxa"/>
            <w:tcBorders>
              <w:left w:val="nil"/>
              <w:right w:val="nil"/>
            </w:tcBorders>
          </w:tcPr>
          <w:p w14:paraId="1D50FF56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  <w:vertAlign w:val="superscript"/>
              </w:rPr>
              <w:lastRenderedPageBreak/>
              <w:t xml:space="preserve">* </w:t>
            </w:r>
            <w:r>
              <w:rPr>
                <w:rFonts w:hint="eastAsia"/>
                <w:sz w:val="18"/>
                <w:szCs w:val="16"/>
              </w:rPr>
              <w:t>See definitions of clinical features in the Methods section.</w:t>
            </w:r>
          </w:p>
          <w:p w14:paraId="47604927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  <w:vertAlign w:val="superscript"/>
              </w:rPr>
              <w:t>#</w:t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rFonts w:hint="eastAsia"/>
                <w:sz w:val="18"/>
                <w:szCs w:val="16"/>
              </w:rPr>
              <w:t>O</w:t>
            </w:r>
            <w:r>
              <w:rPr>
                <w:sz w:val="18"/>
                <w:szCs w:val="16"/>
              </w:rPr>
              <w:t xml:space="preserve">cular dye </w:t>
            </w:r>
            <w:r>
              <w:rPr>
                <w:rFonts w:hint="eastAsia"/>
                <w:sz w:val="18"/>
                <w:szCs w:val="16"/>
              </w:rPr>
              <w:t>positive</w:t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rFonts w:hint="eastAsia"/>
                <w:sz w:val="18"/>
                <w:szCs w:val="16"/>
              </w:rPr>
              <w:t>is defined as</w:t>
            </w:r>
            <w:r>
              <w:rPr>
                <w:sz w:val="18"/>
                <w:szCs w:val="16"/>
              </w:rPr>
              <w:t xml:space="preserve"> ≥4 according to van Bijsterveld’s</w:t>
            </w:r>
            <w:r>
              <w:rPr>
                <w:rFonts w:hint="eastAsia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scoring system</w:t>
            </w:r>
            <w:r>
              <w:rPr>
                <w:rFonts w:hint="eastAsia"/>
                <w:sz w:val="18"/>
                <w:szCs w:val="16"/>
              </w:rPr>
              <w:t>.</w:t>
            </w:r>
          </w:p>
          <w:p w14:paraId="53E33EE0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  <w:vertAlign w:val="superscript"/>
              </w:rPr>
              <w:t xml:space="preserve">$ </w:t>
            </w:r>
            <w:r>
              <w:rPr>
                <w:sz w:val="18"/>
                <w:szCs w:val="16"/>
              </w:rPr>
              <w:t>Parotid sialography</w:t>
            </w:r>
            <w:r>
              <w:rPr>
                <w:rFonts w:hint="eastAsia"/>
                <w:sz w:val="18"/>
                <w:szCs w:val="16"/>
              </w:rPr>
              <w:t xml:space="preserve"> positive</w:t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rFonts w:hint="eastAsia"/>
                <w:sz w:val="18"/>
                <w:szCs w:val="16"/>
              </w:rPr>
              <w:t xml:space="preserve">is defined as </w:t>
            </w:r>
            <w:r>
              <w:rPr>
                <w:sz w:val="18"/>
                <w:szCs w:val="16"/>
              </w:rPr>
              <w:t>showing the presence of diffuse sialectasias (punctate,</w:t>
            </w:r>
            <w:r>
              <w:rPr>
                <w:rFonts w:hint="eastAsia"/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cavitary or destructive pattern), without evidence of obstruction in major ducts</w:t>
            </w:r>
            <w:r>
              <w:rPr>
                <w:rFonts w:hint="eastAsia"/>
                <w:sz w:val="18"/>
                <w:szCs w:val="16"/>
              </w:rPr>
              <w:t>.</w:t>
            </w:r>
          </w:p>
          <w:p w14:paraId="4FEFEBD2" w14:textId="77777777" w:rsidR="007506E0" w:rsidRDefault="007506E0" w:rsidP="00E47DAB">
            <w:pPr>
              <w:spacing w:line="360" w:lineRule="auto"/>
              <w:rPr>
                <w:rFonts w:hint="eastAsia"/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 xml:space="preserve">WUSF, </w:t>
            </w:r>
            <w:r>
              <w:rPr>
                <w:sz w:val="18"/>
                <w:szCs w:val="16"/>
              </w:rPr>
              <w:t xml:space="preserve">whole </w:t>
            </w:r>
            <w:r>
              <w:rPr>
                <w:rFonts w:hint="eastAsia"/>
                <w:sz w:val="18"/>
                <w:szCs w:val="16"/>
              </w:rPr>
              <w:t>u</w:t>
            </w:r>
            <w:r>
              <w:rPr>
                <w:sz w:val="18"/>
                <w:szCs w:val="16"/>
              </w:rPr>
              <w:t>nstimulated salivary flow</w:t>
            </w:r>
            <w:r>
              <w:rPr>
                <w:rFonts w:hint="eastAsia"/>
                <w:sz w:val="18"/>
                <w:szCs w:val="16"/>
              </w:rPr>
              <w:t>.</w:t>
            </w:r>
          </w:p>
        </w:tc>
      </w:tr>
    </w:tbl>
    <w:p w14:paraId="7C848D6C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E0"/>
    <w:rsid w:val="001C76BA"/>
    <w:rsid w:val="0075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55629"/>
  <w15:chartTrackingRefBased/>
  <w15:docId w15:val="{95A9554C-50CC-42EA-89E9-B58BCEE2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7506E0"/>
    <w:pPr>
      <w:widowControl w:val="0"/>
      <w:spacing w:after="0" w:line="240" w:lineRule="auto"/>
      <w:jc w:val="both"/>
    </w:pPr>
    <w:rPr>
      <w:rFonts w:ascii="Times-Roman" w:eastAsiaTheme="minorEastAsia" w:hAnsi="Times-Roman" w:cs="Times-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3470</Characters>
  <Application>Microsoft Office Word</Application>
  <DocSecurity>0</DocSecurity>
  <Lines>28</Lines>
  <Paragraphs>8</Paragraphs>
  <ScaleCrop>false</ScaleCrop>
  <Company>SpringerNature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2024-03-15T06:35:00Z</dcterms:created>
  <dcterms:modified xsi:type="dcterms:W3CDTF">2024-03-15T06:35:00Z</dcterms:modified>
</cp:coreProperties>
</file>