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"/>
        <w:tblW w:w="5000" w:type="pct"/>
        <w:jc w:val="center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2076"/>
        <w:gridCol w:w="1978"/>
        <w:gridCol w:w="1982"/>
        <w:gridCol w:w="1982"/>
        <w:gridCol w:w="1979"/>
        <w:gridCol w:w="1979"/>
        <w:gridCol w:w="1982"/>
      </w:tblGrid>
      <w:tr w:rsidR="00CF49CC" w:rsidRPr="000260B3" w14:paraId="2F6E521A" w14:textId="77777777" w:rsidTr="00926531">
        <w:trPr>
          <w:cantSplit/>
          <w:tblHeader/>
          <w:jc w:val="center"/>
        </w:trPr>
        <w:tc>
          <w:tcPr>
            <w:tcW w:w="737" w:type="pct"/>
            <w:vMerge w:val="restart"/>
            <w:tcBorders>
              <w:top w:val="single" w:sz="16" w:space="0" w:color="D3D3D3"/>
              <w:left w:val="single" w:sz="0" w:space="0" w:color="D3D3D3"/>
              <w:right w:val="single" w:sz="0" w:space="0" w:color="D3D3D3"/>
            </w:tcBorders>
            <w:vAlign w:val="bottom"/>
          </w:tcPr>
          <w:p w14:paraId="7F4A54EE" w14:textId="77777777" w:rsidR="00CF49CC" w:rsidRPr="000260B3" w:rsidRDefault="00CF49CC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1" w:type="pct"/>
            <w:gridSpan w:val="2"/>
            <w:tcBorders>
              <w:top w:val="single" w:sz="16" w:space="0" w:color="D3D3D3"/>
              <w:left w:val="single" w:sz="0" w:space="0" w:color="D3D3D3"/>
              <w:bottom w:val="single" w:sz="16" w:space="0" w:color="D3D3D3"/>
            </w:tcBorders>
          </w:tcPr>
          <w:p w14:paraId="61A93388" w14:textId="77777777" w:rsidR="00CF49CC" w:rsidRPr="000260B3" w:rsidRDefault="000260B3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3">
              <w:rPr>
                <w:rFonts w:ascii="Times New Roman" w:hAnsi="Times New Roman" w:cs="Times New Roman"/>
                <w:sz w:val="20"/>
                <w:szCs w:val="20"/>
              </w:rPr>
              <w:t>Unadjusted</w:t>
            </w:r>
          </w:p>
        </w:tc>
        <w:tc>
          <w:tcPr>
            <w:tcW w:w="1421" w:type="pct"/>
            <w:gridSpan w:val="2"/>
            <w:tcBorders>
              <w:top w:val="single" w:sz="16" w:space="0" w:color="D3D3D3"/>
              <w:bottom w:val="single" w:sz="16" w:space="0" w:color="D3D3D3"/>
            </w:tcBorders>
          </w:tcPr>
          <w:p w14:paraId="332AD906" w14:textId="415144FF" w:rsidR="00CF49CC" w:rsidRPr="000260B3" w:rsidRDefault="000260B3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3">
              <w:rPr>
                <w:rFonts w:ascii="Times New Roman" w:hAnsi="Times New Roman" w:cs="Times New Roman"/>
                <w:sz w:val="20"/>
                <w:szCs w:val="20"/>
              </w:rPr>
              <w:t>Time, age</w:t>
            </w:r>
            <w:r w:rsidR="00B03B1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260B3">
              <w:rPr>
                <w:rFonts w:ascii="Times New Roman" w:hAnsi="Times New Roman" w:cs="Times New Roman"/>
                <w:sz w:val="20"/>
                <w:szCs w:val="20"/>
              </w:rPr>
              <w:t xml:space="preserve"> and sex</w:t>
            </w:r>
          </w:p>
        </w:tc>
        <w:tc>
          <w:tcPr>
            <w:tcW w:w="1421" w:type="pct"/>
            <w:gridSpan w:val="2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</w:tcPr>
          <w:p w14:paraId="0DD4953F" w14:textId="65D0B4E4" w:rsidR="00CF49CC" w:rsidRPr="000260B3" w:rsidRDefault="000260B3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3">
              <w:rPr>
                <w:rFonts w:ascii="Times New Roman" w:hAnsi="Times New Roman" w:cs="Times New Roman"/>
                <w:sz w:val="20"/>
                <w:szCs w:val="20"/>
              </w:rPr>
              <w:t>Time, age, sex, education, smoking, alcohol</w:t>
            </w:r>
            <w:r w:rsidR="00B03B1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260B3">
              <w:rPr>
                <w:rFonts w:ascii="Times New Roman" w:hAnsi="Times New Roman" w:cs="Times New Roman"/>
                <w:sz w:val="20"/>
                <w:szCs w:val="20"/>
              </w:rPr>
              <w:t xml:space="preserve"> and medication</w:t>
            </w:r>
          </w:p>
        </w:tc>
      </w:tr>
      <w:tr w:rsidR="00CF49CC" w:rsidRPr="000260B3" w14:paraId="5AF0758B" w14:textId="77777777" w:rsidTr="002371BA">
        <w:trPr>
          <w:cantSplit/>
          <w:tblHeader/>
          <w:jc w:val="center"/>
        </w:trPr>
        <w:tc>
          <w:tcPr>
            <w:tcW w:w="737" w:type="pct"/>
            <w:vMerge/>
            <w:tcBorders>
              <w:left w:val="single" w:sz="0" w:space="0" w:color="D3D3D3"/>
              <w:bottom w:val="single" w:sz="16" w:space="0" w:color="D3D3D3"/>
              <w:right w:val="single" w:sz="0" w:space="0" w:color="D3D3D3"/>
            </w:tcBorders>
          </w:tcPr>
          <w:p w14:paraId="36507C79" w14:textId="77777777" w:rsidR="00CF49CC" w:rsidRPr="000260B3" w:rsidRDefault="00CF49CC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pct"/>
            <w:tcBorders>
              <w:left w:val="single" w:sz="0" w:space="0" w:color="D3D3D3"/>
              <w:bottom w:val="single" w:sz="16" w:space="0" w:color="D3D3D3"/>
            </w:tcBorders>
          </w:tcPr>
          <w:p w14:paraId="48C3FD4E" w14:textId="77777777" w:rsidR="00CF49CC" w:rsidRPr="000260B3" w:rsidRDefault="000260B3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3">
              <w:rPr>
                <w:rFonts w:ascii="Times New Roman" w:hAnsi="Times New Roman" w:cs="Times New Roman"/>
                <w:sz w:val="20"/>
                <w:szCs w:val="20"/>
              </w:rPr>
              <w:t>HC</w:t>
            </w:r>
          </w:p>
        </w:tc>
        <w:tc>
          <w:tcPr>
            <w:tcW w:w="711" w:type="pct"/>
            <w:tcBorders>
              <w:bottom w:val="single" w:sz="16" w:space="0" w:color="D3D3D3"/>
            </w:tcBorders>
          </w:tcPr>
          <w:p w14:paraId="21D980E4" w14:textId="77777777" w:rsidR="00CF49CC" w:rsidRPr="000260B3" w:rsidRDefault="000260B3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3">
              <w:rPr>
                <w:rFonts w:ascii="Times New Roman" w:hAnsi="Times New Roman" w:cs="Times New Roman"/>
                <w:sz w:val="20"/>
                <w:szCs w:val="20"/>
              </w:rPr>
              <w:t>BD</w:t>
            </w:r>
          </w:p>
        </w:tc>
        <w:tc>
          <w:tcPr>
            <w:tcW w:w="711" w:type="pct"/>
            <w:tcBorders>
              <w:bottom w:val="single" w:sz="16" w:space="0" w:color="D3D3D3"/>
            </w:tcBorders>
          </w:tcPr>
          <w:p w14:paraId="30325F5B" w14:textId="77777777" w:rsidR="00CF49CC" w:rsidRPr="000260B3" w:rsidRDefault="000260B3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3">
              <w:rPr>
                <w:rFonts w:ascii="Times New Roman" w:hAnsi="Times New Roman" w:cs="Times New Roman"/>
                <w:sz w:val="20"/>
                <w:szCs w:val="20"/>
              </w:rPr>
              <w:t>HC</w:t>
            </w:r>
          </w:p>
        </w:tc>
        <w:tc>
          <w:tcPr>
            <w:tcW w:w="710" w:type="pct"/>
            <w:tcBorders>
              <w:bottom w:val="single" w:sz="16" w:space="0" w:color="D3D3D3"/>
            </w:tcBorders>
          </w:tcPr>
          <w:p w14:paraId="1780E633" w14:textId="77777777" w:rsidR="00CF49CC" w:rsidRPr="000260B3" w:rsidRDefault="000260B3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3">
              <w:rPr>
                <w:rFonts w:ascii="Times New Roman" w:hAnsi="Times New Roman" w:cs="Times New Roman"/>
                <w:sz w:val="20"/>
                <w:szCs w:val="20"/>
              </w:rPr>
              <w:t>BD</w:t>
            </w:r>
          </w:p>
        </w:tc>
        <w:tc>
          <w:tcPr>
            <w:tcW w:w="710" w:type="pct"/>
            <w:tcBorders>
              <w:bottom w:val="single" w:sz="16" w:space="0" w:color="D3D3D3"/>
            </w:tcBorders>
          </w:tcPr>
          <w:p w14:paraId="470BF896" w14:textId="77777777" w:rsidR="00CF49CC" w:rsidRPr="000260B3" w:rsidRDefault="000260B3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3">
              <w:rPr>
                <w:rFonts w:ascii="Times New Roman" w:hAnsi="Times New Roman" w:cs="Times New Roman"/>
                <w:sz w:val="20"/>
                <w:szCs w:val="20"/>
              </w:rPr>
              <w:t>HC</w:t>
            </w:r>
          </w:p>
        </w:tc>
        <w:tc>
          <w:tcPr>
            <w:tcW w:w="711" w:type="pct"/>
            <w:tcBorders>
              <w:bottom w:val="single" w:sz="16" w:space="0" w:color="D3D3D3"/>
              <w:right w:val="single" w:sz="0" w:space="0" w:color="D3D3D3"/>
            </w:tcBorders>
          </w:tcPr>
          <w:p w14:paraId="314C65F7" w14:textId="77777777" w:rsidR="00CF49CC" w:rsidRPr="000260B3" w:rsidRDefault="000260B3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3">
              <w:rPr>
                <w:rFonts w:ascii="Times New Roman" w:hAnsi="Times New Roman" w:cs="Times New Roman"/>
                <w:sz w:val="20"/>
                <w:szCs w:val="20"/>
              </w:rPr>
              <w:t>BD</w:t>
            </w:r>
          </w:p>
        </w:tc>
      </w:tr>
      <w:tr w:rsidR="002371BA" w:rsidRPr="000260B3" w14:paraId="0D2DCDC6" w14:textId="77777777" w:rsidTr="002371B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DA33E8" w14:textId="77777777" w:rsidR="002371BA" w:rsidRPr="000260B3" w:rsidRDefault="002371BA" w:rsidP="002371B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3">
              <w:rPr>
                <w:rFonts w:ascii="Times New Roman" w:hAnsi="Times New Roman" w:cs="Times New Roman"/>
                <w:sz w:val="20"/>
                <w:szCs w:val="20"/>
              </w:rPr>
              <w:t>Neuronal pentraxin 1 ETVLQQK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F062007" w14:textId="6653B9C6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0.14 (-0.14; 0.42), 0.31/0.72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90770BB" w14:textId="7CCAAE43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0.019 (-0.18; 0.22), 0.85/0.94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D7C74A6" w14:textId="4D9AA5FC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0.15 (-0.11; 0.40), 0.25/0.70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93DF6B" w14:textId="34C7209D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0.046 (-0.14; 0.24), 0.63/0.87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EEE0EA" w14:textId="2D8126DF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0.12 (-0.12; 0.36), 0.32/0.72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8375111" w14:textId="451077CF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0.034 (-0.16; 0.23), 0.72/0.89</w:t>
            </w:r>
          </w:p>
        </w:tc>
      </w:tr>
      <w:tr w:rsidR="002371BA" w:rsidRPr="000260B3" w14:paraId="10E50418" w14:textId="77777777" w:rsidTr="002371B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13BDB2E" w14:textId="77777777" w:rsidR="002371BA" w:rsidRPr="000260B3" w:rsidRDefault="002371BA" w:rsidP="002371B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3">
              <w:rPr>
                <w:rFonts w:ascii="Times New Roman" w:hAnsi="Times New Roman" w:cs="Times New Roman"/>
                <w:sz w:val="20"/>
                <w:szCs w:val="20"/>
              </w:rPr>
              <w:t>Neuronal pentraxin 1  CESQSTLDPGAGEAR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0543AAB" w14:textId="2839DF4C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0.026 (-0.24; 0.30), 0.85/0.94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A5B8C7D" w14:textId="3A164415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-0.011 (-0.20; 0.18), 0.91/0.97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5294D22" w14:textId="163E825D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0.047 (-0.18; 0.28), 0.68/0.89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C80F441" w14:textId="07066DD9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0.036 (-0.14; 0.22), 0.69/0.89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A2758D3" w14:textId="48B07A79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0.083 (-0.14; 0.31), 0.45/0.80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87701E" w14:textId="6F453451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0.025 (-0.15; 0.20), 0.78/0.91</w:t>
            </w:r>
          </w:p>
        </w:tc>
      </w:tr>
      <w:tr w:rsidR="002371BA" w:rsidRPr="000260B3" w14:paraId="53AA13D2" w14:textId="77777777" w:rsidTr="002371B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CDAD45A" w14:textId="77777777" w:rsidR="002371BA" w:rsidRPr="000260B3" w:rsidRDefault="002371BA" w:rsidP="002371B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3">
              <w:rPr>
                <w:rFonts w:ascii="Times New Roman" w:hAnsi="Times New Roman" w:cs="Times New Roman"/>
                <w:sz w:val="20"/>
                <w:szCs w:val="20"/>
              </w:rPr>
              <w:t>Neuronal pentraxin 2 VAELEDEK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114D0C" w14:textId="6C8C1BC1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0.15 (-0.27; 0.58), 0.46/0.81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CC5A2B8" w14:textId="7E8BA3EE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0.085 (-0.27; 0.44), 0.63/0.87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500531F" w14:textId="43243E70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0.15 (-0.22; 0.53), 0.41/0.78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881A3C8" w14:textId="13545570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0.18 (-0.15; 0.52), 0.28/0.72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074E920" w14:textId="311D3AF0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0.090 (-0.28; 0.46), 0.63/0.87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02056AD" w14:textId="23C27EA8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0.15 (-0.19; 0.50), 0.37/0.75</w:t>
            </w:r>
          </w:p>
        </w:tc>
      </w:tr>
      <w:tr w:rsidR="002371BA" w:rsidRPr="000260B3" w14:paraId="14380CCC" w14:textId="77777777" w:rsidTr="002371B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C74B7C" w14:textId="77777777" w:rsidR="002371BA" w:rsidRPr="000260B3" w:rsidRDefault="002371BA" w:rsidP="002371B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3">
              <w:rPr>
                <w:rFonts w:ascii="Times New Roman" w:hAnsi="Times New Roman" w:cs="Times New Roman"/>
                <w:sz w:val="20"/>
                <w:szCs w:val="20"/>
              </w:rPr>
              <w:t>Neuronal pentraxin 2  ETVVQQK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A7B8F9" w14:textId="48A343EF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0.0013 (-0.23; 0.24), 0.99/0.99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3701C00" w14:textId="44A51230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0.077 (-0.11; 0.26), 0.41/0.78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EEE312" w14:textId="1A17F6CD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-0.023 (-0.23; 0.18), 0.83/0.94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8A16C9" w14:textId="22614B4C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0.092 (-0.086; 0.27), 0.31/0.72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598F091" w14:textId="5155F520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-0.027 (-0.23; 0.17), 0.78/0.91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751B274" w14:textId="2C417675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0.079 (-0.10; 0.26), 0.39/0.77</w:t>
            </w:r>
          </w:p>
        </w:tc>
      </w:tr>
      <w:tr w:rsidR="002371BA" w:rsidRPr="000260B3" w14:paraId="3F89D77A" w14:textId="77777777" w:rsidTr="002371B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54F9CF1" w14:textId="77777777" w:rsidR="002371BA" w:rsidRPr="000260B3" w:rsidRDefault="002371BA" w:rsidP="002371B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3">
              <w:rPr>
                <w:rFonts w:ascii="Times New Roman" w:hAnsi="Times New Roman" w:cs="Times New Roman"/>
                <w:sz w:val="20"/>
                <w:szCs w:val="20"/>
              </w:rPr>
              <w:t>14-3-3 epsilon IISSIEQK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A44912F" w14:textId="110BB17F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-1.44 (-4.52; 1.65), 0.35/0.74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382846D" w14:textId="3CC1524C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-1.61 (-3.94; 0.72), 0.13/0.57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11F26F5" w14:textId="24FD7318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0.76 (-2.00; 3.52), 0.58/0.85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3266B48" w14:textId="51DAAF13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-2.24 (-3.97; -0.52), 0.015/0.46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EE80AC" w14:textId="104E77BF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-0.14 (-2.90; 2.62), 0.92/0.97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FCB2651" w14:textId="208B20AF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2371BA" w:rsidRPr="000260B3" w14:paraId="10FF4B50" w14:textId="77777777" w:rsidTr="002371B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61C4C4C" w14:textId="77777777" w:rsidR="002371BA" w:rsidRPr="000260B3" w:rsidRDefault="002371BA" w:rsidP="002371B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3">
              <w:rPr>
                <w:rFonts w:ascii="Times New Roman" w:hAnsi="Times New Roman" w:cs="Times New Roman"/>
                <w:sz w:val="20"/>
                <w:szCs w:val="20"/>
              </w:rPr>
              <w:t>14-3-3 zeta/delta  VVSSIEQK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6A7C572" w14:textId="63E3B5E4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-0.77 (-1.84; 0.31), 0.16/0.62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D4E64FC" w14:textId="0F98509E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0.036 (-0.69; 0.76), 0.92/0.97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384BE5D" w14:textId="41123E9D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0.59 (-0.60; 1.77), 0.32/0.72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87ACB5" w14:textId="2ED4F003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0.44 (-0.29; 1.17), 0.24/0.69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DF97B0F" w14:textId="7370FF56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0.44 (-0.74; 1.61), 0.46/0.80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F2F073" w14:textId="1A60EA1D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0.38 (-0.40; 1.17), 0.33/0.73</w:t>
            </w:r>
          </w:p>
        </w:tc>
      </w:tr>
      <w:tr w:rsidR="002371BA" w:rsidRPr="000260B3" w14:paraId="14FFDC78" w14:textId="77777777" w:rsidTr="002371B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CF9063E" w14:textId="77777777" w:rsidR="002371BA" w:rsidRPr="000260B3" w:rsidRDefault="002371BA" w:rsidP="002371B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3">
              <w:rPr>
                <w:rFonts w:ascii="Times New Roman" w:hAnsi="Times New Roman" w:cs="Times New Roman"/>
                <w:sz w:val="20"/>
                <w:szCs w:val="20"/>
              </w:rPr>
              <w:t>AP-2 complex subunit beta IQPGNPNYTLSLK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8714B9E" w14:textId="542A94DE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-0.20 (-0.91; 0.51), 0.57/0.85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D6ED718" w14:textId="46FAA512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-0.090 (-0.50; 0.32), 0.66/0.88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3EA6BD" w14:textId="1EA1C0D6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0.14 (-0.52; 0.79), 0.68/0.89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8F4D2A" w14:textId="58F47464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-0.045 (-0.45; 0.36), 0.82/0.94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A90406A" w14:textId="7683B2E4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0.11 (-0.54; 0.76), 0.74/0.90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0409FB" w14:textId="0E050C74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2371BA" w:rsidRPr="000260B3" w14:paraId="25022C8D" w14:textId="77777777" w:rsidTr="002371B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6B9ABDB" w14:textId="77777777" w:rsidR="002371BA" w:rsidRPr="000260B3" w:rsidRDefault="002371BA" w:rsidP="002371B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3">
              <w:rPr>
                <w:rFonts w:ascii="Times New Roman" w:hAnsi="Times New Roman" w:cs="Times New Roman"/>
                <w:sz w:val="20"/>
                <w:szCs w:val="20"/>
              </w:rPr>
              <w:t>Beta-synuclein  EGVVQGVASVAEK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02B63F" w14:textId="1E4A11D2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-1.56 (-8.14; 5.03), 0.64/0.87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F163F83" w14:textId="2F5A5CB8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-1.89 (-5.86; 2.09), 0.35/0.73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38F805E" w14:textId="001B8A7E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2.13 (-4.02; 8.29), 0.49/0.81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3C990C" w14:textId="0634A3AB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-1.57 (-5.60; 2.46), 0.44/0.80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6C847CA" w14:textId="01E7576E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2.10 (-4.09; 8.28), 0.50/0.81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C76CF78" w14:textId="7B8D47FF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-2.16 (-6.32; 2.00), 0.30/0.72</w:t>
            </w:r>
          </w:p>
        </w:tc>
      </w:tr>
      <w:tr w:rsidR="002371BA" w:rsidRPr="000260B3" w14:paraId="7EEC3947" w14:textId="77777777" w:rsidTr="002371B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F73DDBC" w14:textId="77777777" w:rsidR="002371BA" w:rsidRPr="000260B3" w:rsidRDefault="002371BA" w:rsidP="002371B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3">
              <w:rPr>
                <w:rFonts w:ascii="Times New Roman" w:hAnsi="Times New Roman" w:cs="Times New Roman"/>
                <w:sz w:val="20"/>
                <w:szCs w:val="20"/>
              </w:rPr>
              <w:t>Complexin-2   AALEQPCEGSLTRPK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B0E5E31" w14:textId="609BF5FC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-0.60 (-2.69; 1.49), 0.56/0.85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408964" w14:textId="4ABEFB03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-0.93 (-2.10; 0.24), 0.12/0.56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3E3AA74" w14:textId="5F8BC8BB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0.74 (-1.10; 2.59), 0.42/0.78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00EF7FC" w14:textId="7BE6ED2E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-0.45 (-1.71; 0.81), 0.48/0.81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94C6234" w14:textId="7EC6FD86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0.86 (-0.90; 2.61), 0.33/0.73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2602EB2" w14:textId="1738E15E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-0.59 (-1.92; 0.74), 0.38/0.75</w:t>
            </w:r>
          </w:p>
        </w:tc>
      </w:tr>
      <w:tr w:rsidR="002371BA" w:rsidRPr="000260B3" w14:paraId="1EFCD067" w14:textId="77777777" w:rsidTr="002371B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75E5819" w14:textId="77777777" w:rsidR="002371BA" w:rsidRPr="000260B3" w:rsidRDefault="002371BA" w:rsidP="002371B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3">
              <w:rPr>
                <w:rFonts w:ascii="Times New Roman" w:hAnsi="Times New Roman" w:cs="Times New Roman"/>
                <w:sz w:val="20"/>
                <w:szCs w:val="20"/>
              </w:rPr>
              <w:t>Gamma-synuclein  ENVVQSVTSVAEK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96681F0" w14:textId="099D75B8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-0.76 (-3.20; 1.68), 0.53/0.84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C939946" w14:textId="0A3D252C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-0.59 (-2.13; 0.96), 0.45/0.80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56BD80B" w14:textId="1717523B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1.02 (-1.32; 3.36), 0.38/0.77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54BC7A9" w14:textId="2F7450FC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-0.29 (-1.83; 1.26), 0.71/0.89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7375193" w14:textId="4F4C965D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0.94 (-1.32; 3.19), 0.40/0.78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0412A33" w14:textId="25C95479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-0.11 (-1.66; 1.44), 0.89/0.96</w:t>
            </w:r>
          </w:p>
        </w:tc>
      </w:tr>
      <w:tr w:rsidR="002371BA" w:rsidRPr="000260B3" w14:paraId="4DA52847" w14:textId="77777777" w:rsidTr="002371B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D3CC25" w14:textId="77777777" w:rsidR="002371BA" w:rsidRPr="000260B3" w:rsidRDefault="002371BA" w:rsidP="002371B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3">
              <w:rPr>
                <w:rFonts w:ascii="Times New Roman" w:hAnsi="Times New Roman" w:cs="Times New Roman"/>
                <w:sz w:val="20"/>
                <w:szCs w:val="20"/>
              </w:rPr>
              <w:t>Neuronal pentraxin receptor  NNYMYAR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F4B8148" w14:textId="03564561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-0.010 (-0.19; 0.17), 0.91/0.97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EAB78D5" w14:textId="49857872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-0.0051 (-0.13; 0.12), 0.94/0.98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3473668" w14:textId="322F9626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0.047 (-0.11; 0.20), 0.55/0.84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DFF0202" w14:textId="2209AE5C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0.019 (-0.10; 0.14), 0.75/0.90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AFCD27B" w14:textId="17454530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0.030 (-0.12; 0.18), 0.70/0.89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02384A9" w14:textId="4DDFF247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0.0086 (-0.12; 0.13), 0.89/0.96</w:t>
            </w:r>
          </w:p>
        </w:tc>
      </w:tr>
      <w:tr w:rsidR="002371BA" w:rsidRPr="000260B3" w14:paraId="5AEA8C06" w14:textId="77777777" w:rsidTr="002371B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4070050" w14:textId="77777777" w:rsidR="002371BA" w:rsidRPr="000260B3" w:rsidRDefault="002371BA" w:rsidP="002371B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3">
              <w:rPr>
                <w:rFonts w:ascii="Times New Roman" w:hAnsi="Times New Roman" w:cs="Times New Roman"/>
                <w:sz w:val="20"/>
                <w:szCs w:val="20"/>
              </w:rPr>
              <w:t>PBP1  NRPTSISWDGLDSGK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BA3D2B5" w14:textId="777586A0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-0.041 (-0.095; 0.012), 0.13/0.57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D734D5" w14:textId="7B5A4CF8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-0.029 (-0.067; 0.0086), 0.13/0.57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912A95E" w14:textId="26ABE211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0.0014 (-0.051; 0.054), 0.96/0.99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F85AC1" w14:textId="14650701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-0.017 (-0.058; 0.025), 0.42/0.78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1BE95A0" w14:textId="2DB5CDCD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0.0085 (-0.042; 0.059), 0.74/0.90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77EEA2C" w14:textId="7BB67E06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-0.028 (-0.076; 0.020), 0.24/0.69</w:t>
            </w:r>
          </w:p>
        </w:tc>
      </w:tr>
      <w:tr w:rsidR="002371BA" w:rsidRPr="000260B3" w14:paraId="29554BDA" w14:textId="77777777" w:rsidTr="002371B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30AADB3" w14:textId="77777777" w:rsidR="002371BA" w:rsidRPr="000260B3" w:rsidRDefault="002371BA" w:rsidP="002371B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3">
              <w:rPr>
                <w:rFonts w:ascii="Times New Roman" w:hAnsi="Times New Roman" w:cs="Times New Roman"/>
                <w:sz w:val="20"/>
                <w:szCs w:val="20"/>
              </w:rPr>
              <w:t>PBP1 LYEQLSGK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BB69EF7" w14:textId="608F26D8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-0.43 (-1.21; 0.35), 0.27/0.72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7FD5C26" w14:textId="0D0916B1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-0.25 (-0.76; 0.26), 0.33/0.73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C4DF5E" w14:textId="245DB4B2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0.21 (-0.52; 0.95), 0.57/0.85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4B9F084" w14:textId="584A286C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0.015 (-0.51; 0.54), 0.95/0.99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C4CC9DA" w14:textId="2E03D3F4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0.20 (-0.52; 0.91), 0.58/0.85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8E87821" w14:textId="3279AEA6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-0.039 (-0.59; 0.51), 0.89/0.96</w:t>
            </w:r>
          </w:p>
        </w:tc>
      </w:tr>
      <w:tr w:rsidR="002371BA" w:rsidRPr="000260B3" w14:paraId="68DA7DA6" w14:textId="77777777" w:rsidTr="002371B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84BB712" w14:textId="479CD968" w:rsidR="002371BA" w:rsidRPr="000260B3" w:rsidRDefault="00B03B16" w:rsidP="002371B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2371BA" w:rsidRPr="000260B3">
              <w:rPr>
                <w:rFonts w:ascii="Times New Roman" w:hAnsi="Times New Roman" w:cs="Times New Roman"/>
                <w:sz w:val="20"/>
                <w:szCs w:val="20"/>
              </w:rPr>
              <w:t>ab GDP dissociation inhibitor alpha  QLICDPSYIPDR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BB1551" w14:textId="5ABE88F9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-1.36 (-5.23; 2.50), 0.48/0.81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32D8DDA" w14:textId="53B8E646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-1.27 (-3.97; 1.43), 0.35/0.74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5A7E4B3" w14:textId="44421989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2.30 (-1.50; 6.10), 0.23/0.69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4FD6E4A" w14:textId="7769804E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-0.30 (-3.18; 2.59), 0.84/0.94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97CB666" w14:textId="40A645DE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2.17 (-1.57; 5.92), 0.25/0.70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6E0C4C" w14:textId="4E8D25B7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-0.53 (-3.57; 2.51), 0.73/0.89</w:t>
            </w:r>
          </w:p>
        </w:tc>
      </w:tr>
      <w:tr w:rsidR="002371BA" w:rsidRPr="000260B3" w14:paraId="4EF91E46" w14:textId="77777777" w:rsidTr="002371B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113326E" w14:textId="1862CF8D" w:rsidR="002371BA" w:rsidRPr="000260B3" w:rsidRDefault="00B03B16" w:rsidP="002371B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</w:t>
            </w:r>
            <w:r w:rsidR="002371BA" w:rsidRPr="000260B3">
              <w:rPr>
                <w:rFonts w:ascii="Times New Roman" w:hAnsi="Times New Roman" w:cs="Times New Roman"/>
                <w:sz w:val="20"/>
                <w:szCs w:val="20"/>
              </w:rPr>
              <w:t>yntaxin-1B QHSAILAAPNPDEK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88279BA" w14:textId="70AEA609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-2.06 (-6.19; 2.06), 0.32/0.72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084D79F" w14:textId="5076A9F4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-1.03 (-3.93; 1.88), 0.48/0.81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350BCC3" w14:textId="309BF4E9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1.59 (-2.32; 5.50), 0.42/0.78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B66620E" w14:textId="68065E4F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0.10 (-2.92; 3.12), 0.95/0.99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CC650F" w14:textId="229BDB68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2.00 (-1.88; 5.88), 0.30/0.72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94DF692" w14:textId="4BA2923B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0.042 (-3.11; 3.19), 0.98/0.99</w:t>
            </w:r>
          </w:p>
        </w:tc>
      </w:tr>
      <w:tr w:rsidR="002371BA" w:rsidRPr="000260B3" w14:paraId="08573394" w14:textId="77777777" w:rsidTr="002371B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0B3819" w14:textId="075F3809" w:rsidR="002371BA" w:rsidRPr="000260B3" w:rsidRDefault="00B03B16" w:rsidP="002371B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2371BA" w:rsidRPr="000260B3">
              <w:rPr>
                <w:rFonts w:ascii="Times New Roman" w:hAnsi="Times New Roman" w:cs="Times New Roman"/>
                <w:sz w:val="20"/>
                <w:szCs w:val="20"/>
              </w:rPr>
              <w:t>yntaxin-7 EFGSLPTTPSEQR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773FAAA" w14:textId="01E96FE1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-36.41 (-79.67; 6.84), 0.097/0.53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7640E97" w14:textId="080C0A47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-4.02 (-31.64; 23.60), 0.77/0.91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490B7F5" w14:textId="151AD4B0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4.66 (-39.83; 49.15), 0.83/0.94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EEE0AA5" w14:textId="5466F024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4.40 (-23.75; 32.55), 0.76/0.90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D1B3136" w14:textId="7B37B155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9.64 (-32.72; 52.00), 0.65/0.88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73BB338" w14:textId="2E9433C2" w:rsidR="002371BA" w:rsidRPr="002371BA" w:rsidRDefault="002371BA" w:rsidP="002371B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1BA">
              <w:rPr>
                <w:rFonts w:ascii="Times New Roman" w:hAnsi="Times New Roman" w:cs="Times New Roman"/>
                <w:sz w:val="20"/>
                <w:szCs w:val="20"/>
              </w:rPr>
              <w:t>-0.23 (-29.38; 28.92), 0.99/0.99</w:t>
            </w:r>
          </w:p>
        </w:tc>
      </w:tr>
    </w:tbl>
    <w:p w14:paraId="14626C24" w14:textId="77777777" w:rsidR="00CF49CC" w:rsidRDefault="00CF49CC">
      <w:pPr>
        <w:pStyle w:val="FirstParagraph"/>
      </w:pPr>
    </w:p>
    <w:sectPr w:rsidR="00CF49CC" w:rsidSect="00926531">
      <w:pgSz w:w="16838" w:h="11906" w:orient="landscape" w:code="9"/>
      <w:pgMar w:top="1440" w:right="1440" w:bottom="1440" w:left="1440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8E9E55" w14:textId="77777777" w:rsidR="000260B3" w:rsidRDefault="000260B3">
      <w:pPr>
        <w:spacing w:after="0"/>
      </w:pPr>
      <w:r>
        <w:separator/>
      </w:r>
    </w:p>
  </w:endnote>
  <w:endnote w:type="continuationSeparator" w:id="0">
    <w:p w14:paraId="7A4F50E6" w14:textId="77777777" w:rsidR="000260B3" w:rsidRDefault="000260B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9DADDE" w14:textId="77777777" w:rsidR="00CF49CC" w:rsidRDefault="000260B3">
      <w:r>
        <w:separator/>
      </w:r>
    </w:p>
  </w:footnote>
  <w:footnote w:type="continuationSeparator" w:id="0">
    <w:p w14:paraId="2C081A81" w14:textId="77777777" w:rsidR="00CF49CC" w:rsidRDefault="000260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7B26ED72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 w16cid:durableId="12720102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9CC"/>
    <w:rsid w:val="000260B3"/>
    <w:rsid w:val="002371BA"/>
    <w:rsid w:val="00926531"/>
    <w:rsid w:val="00B03B16"/>
    <w:rsid w:val="00CF49CC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31668"/>
  <w15:docId w15:val="{87AC8747-9A12-4B1E-898F-5D7494362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Brdteks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Overskrift2">
    <w:name w:val="heading 2"/>
    <w:basedOn w:val="Normal"/>
    <w:next w:val="Brdteks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Overskrift3">
    <w:name w:val="heading 3"/>
    <w:basedOn w:val="Normal"/>
    <w:next w:val="Brdteks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Brdteks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Overskrift5">
    <w:name w:val="heading 5"/>
    <w:basedOn w:val="Normal"/>
    <w:next w:val="Brdteks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Overskrift6">
    <w:name w:val="heading 6"/>
    <w:basedOn w:val="Normal"/>
    <w:next w:val="Brdteks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7">
    <w:name w:val="heading 7"/>
    <w:basedOn w:val="Normal"/>
    <w:next w:val="Brdteks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8">
    <w:name w:val="heading 8"/>
    <w:basedOn w:val="Normal"/>
    <w:next w:val="Brdteks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9">
    <w:name w:val="heading 9"/>
    <w:basedOn w:val="Normal"/>
    <w:next w:val="Brdteks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Brdteks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rdtekst"/>
    <w:next w:val="Brdtekst"/>
    <w:qFormat/>
  </w:style>
  <w:style w:type="paragraph" w:customStyle="1" w:styleId="Compact">
    <w:name w:val="Compact"/>
    <w:basedOn w:val="Brdtekst"/>
    <w:qFormat/>
    <w:pPr>
      <w:spacing w:before="36" w:after="36"/>
    </w:pPr>
  </w:style>
  <w:style w:type="paragraph" w:styleId="Titel">
    <w:name w:val="Title"/>
    <w:basedOn w:val="Normal"/>
    <w:next w:val="Brdteks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Undertitel">
    <w:name w:val="Subtitle"/>
    <w:basedOn w:val="Titel"/>
    <w:next w:val="Brdteks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rdtekst"/>
    <w:qFormat/>
    <w:pPr>
      <w:keepNext/>
      <w:keepLines/>
      <w:jc w:val="center"/>
    </w:pPr>
  </w:style>
  <w:style w:type="paragraph" w:styleId="Dato">
    <w:name w:val="Date"/>
    <w:next w:val="Brdteks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rdtekst"/>
    <w:qFormat/>
    <w:pPr>
      <w:keepNext/>
      <w:keepLines/>
      <w:spacing w:before="300" w:after="300"/>
    </w:pPr>
    <w:rPr>
      <w:sz w:val="20"/>
      <w:szCs w:val="20"/>
    </w:rPr>
  </w:style>
  <w:style w:type="paragraph" w:styleId="Bibliografi">
    <w:name w:val="Bibliography"/>
    <w:basedOn w:val="Normal"/>
    <w:qFormat/>
  </w:style>
  <w:style w:type="paragraph" w:styleId="Bloktekst">
    <w:name w:val="Block Text"/>
    <w:basedOn w:val="Brdtekst"/>
    <w:next w:val="Brdtekst"/>
    <w:uiPriority w:val="9"/>
    <w:unhideWhenUsed/>
    <w:qFormat/>
    <w:pPr>
      <w:spacing w:before="100" w:after="100"/>
      <w:ind w:left="480" w:right="480"/>
    </w:pPr>
  </w:style>
  <w:style w:type="paragraph" w:styleId="Fodnoteteks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Billedtekst">
    <w:name w:val="caption"/>
    <w:basedOn w:val="Normal"/>
    <w:link w:val="BilledtekstTegn"/>
    <w:pPr>
      <w:spacing w:after="120"/>
    </w:pPr>
    <w:rPr>
      <w:i/>
    </w:rPr>
  </w:style>
  <w:style w:type="paragraph" w:customStyle="1" w:styleId="TableCaption">
    <w:name w:val="Table Caption"/>
    <w:basedOn w:val="Billedtekst"/>
    <w:pPr>
      <w:keepNext/>
    </w:pPr>
  </w:style>
  <w:style w:type="paragraph" w:customStyle="1" w:styleId="ImageCaption">
    <w:name w:val="Image Caption"/>
    <w:basedOn w:val="Billedtekst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illedtekstTegn">
    <w:name w:val="Billedtekst Tegn"/>
    <w:basedOn w:val="Standardskrifttypeiafsnit"/>
    <w:link w:val="Billedtekst"/>
  </w:style>
  <w:style w:type="character" w:customStyle="1" w:styleId="VerbatimChar">
    <w:name w:val="Verbatim Char"/>
    <w:basedOn w:val="BilledtekstTegn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BilledtekstTegn"/>
  </w:style>
  <w:style w:type="character" w:styleId="Fodnotehenvisning">
    <w:name w:val="footnote reference"/>
    <w:basedOn w:val="BilledtekstTegn"/>
    <w:rPr>
      <w:vertAlign w:val="superscript"/>
    </w:rPr>
  </w:style>
  <w:style w:type="character" w:styleId="Hyperlink">
    <w:name w:val="Hyperlink"/>
    <w:basedOn w:val="BilledtekstTegn"/>
    <w:rPr>
      <w:color w:val="4F81BD" w:themeColor="accent1"/>
    </w:rPr>
  </w:style>
  <w:style w:type="paragraph" w:styleId="Overskrift">
    <w:name w:val="TOC Heading"/>
    <w:basedOn w:val="Overskrift1"/>
    <w:next w:val="Brdteks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449</Words>
  <Characters>3102</Characters>
  <Application>Microsoft Office Word</Application>
  <DocSecurity>4</DocSecurity>
  <Lines>238</Lines>
  <Paragraphs>136</Paragraphs>
  <ScaleCrop>false</ScaleCrop>
  <Company/>
  <LinksUpToDate>false</LinksUpToDate>
  <CharactersWithSpaces>3415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Ulla Benedichte Knorr</dc:creator>
  <cp:keywords/>
  <cp:lastModifiedBy>Ulla Benedichte Knorr</cp:lastModifiedBy>
  <cp:revision>2</cp:revision>
  <dcterms:created xsi:type="dcterms:W3CDTF">2024-02-27T15:20:00Z</dcterms:created>
  <dcterms:modified xsi:type="dcterms:W3CDTF">2024-02-27T15:20:00Z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