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7B797"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b/>
          <w:color w:val="000000"/>
        </w:rPr>
      </w:pPr>
    </w:p>
    <w:p w14:paraId="08AB0C7A" w14:textId="77777777" w:rsidR="00E02E54" w:rsidRPr="00B060EF" w:rsidRDefault="00E02E54" w:rsidP="00E02E54">
      <w:pPr>
        <w:spacing w:after="120" w:line="360" w:lineRule="auto"/>
        <w:jc w:val="both"/>
        <w:rPr>
          <w:rFonts w:ascii="Arial" w:hAnsi="Arial" w:cs="Arial"/>
        </w:rPr>
      </w:pPr>
      <w:r w:rsidRPr="00B060EF">
        <w:rPr>
          <w:rFonts w:ascii="Arial" w:hAnsi="Arial" w:cs="Arial"/>
          <w:b/>
          <w:bCs/>
        </w:rPr>
        <w:t xml:space="preserve">Ex. Fig. 1 | Expression of Clcf1 across different cancer types. </w:t>
      </w:r>
      <w:r w:rsidRPr="00B060EF">
        <w:rPr>
          <w:rFonts w:ascii="Arial" w:hAnsi="Arial" w:cs="Arial"/>
        </w:rPr>
        <w:t>CLCF1 expression: the y-axis represents various diseases, with lung cancer distinctly highlighted in red.  The x-axis displays each sample's expression as a dot, scaled to log2(TPM + 1). A blue line demarcates the 95th percentile across all samples. Any samples beyond this range are consider high expression. All TPM normalized counts are sourced from UCSC Treehouse (v11), representing a total of 12,499 samples from 49 different diseases.</w:t>
      </w:r>
    </w:p>
    <w:p w14:paraId="250A5806" w14:textId="77777777" w:rsidR="00E02E54" w:rsidRPr="00B060EF" w:rsidRDefault="00E02E54" w:rsidP="00E02E54">
      <w:pPr>
        <w:rPr>
          <w:rFonts w:ascii="Arial" w:hAnsi="Arial" w:cs="Arial"/>
          <w:b/>
          <w:color w:val="000000"/>
        </w:rPr>
      </w:pPr>
      <w:r w:rsidRPr="00B060EF">
        <w:rPr>
          <w:rFonts w:ascii="Arial" w:hAnsi="Arial" w:cs="Arial"/>
          <w:b/>
          <w:color w:val="000000"/>
        </w:rPr>
        <w:br w:type="page"/>
      </w:r>
    </w:p>
    <w:p w14:paraId="18DF9E65"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noProof/>
        </w:rPr>
        <w:lastRenderedPageBreak/>
        <mc:AlternateContent>
          <mc:Choice Requires="wps">
            <w:drawing>
              <wp:anchor distT="0" distB="0" distL="114300" distR="114300" simplePos="0" relativeHeight="251661312" behindDoc="0" locked="0" layoutInCell="1" allowOverlap="1" wp14:anchorId="5EA3B8B6" wp14:editId="49F1FC9A">
                <wp:simplePos x="0" y="0"/>
                <wp:positionH relativeFrom="column">
                  <wp:posOffset>-657225</wp:posOffset>
                </wp:positionH>
                <wp:positionV relativeFrom="paragraph">
                  <wp:posOffset>5265946</wp:posOffset>
                </wp:positionV>
                <wp:extent cx="7258050" cy="1519707"/>
                <wp:effectExtent l="0" t="0" r="6350" b="4445"/>
                <wp:wrapNone/>
                <wp:docPr id="53099839" name="Text Box 3"/>
                <wp:cNvGraphicFramePr/>
                <a:graphic xmlns:a="http://schemas.openxmlformats.org/drawingml/2006/main">
                  <a:graphicData uri="http://schemas.microsoft.com/office/word/2010/wordprocessingShape">
                    <wps:wsp>
                      <wps:cNvSpPr txBox="1"/>
                      <wps:spPr>
                        <a:xfrm>
                          <a:off x="0" y="0"/>
                          <a:ext cx="7258050" cy="1519707"/>
                        </a:xfrm>
                        <a:prstGeom prst="rect">
                          <a:avLst/>
                        </a:prstGeom>
                        <a:solidFill>
                          <a:schemeClr val="lt1"/>
                        </a:solidFill>
                        <a:ln w="6350">
                          <a:noFill/>
                        </a:ln>
                      </wps:spPr>
                      <wps:txbx>
                        <w:txbxContent>
                          <w:p w14:paraId="5857742D" w14:textId="77777777" w:rsidR="00E02E54" w:rsidRPr="00B060EF" w:rsidRDefault="00E02E54" w:rsidP="00E02E54">
                            <w:pPr>
                              <w:spacing w:after="120" w:line="360" w:lineRule="auto"/>
                              <w:jc w:val="both"/>
                              <w:rPr>
                                <w:rFonts w:ascii="Arial" w:hAnsi="Arial" w:cs="Arial"/>
                              </w:rPr>
                            </w:pPr>
                            <w:r w:rsidRPr="00B060EF">
                              <w:rPr>
                                <w:rFonts w:ascii="Arial" w:hAnsi="Arial" w:cs="Arial"/>
                                <w:b/>
                                <w:bCs/>
                              </w:rPr>
                              <w:t xml:space="preserve">Ex. Fig. 2 | Clustering of lung cells from single cell analysis. a. </w:t>
                            </w:r>
                            <w:r w:rsidRPr="00B060EF">
                              <w:rPr>
                                <w:rFonts w:ascii="Arial" w:hAnsi="Arial" w:cs="Arial"/>
                              </w:rPr>
                              <w:t>The dotplot shows the percentage of cells expressing the respective selected marker gene using dot size and the average expression level of that gene based on unique molecular identiﬁer (UMI) counts. Rows represent distinct clustered cell types.</w:t>
                            </w:r>
                            <w:r w:rsidRPr="00B060EF">
                              <w:rPr>
                                <w:rFonts w:ascii="Arial" w:hAnsi="Arial" w:cs="Arial"/>
                                <w:b/>
                                <w:bCs/>
                              </w:rPr>
                              <w:t xml:space="preserve"> b-c. </w:t>
                            </w:r>
                            <w:r w:rsidRPr="00B060EF">
                              <w:rPr>
                                <w:rFonts w:ascii="Arial" w:hAnsi="Arial" w:cs="Arial"/>
                              </w:rPr>
                              <w:t>Network depicting pathway analyses for MAPK (</w:t>
                            </w:r>
                            <w:r w:rsidRPr="00B060EF">
                              <w:rPr>
                                <w:rFonts w:ascii="Arial" w:hAnsi="Arial" w:cs="Arial"/>
                                <w:b/>
                              </w:rPr>
                              <w:t>b</w:t>
                            </w:r>
                            <w:r w:rsidRPr="00B060EF">
                              <w:rPr>
                                <w:rFonts w:ascii="Arial" w:hAnsi="Arial" w:cs="Arial"/>
                              </w:rPr>
                              <w:t>) and PD-L1/PD-1 checkpoint in cancer (</w:t>
                            </w:r>
                            <w:r w:rsidRPr="00B060EF">
                              <w:rPr>
                                <w:rFonts w:ascii="Arial" w:hAnsi="Arial" w:cs="Arial"/>
                                <w:b/>
                              </w:rPr>
                              <w:t>c</w:t>
                            </w:r>
                            <w:r w:rsidRPr="00B060EF">
                              <w:rPr>
                                <w:rFonts w:ascii="Arial" w:hAnsi="Arial" w:cs="Arial"/>
                              </w:rPr>
                              <w:t>) where grey is no change, green is upregulation and red is downregulation of gene expression.</w:t>
                            </w:r>
                          </w:p>
                          <w:p w14:paraId="2E10D2BE"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EA3B8B6" id="_x0000_t202" coordsize="21600,21600" o:spt="202" path="m,l,21600r21600,l21600,xe">
                <v:stroke joinstyle="miter"/>
                <v:path gradientshapeok="t" o:connecttype="rect"/>
              </v:shapetype>
              <v:shape id="Text Box 3" o:spid="_x0000_s1026" type="#_x0000_t202" style="position:absolute;left:0;text-align:left;margin-left:-51.75pt;margin-top:414.65pt;width:571.5pt;height:119.6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" fillcolor="white [3201]" stroked="f" strokeweight=".5pt">
                <v:textbox>
                  <w:txbxContent>
                    <w:p w14:paraId="5857742D" w14:textId="77777777" w:rsidR="00E02E54" w:rsidRPr="00B060EF" w:rsidRDefault="00E02E54" w:rsidP="00E02E54">
                      <w:pPr>
                        <w:spacing w:after="120" w:line="360" w:lineRule="auto"/>
                        <w:jc w:val="both"/>
                        <w:rPr>
                          <w:rFonts w:ascii="Arial" w:hAnsi="Arial" w:cs="Arial"/>
                        </w:rPr>
                      </w:pPr>
                      <w:r w:rsidRPr="00B060EF">
                        <w:rPr>
                          <w:rFonts w:ascii="Arial" w:hAnsi="Arial" w:cs="Arial"/>
                          <w:b/>
                          <w:bCs/>
                        </w:rPr>
                        <w:t xml:space="preserve">Ex. Fig. 2 | Clustering of lung cells from single cell analysis. a. </w:t>
                      </w:r>
                      <w:r w:rsidRPr="00B060EF">
                        <w:rPr>
                          <w:rFonts w:ascii="Arial" w:hAnsi="Arial" w:cs="Arial"/>
                        </w:rPr>
                        <w:t>The dotplot shows the percentage of cells expressing the respective selected marker gene using dot size and the average expression level of that gene based on unique molecular identiﬁer (UMI) counts. Rows represent distinct clustered cell types.</w:t>
                      </w:r>
                      <w:r w:rsidRPr="00B060EF">
                        <w:rPr>
                          <w:rFonts w:ascii="Arial" w:hAnsi="Arial" w:cs="Arial"/>
                          <w:b/>
                          <w:bCs/>
                        </w:rPr>
                        <w:t xml:space="preserve"> b-c. </w:t>
                      </w:r>
                      <w:r w:rsidRPr="00B060EF">
                        <w:rPr>
                          <w:rFonts w:ascii="Arial" w:hAnsi="Arial" w:cs="Arial"/>
                        </w:rPr>
                        <w:t>Network depicting pathway analyses for MAPK (</w:t>
                      </w:r>
                      <w:r w:rsidRPr="00B060EF">
                        <w:rPr>
                          <w:rFonts w:ascii="Arial" w:hAnsi="Arial" w:cs="Arial"/>
                          <w:b/>
                        </w:rPr>
                        <w:t>b</w:t>
                      </w:r>
                      <w:r w:rsidRPr="00B060EF">
                        <w:rPr>
                          <w:rFonts w:ascii="Arial" w:hAnsi="Arial" w:cs="Arial"/>
                        </w:rPr>
                        <w:t>) and PD-L1/PD-1 checkpoint in cancer (</w:t>
                      </w:r>
                      <w:r w:rsidRPr="00B060EF">
                        <w:rPr>
                          <w:rFonts w:ascii="Arial" w:hAnsi="Arial" w:cs="Arial"/>
                          <w:b/>
                        </w:rPr>
                        <w:t>c</w:t>
                      </w:r>
                      <w:r w:rsidRPr="00B060EF">
                        <w:rPr>
                          <w:rFonts w:ascii="Arial" w:hAnsi="Arial" w:cs="Arial"/>
                        </w:rPr>
                        <w:t>) where grey is no change, green is upregulation and red is downregulation of gene expression.</w:t>
                      </w:r>
                    </w:p>
                    <w:p w14:paraId="2E10D2BE"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v:textbox>
              </v:shape>
            </w:pict>
          </mc:Fallback>
        </mc:AlternateContent>
      </w:r>
      <w:r w:rsidRPr="00B060EF">
        <w:rPr>
          <w:rFonts w:ascii="Arial" w:hAnsi="Arial" w:cs="Arial"/>
          <w:b/>
          <w:bCs/>
          <w:noProof/>
        </w:rPr>
        <w:drawing>
          <wp:anchor distT="0" distB="0" distL="114300" distR="114300" simplePos="0" relativeHeight="251660288" behindDoc="0" locked="0" layoutInCell="1" allowOverlap="1" wp14:anchorId="63747BA8" wp14:editId="06B8C276">
            <wp:simplePos x="0" y="0"/>
            <wp:positionH relativeFrom="margin">
              <wp:posOffset>-911860</wp:posOffset>
            </wp:positionH>
            <wp:positionV relativeFrom="margin">
              <wp:posOffset>-957124</wp:posOffset>
            </wp:positionV>
            <wp:extent cx="7767265" cy="10058400"/>
            <wp:effectExtent l="0" t="0" r="0" b="0"/>
            <wp:wrapSquare wrapText="bothSides"/>
            <wp:docPr id="20459863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67265" cy="10058400"/>
                    </a:xfrm>
                    <a:prstGeom prst="rect">
                      <a:avLst/>
                    </a:prstGeom>
                    <a:noFill/>
                    <a:ln>
                      <a:noFill/>
                    </a:ln>
                  </pic:spPr>
                </pic:pic>
              </a:graphicData>
            </a:graphic>
          </wp:anchor>
        </w:drawing>
      </w:r>
    </w:p>
    <w:p w14:paraId="55CC55B7"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noProof/>
        </w:rPr>
        <w:lastRenderedPageBreak/>
        <mc:AlternateContent>
          <mc:Choice Requires="wps">
            <w:drawing>
              <wp:anchor distT="0" distB="0" distL="114300" distR="114300" simplePos="0" relativeHeight="251663360" behindDoc="0" locked="0" layoutInCell="1" allowOverlap="1" wp14:anchorId="7908E7F4" wp14:editId="65B77998">
                <wp:simplePos x="0" y="0"/>
                <wp:positionH relativeFrom="column">
                  <wp:posOffset>-653143</wp:posOffset>
                </wp:positionH>
                <wp:positionV relativeFrom="paragraph">
                  <wp:posOffset>3022963</wp:posOffset>
                </wp:positionV>
                <wp:extent cx="7258050" cy="1959428"/>
                <wp:effectExtent l="0" t="0" r="6350" b="0"/>
                <wp:wrapNone/>
                <wp:docPr id="1120176597" name="Text Box 3"/>
                <wp:cNvGraphicFramePr/>
                <a:graphic xmlns:a="http://schemas.openxmlformats.org/drawingml/2006/main">
                  <a:graphicData uri="http://schemas.microsoft.com/office/word/2010/wordprocessingShape">
                    <wps:wsp>
                      <wps:cNvSpPr txBox="1"/>
                      <wps:spPr>
                        <a:xfrm>
                          <a:off x="0" y="0"/>
                          <a:ext cx="7258050" cy="1959428"/>
                        </a:xfrm>
                        <a:prstGeom prst="rect">
                          <a:avLst/>
                        </a:prstGeom>
                        <a:solidFill>
                          <a:schemeClr val="lt1"/>
                        </a:solidFill>
                        <a:ln w="6350">
                          <a:noFill/>
                        </a:ln>
                      </wps:spPr>
                      <wps:txbx>
                        <w:txbxContent>
                          <w:p w14:paraId="5C823FA6"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3 | Spatially resolved, multiplexed protein characterization of geometric regions on FFPE tissue. </w:t>
                            </w:r>
                            <w:r w:rsidRPr="00B060EF">
                              <w:rPr>
                                <w:rFonts w:ascii="Arial" w:hAnsi="Arial" w:cs="Arial"/>
                              </w:rPr>
                              <w:t>Protein profiling of lung tissue. One lobe for vehicle and eCNTFR-Fc treated was imaged using three-color fluorescence of CD45 (Yellow), PanCK (Green) and DNA (Blue) to establish overall tissue morphology. Circular ROIs of 300 µm in diameter were selected for detailed molecular profiling with a 43-plex oligonucleotide–antibody cocktail. Segmented ROIs are overlayed as Purple (CD45-) or orange (CD45+).</w:t>
                            </w:r>
                          </w:p>
                          <w:p w14:paraId="0BD0B593"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08E7F4" id="_x0000_s1027" type="#_x0000_t202" style="position:absolute;left:0;text-align:left;margin-left:-51.45pt;margin-top:238.05pt;width:571.5pt;height:154.3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" fillcolor="white [3201]" stroked="f" strokeweight=".5pt">
                <v:textbox>
                  <w:txbxContent>
                    <w:p w14:paraId="5C823FA6"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3 | Spatially resolved, multiplexed protein characterization of geometric regions on FFPE tissue. </w:t>
                      </w:r>
                      <w:r w:rsidRPr="00B060EF">
                        <w:rPr>
                          <w:rFonts w:ascii="Arial" w:hAnsi="Arial" w:cs="Arial"/>
                        </w:rPr>
                        <w:t>Protein profiling of lung tissue. One lobe for vehicle and eCNTFR-Fc treated was imaged using three-color fluorescence of CD45 (Yellow), PanCK (Green) and DNA (Blue) to establish overall tissue morphology. Circular ROIs of 300 µm in diameter were selected for detailed molecular profiling with a 43-plex oligonucleotide–antibody cocktail. Segmented ROIs are overlayed as Purple (CD45-) or orange (CD45+).</w:t>
                      </w:r>
                    </w:p>
                    <w:p w14:paraId="0BD0B593"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v:textbox>
              </v:shape>
            </w:pict>
          </mc:Fallback>
        </mc:AlternateContent>
      </w:r>
      <w:r w:rsidRPr="00B060EF">
        <w:rPr>
          <w:rFonts w:ascii="Arial" w:hAnsi="Arial" w:cs="Arial"/>
          <w:b/>
          <w:bCs/>
          <w:noProof/>
        </w:rPr>
        <w:drawing>
          <wp:anchor distT="0" distB="0" distL="114300" distR="114300" simplePos="0" relativeHeight="251662336" behindDoc="0" locked="0" layoutInCell="1" allowOverlap="1" wp14:anchorId="4AC0A318" wp14:editId="5B3DB89E">
            <wp:simplePos x="0" y="0"/>
            <wp:positionH relativeFrom="margin">
              <wp:posOffset>-921385</wp:posOffset>
            </wp:positionH>
            <wp:positionV relativeFrom="margin">
              <wp:posOffset>-949851</wp:posOffset>
            </wp:positionV>
            <wp:extent cx="7786504" cy="10058400"/>
            <wp:effectExtent l="0" t="0" r="0" b="0"/>
            <wp:wrapSquare wrapText="bothSides"/>
            <wp:docPr id="2239548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86504" cy="10058400"/>
                    </a:xfrm>
                    <a:prstGeom prst="rect">
                      <a:avLst/>
                    </a:prstGeom>
                    <a:noFill/>
                    <a:ln>
                      <a:noFill/>
                    </a:ln>
                  </pic:spPr>
                </pic:pic>
              </a:graphicData>
            </a:graphic>
          </wp:anchor>
        </w:drawing>
      </w:r>
    </w:p>
    <w:p w14:paraId="1B014332" w14:textId="77777777" w:rsidR="00E02E54" w:rsidRPr="00B060EF" w:rsidRDefault="00E02E54" w:rsidP="00E02E54">
      <w:pPr>
        <w:spacing w:after="120" w:line="360" w:lineRule="auto"/>
        <w:jc w:val="both"/>
        <w:rPr>
          <w:rFonts w:ascii="Arial" w:hAnsi="Arial" w:cs="Arial"/>
          <w:b/>
          <w:bCs/>
        </w:rPr>
      </w:pPr>
      <w:r>
        <w:rPr>
          <w:rFonts w:ascii="Arial" w:hAnsi="Arial" w:cs="Arial"/>
          <w:b/>
          <w:bCs/>
          <w:noProof/>
        </w:rPr>
        <w:lastRenderedPageBreak/>
        <w:drawing>
          <wp:anchor distT="0" distB="0" distL="114300" distR="114300" simplePos="0" relativeHeight="251659264" behindDoc="0" locked="0" layoutInCell="1" allowOverlap="1" wp14:anchorId="69E06AA0" wp14:editId="6167652C">
            <wp:simplePos x="0" y="0"/>
            <wp:positionH relativeFrom="margin">
              <wp:posOffset>-908050</wp:posOffset>
            </wp:positionH>
            <wp:positionV relativeFrom="margin">
              <wp:posOffset>-974057</wp:posOffset>
            </wp:positionV>
            <wp:extent cx="7755715" cy="10058400"/>
            <wp:effectExtent l="0" t="0" r="4445" b="0"/>
            <wp:wrapSquare wrapText="bothSides"/>
            <wp:docPr id="895856434" name="Picture 3" descr="A screenshot of 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856434" name="Picture 3" descr="A screenshot of a screenshot of a graph&#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7755715" cy="10058400"/>
                    </a:xfrm>
                    <a:prstGeom prst="rect">
                      <a:avLst/>
                    </a:prstGeom>
                  </pic:spPr>
                </pic:pic>
              </a:graphicData>
            </a:graphic>
          </wp:anchor>
        </w:drawing>
      </w:r>
      <w:r w:rsidRPr="00B060EF">
        <w:rPr>
          <w:rFonts w:ascii="Arial" w:hAnsi="Arial" w:cs="Arial"/>
          <w:b/>
          <w:bCs/>
          <w:noProof/>
        </w:rPr>
        <mc:AlternateContent>
          <mc:Choice Requires="wps">
            <w:drawing>
              <wp:anchor distT="0" distB="0" distL="114300" distR="114300" simplePos="0" relativeHeight="251664384" behindDoc="0" locked="0" layoutInCell="1" allowOverlap="1" wp14:anchorId="56A13C26" wp14:editId="028D5E9E">
                <wp:simplePos x="0" y="0"/>
                <wp:positionH relativeFrom="column">
                  <wp:posOffset>-656590</wp:posOffset>
                </wp:positionH>
                <wp:positionV relativeFrom="paragraph">
                  <wp:posOffset>5656580</wp:posOffset>
                </wp:positionV>
                <wp:extent cx="7258050" cy="1959428"/>
                <wp:effectExtent l="0" t="0" r="6350" b="0"/>
                <wp:wrapNone/>
                <wp:docPr id="1488311720" name="Text Box 3"/>
                <wp:cNvGraphicFramePr/>
                <a:graphic xmlns:a="http://schemas.openxmlformats.org/drawingml/2006/main">
                  <a:graphicData uri="http://schemas.microsoft.com/office/word/2010/wordprocessingShape">
                    <wps:wsp>
                      <wps:cNvSpPr txBox="1"/>
                      <wps:spPr>
                        <a:xfrm>
                          <a:off x="0" y="0"/>
                          <a:ext cx="7258050" cy="1959428"/>
                        </a:xfrm>
                        <a:prstGeom prst="rect">
                          <a:avLst/>
                        </a:prstGeom>
                        <a:solidFill>
                          <a:schemeClr val="lt1"/>
                        </a:solidFill>
                        <a:ln w="6350">
                          <a:noFill/>
                        </a:ln>
                      </wps:spPr>
                      <wps:txbx>
                        <w:txbxContent>
                          <w:p w14:paraId="05EA1849"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4 | KRAS dependency is correlated with CNTFR dependency. a. </w:t>
                            </w:r>
                            <w:r w:rsidRPr="00B060EF">
                              <w:rPr>
                                <w:rFonts w:ascii="Arial" w:hAnsi="Arial" w:cs="Arial"/>
                              </w:rPr>
                              <w:t>KRAS dependency of LUAD cell lines from DEPMAP project Achilleas separated by KRAS mutation and zygosity of mutation.</w:t>
                            </w:r>
                            <w:r w:rsidRPr="00B060EF">
                              <w:rPr>
                                <w:rFonts w:ascii="Arial" w:hAnsi="Arial" w:cs="Arial"/>
                                <w:b/>
                                <w:bCs/>
                              </w:rPr>
                              <w:t xml:space="preserve"> b. </w:t>
                            </w:r>
                            <w:r w:rsidRPr="00B060EF">
                              <w:rPr>
                                <w:rFonts w:ascii="Arial" w:hAnsi="Arial" w:cs="Arial"/>
                              </w:rPr>
                              <w:t xml:space="preserve">correlation plot of KRAS dependency, based </w:t>
                            </w:r>
                            <w:r w:rsidRPr="00B060EF">
                              <w:rPr>
                                <w:rFonts w:ascii="Arial" w:eastAsia="Arial" w:hAnsi="Arial" w:cs="Arial"/>
                              </w:rPr>
                              <w:t>on</w:t>
                            </w:r>
                            <w:r w:rsidRPr="00B060EF">
                              <w:rPr>
                                <w:rFonts w:ascii="Arial" w:hAnsi="Arial" w:cs="Arial"/>
                              </w:rPr>
                              <w:t xml:space="preserve"> CRISPR screening (Red) or RNAi screening (blue) and CNTFR dependency </w:t>
                            </w:r>
                            <w:r w:rsidRPr="00B060EF">
                              <w:rPr>
                                <w:rFonts w:ascii="Arial" w:eastAsia="Arial" w:hAnsi="Arial" w:cs="Arial"/>
                              </w:rPr>
                              <w:t>determined</w:t>
                            </w:r>
                            <w:r w:rsidRPr="00B060EF">
                              <w:rPr>
                                <w:rFonts w:ascii="Arial" w:hAnsi="Arial" w:cs="Arial"/>
                              </w:rPr>
                              <w:t xml:space="preserve"> by growth analysis.</w:t>
                            </w:r>
                            <w:r w:rsidRPr="00B060EF">
                              <w:rPr>
                                <w:rFonts w:ascii="Arial" w:hAnsi="Arial" w:cs="Arial"/>
                                <w:b/>
                                <w:bCs/>
                                <w:color w:val="212121"/>
                              </w:rPr>
                              <w:t xml:space="preserve"> c-f. </w:t>
                            </w:r>
                            <w:r w:rsidRPr="00B060EF">
                              <w:rPr>
                                <w:rFonts w:ascii="Arial" w:hAnsi="Arial" w:cs="Arial"/>
                                <w:color w:val="212121"/>
                              </w:rPr>
                              <w:t xml:space="preserve">Growth curves of sgNT vs sgCNTFR clones in indicated cell lines, n = 4. </w:t>
                            </w:r>
                            <w:r w:rsidRPr="00B060EF">
                              <w:rPr>
                                <w:rFonts w:ascii="Arial" w:hAnsi="Arial" w:cs="Arial"/>
                                <w:b/>
                                <w:bCs/>
                                <w:color w:val="212121"/>
                              </w:rPr>
                              <w:t xml:space="preserve">c. </w:t>
                            </w:r>
                            <w:r w:rsidRPr="00B060EF">
                              <w:rPr>
                                <w:rFonts w:ascii="Arial" w:hAnsi="Arial" w:cs="Arial"/>
                                <w:color w:val="212121"/>
                              </w:rPr>
                              <w:t>A549.</w:t>
                            </w:r>
                            <w:r w:rsidRPr="00B060EF">
                              <w:rPr>
                                <w:rFonts w:ascii="Arial" w:hAnsi="Arial" w:cs="Arial"/>
                                <w:b/>
                                <w:bCs/>
                                <w:color w:val="212121"/>
                              </w:rPr>
                              <w:t xml:space="preserve"> d. </w:t>
                            </w:r>
                            <w:r w:rsidRPr="00B060EF">
                              <w:rPr>
                                <w:rFonts w:ascii="Arial" w:hAnsi="Arial" w:cs="Arial"/>
                                <w:color w:val="212121"/>
                              </w:rPr>
                              <w:t>H358.</w:t>
                            </w:r>
                            <w:r w:rsidRPr="00B060EF">
                              <w:rPr>
                                <w:rFonts w:ascii="Arial" w:hAnsi="Arial" w:cs="Arial"/>
                                <w:b/>
                                <w:bCs/>
                                <w:color w:val="212121"/>
                              </w:rPr>
                              <w:t xml:space="preserve"> e. </w:t>
                            </w:r>
                            <w:r w:rsidRPr="00B060EF">
                              <w:rPr>
                                <w:rFonts w:ascii="Arial" w:hAnsi="Arial" w:cs="Arial"/>
                                <w:color w:val="212121"/>
                              </w:rPr>
                              <w:t>H23.</w:t>
                            </w:r>
                            <w:r w:rsidRPr="00B060EF">
                              <w:rPr>
                                <w:rFonts w:ascii="Arial" w:hAnsi="Arial" w:cs="Arial"/>
                                <w:b/>
                                <w:bCs/>
                                <w:color w:val="212121"/>
                              </w:rPr>
                              <w:t xml:space="preserve"> f-h. </w:t>
                            </w:r>
                            <w:r w:rsidRPr="00B060EF">
                              <w:rPr>
                                <w:rFonts w:ascii="Arial" w:hAnsi="Arial" w:cs="Arial"/>
                                <w:color w:val="212121"/>
                              </w:rPr>
                              <w:t>Graphs for colony formation assays</w:t>
                            </w:r>
                            <w:r w:rsidRPr="00B060EF">
                              <w:rPr>
                                <w:rFonts w:ascii="Arial" w:hAnsi="Arial" w:cs="Arial"/>
                                <w:color w:val="333333"/>
                                <w:shd w:val="clear" w:color="auto" w:fill="FFFCF0"/>
                              </w:rPr>
                              <w:t xml:space="preserve"> </w:t>
                            </w:r>
                            <w:r w:rsidRPr="00B060EF">
                              <w:rPr>
                                <w:rFonts w:ascii="Arial" w:hAnsi="Arial" w:cs="Arial"/>
                                <w:color w:val="212121"/>
                              </w:rPr>
                              <w:t xml:space="preserve">in indicated LUAD cell lines, where cells, n </w:t>
                            </w:r>
                            <w:r w:rsidRPr="00B060EF">
                              <w:rPr>
                                <w:rFonts w:ascii="Arial" w:eastAsia="Symbol" w:hAnsi="Arial" w:cs="Arial"/>
                              </w:rPr>
                              <w:t>≥</w:t>
                            </w:r>
                            <w:r w:rsidRPr="00B060EF">
                              <w:rPr>
                                <w:rFonts w:ascii="Arial" w:hAnsi="Arial" w:cs="Arial"/>
                                <w:color w:val="212121"/>
                              </w:rPr>
                              <w:t xml:space="preserve"> 3, p &lt; 0.05</w:t>
                            </w:r>
                            <w:r w:rsidRPr="00B060EF">
                              <w:rPr>
                                <w:rFonts w:ascii="Arial" w:hAnsi="Arial" w:cs="Arial"/>
                                <w:b/>
                                <w:bCs/>
                                <w:color w:val="212121"/>
                              </w:rPr>
                              <w:t xml:space="preserve"> f. </w:t>
                            </w:r>
                            <w:r w:rsidRPr="00B060EF">
                              <w:rPr>
                                <w:rFonts w:ascii="Arial" w:hAnsi="Arial" w:cs="Arial"/>
                                <w:color w:val="212121"/>
                              </w:rPr>
                              <w:t>A549</w:t>
                            </w:r>
                            <w:r w:rsidRPr="00B060EF">
                              <w:rPr>
                                <w:rFonts w:ascii="Arial" w:hAnsi="Arial" w:cs="Arial"/>
                                <w:b/>
                                <w:bCs/>
                                <w:color w:val="212121"/>
                              </w:rPr>
                              <w:t xml:space="preserve"> g. </w:t>
                            </w:r>
                            <w:r w:rsidRPr="00B060EF">
                              <w:rPr>
                                <w:rFonts w:ascii="Arial" w:hAnsi="Arial" w:cs="Arial"/>
                                <w:color w:val="212121"/>
                              </w:rPr>
                              <w:t>H358.</w:t>
                            </w:r>
                            <w:r w:rsidRPr="00B060EF">
                              <w:rPr>
                                <w:rFonts w:ascii="Arial" w:hAnsi="Arial" w:cs="Arial"/>
                                <w:bCs/>
                                <w:color w:val="212121"/>
                              </w:rPr>
                              <w:t xml:space="preserve"> </w:t>
                            </w:r>
                            <w:r w:rsidRPr="00B060EF">
                              <w:rPr>
                                <w:rFonts w:ascii="Arial" w:hAnsi="Arial" w:cs="Arial"/>
                                <w:b/>
                                <w:color w:val="212121"/>
                              </w:rPr>
                              <w:t xml:space="preserve">h. </w:t>
                            </w:r>
                            <w:r w:rsidRPr="00B060EF">
                              <w:rPr>
                                <w:rFonts w:ascii="Arial" w:hAnsi="Arial" w:cs="Arial"/>
                                <w:bCs/>
                                <w:color w:val="212121"/>
                              </w:rPr>
                              <w:t>H23.</w:t>
                            </w:r>
                          </w:p>
                          <w:p w14:paraId="00B2576E"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A13C26" id="_x0000_s1028" type="#_x0000_t202" style="position:absolute;left:0;text-align:left;margin-left:-51.7pt;margin-top:445.4pt;width:571.5pt;height:154.3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" fillcolor="white [3201]" stroked="f" strokeweight=".5pt">
                <v:textbox>
                  <w:txbxContent>
                    <w:p w14:paraId="05EA1849"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4 | KRAS dependency is correlated with CNTFR dependency. a. </w:t>
                      </w:r>
                      <w:r w:rsidRPr="00B060EF">
                        <w:rPr>
                          <w:rFonts w:ascii="Arial" w:hAnsi="Arial" w:cs="Arial"/>
                        </w:rPr>
                        <w:t>KRAS dependency of LUAD cell lines from DEPMAP project Achilleas separated by KRAS mutation and zygosity of mutation.</w:t>
                      </w:r>
                      <w:r w:rsidRPr="00B060EF">
                        <w:rPr>
                          <w:rFonts w:ascii="Arial" w:hAnsi="Arial" w:cs="Arial"/>
                          <w:b/>
                          <w:bCs/>
                        </w:rPr>
                        <w:t xml:space="preserve"> b. </w:t>
                      </w:r>
                      <w:r w:rsidRPr="00B060EF">
                        <w:rPr>
                          <w:rFonts w:ascii="Arial" w:hAnsi="Arial" w:cs="Arial"/>
                        </w:rPr>
                        <w:t xml:space="preserve">correlation plot of KRAS dependency, based </w:t>
                      </w:r>
                      <w:r w:rsidRPr="00B060EF">
                        <w:rPr>
                          <w:rFonts w:ascii="Arial" w:eastAsia="Arial" w:hAnsi="Arial" w:cs="Arial"/>
                        </w:rPr>
                        <w:t>on</w:t>
                      </w:r>
                      <w:r w:rsidRPr="00B060EF">
                        <w:rPr>
                          <w:rFonts w:ascii="Arial" w:hAnsi="Arial" w:cs="Arial"/>
                        </w:rPr>
                        <w:t xml:space="preserve"> CRISPR screening (Red) or RNAi screening (blue) and CNTFR dependency </w:t>
                      </w:r>
                      <w:r w:rsidRPr="00B060EF">
                        <w:rPr>
                          <w:rFonts w:ascii="Arial" w:eastAsia="Arial" w:hAnsi="Arial" w:cs="Arial"/>
                        </w:rPr>
                        <w:t>determined</w:t>
                      </w:r>
                      <w:r w:rsidRPr="00B060EF">
                        <w:rPr>
                          <w:rFonts w:ascii="Arial" w:hAnsi="Arial" w:cs="Arial"/>
                        </w:rPr>
                        <w:t xml:space="preserve"> by growth analysis.</w:t>
                      </w:r>
                      <w:r w:rsidRPr="00B060EF">
                        <w:rPr>
                          <w:rFonts w:ascii="Arial" w:hAnsi="Arial" w:cs="Arial"/>
                          <w:b/>
                          <w:bCs/>
                          <w:color w:val="212121"/>
                        </w:rPr>
                        <w:t xml:space="preserve"> c-f. </w:t>
                      </w:r>
                      <w:r w:rsidRPr="00B060EF">
                        <w:rPr>
                          <w:rFonts w:ascii="Arial" w:hAnsi="Arial" w:cs="Arial"/>
                          <w:color w:val="212121"/>
                        </w:rPr>
                        <w:t xml:space="preserve">Growth curves of sgNT vs sgCNTFR clones in indicated cell lines, n = 4. </w:t>
                      </w:r>
                      <w:r w:rsidRPr="00B060EF">
                        <w:rPr>
                          <w:rFonts w:ascii="Arial" w:hAnsi="Arial" w:cs="Arial"/>
                          <w:b/>
                          <w:bCs/>
                          <w:color w:val="212121"/>
                        </w:rPr>
                        <w:t xml:space="preserve">c. </w:t>
                      </w:r>
                      <w:r w:rsidRPr="00B060EF">
                        <w:rPr>
                          <w:rFonts w:ascii="Arial" w:hAnsi="Arial" w:cs="Arial"/>
                          <w:color w:val="212121"/>
                        </w:rPr>
                        <w:t>A549.</w:t>
                      </w:r>
                      <w:r w:rsidRPr="00B060EF">
                        <w:rPr>
                          <w:rFonts w:ascii="Arial" w:hAnsi="Arial" w:cs="Arial"/>
                          <w:b/>
                          <w:bCs/>
                          <w:color w:val="212121"/>
                        </w:rPr>
                        <w:t xml:space="preserve"> d. </w:t>
                      </w:r>
                      <w:r w:rsidRPr="00B060EF">
                        <w:rPr>
                          <w:rFonts w:ascii="Arial" w:hAnsi="Arial" w:cs="Arial"/>
                          <w:color w:val="212121"/>
                        </w:rPr>
                        <w:t>H358.</w:t>
                      </w:r>
                      <w:r w:rsidRPr="00B060EF">
                        <w:rPr>
                          <w:rFonts w:ascii="Arial" w:hAnsi="Arial" w:cs="Arial"/>
                          <w:b/>
                          <w:bCs/>
                          <w:color w:val="212121"/>
                        </w:rPr>
                        <w:t xml:space="preserve"> e. </w:t>
                      </w:r>
                      <w:r w:rsidRPr="00B060EF">
                        <w:rPr>
                          <w:rFonts w:ascii="Arial" w:hAnsi="Arial" w:cs="Arial"/>
                          <w:color w:val="212121"/>
                        </w:rPr>
                        <w:t>H23.</w:t>
                      </w:r>
                      <w:r w:rsidRPr="00B060EF">
                        <w:rPr>
                          <w:rFonts w:ascii="Arial" w:hAnsi="Arial" w:cs="Arial"/>
                          <w:b/>
                          <w:bCs/>
                          <w:color w:val="212121"/>
                        </w:rPr>
                        <w:t xml:space="preserve"> f-h. </w:t>
                      </w:r>
                      <w:r w:rsidRPr="00B060EF">
                        <w:rPr>
                          <w:rFonts w:ascii="Arial" w:hAnsi="Arial" w:cs="Arial"/>
                          <w:color w:val="212121"/>
                        </w:rPr>
                        <w:t>Graphs for colony formation assays</w:t>
                      </w:r>
                      <w:r w:rsidRPr="00B060EF">
                        <w:rPr>
                          <w:rFonts w:ascii="Arial" w:hAnsi="Arial" w:cs="Arial"/>
                          <w:color w:val="333333"/>
                          <w:shd w:val="clear" w:color="auto" w:fill="FFFCF0"/>
                        </w:rPr>
                        <w:t xml:space="preserve"> </w:t>
                      </w:r>
                      <w:r w:rsidRPr="00B060EF">
                        <w:rPr>
                          <w:rFonts w:ascii="Arial" w:hAnsi="Arial" w:cs="Arial"/>
                          <w:color w:val="212121"/>
                        </w:rPr>
                        <w:t xml:space="preserve">in indicated LUAD cell lines, where cells, n </w:t>
                      </w:r>
                      <w:r w:rsidRPr="00B060EF">
                        <w:rPr>
                          <w:rFonts w:ascii="Arial" w:eastAsia="Symbol" w:hAnsi="Arial" w:cs="Arial"/>
                        </w:rPr>
                        <w:t>≥</w:t>
                      </w:r>
                      <w:r w:rsidRPr="00B060EF">
                        <w:rPr>
                          <w:rFonts w:ascii="Arial" w:hAnsi="Arial" w:cs="Arial"/>
                          <w:color w:val="212121"/>
                        </w:rPr>
                        <w:t xml:space="preserve"> 3, p &lt; 0.05</w:t>
                      </w:r>
                      <w:r w:rsidRPr="00B060EF">
                        <w:rPr>
                          <w:rFonts w:ascii="Arial" w:hAnsi="Arial" w:cs="Arial"/>
                          <w:b/>
                          <w:bCs/>
                          <w:color w:val="212121"/>
                        </w:rPr>
                        <w:t xml:space="preserve"> f. </w:t>
                      </w:r>
                      <w:r w:rsidRPr="00B060EF">
                        <w:rPr>
                          <w:rFonts w:ascii="Arial" w:hAnsi="Arial" w:cs="Arial"/>
                          <w:color w:val="212121"/>
                        </w:rPr>
                        <w:t>A549</w:t>
                      </w:r>
                      <w:r w:rsidRPr="00B060EF">
                        <w:rPr>
                          <w:rFonts w:ascii="Arial" w:hAnsi="Arial" w:cs="Arial"/>
                          <w:b/>
                          <w:bCs/>
                          <w:color w:val="212121"/>
                        </w:rPr>
                        <w:t xml:space="preserve"> g. </w:t>
                      </w:r>
                      <w:r w:rsidRPr="00B060EF">
                        <w:rPr>
                          <w:rFonts w:ascii="Arial" w:hAnsi="Arial" w:cs="Arial"/>
                          <w:color w:val="212121"/>
                        </w:rPr>
                        <w:t>H358.</w:t>
                      </w:r>
                      <w:r w:rsidRPr="00B060EF">
                        <w:rPr>
                          <w:rFonts w:ascii="Arial" w:hAnsi="Arial" w:cs="Arial"/>
                          <w:bCs/>
                          <w:color w:val="212121"/>
                        </w:rPr>
                        <w:t xml:space="preserve"> </w:t>
                      </w:r>
                      <w:r w:rsidRPr="00B060EF">
                        <w:rPr>
                          <w:rFonts w:ascii="Arial" w:hAnsi="Arial" w:cs="Arial"/>
                          <w:b/>
                          <w:color w:val="212121"/>
                        </w:rPr>
                        <w:t xml:space="preserve">h. </w:t>
                      </w:r>
                      <w:r w:rsidRPr="00B060EF">
                        <w:rPr>
                          <w:rFonts w:ascii="Arial" w:hAnsi="Arial" w:cs="Arial"/>
                          <w:bCs/>
                          <w:color w:val="212121"/>
                        </w:rPr>
                        <w:t>H23.</w:t>
                      </w:r>
                    </w:p>
                    <w:p w14:paraId="00B2576E"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v:textbox>
              </v:shape>
            </w:pict>
          </mc:Fallback>
        </mc:AlternateContent>
      </w:r>
    </w:p>
    <w:p w14:paraId="1A7B965B"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noProof/>
        </w:rPr>
        <w:lastRenderedPageBreak/>
        <mc:AlternateContent>
          <mc:Choice Requires="wps">
            <w:drawing>
              <wp:anchor distT="0" distB="0" distL="114300" distR="114300" simplePos="0" relativeHeight="251666432" behindDoc="0" locked="0" layoutInCell="1" allowOverlap="1" wp14:anchorId="04737A97" wp14:editId="5D32A642">
                <wp:simplePos x="0" y="0"/>
                <wp:positionH relativeFrom="column">
                  <wp:posOffset>-668655</wp:posOffset>
                </wp:positionH>
                <wp:positionV relativeFrom="paragraph">
                  <wp:posOffset>5951855</wp:posOffset>
                </wp:positionV>
                <wp:extent cx="7258050" cy="1959428"/>
                <wp:effectExtent l="0" t="0" r="6350" b="0"/>
                <wp:wrapNone/>
                <wp:docPr id="1955817826" name="Text Box 3"/>
                <wp:cNvGraphicFramePr/>
                <a:graphic xmlns:a="http://schemas.openxmlformats.org/drawingml/2006/main">
                  <a:graphicData uri="http://schemas.microsoft.com/office/word/2010/wordprocessingShape">
                    <wps:wsp>
                      <wps:cNvSpPr txBox="1"/>
                      <wps:spPr>
                        <a:xfrm>
                          <a:off x="0" y="0"/>
                          <a:ext cx="7258050" cy="1959428"/>
                        </a:xfrm>
                        <a:prstGeom prst="rect">
                          <a:avLst/>
                        </a:prstGeom>
                        <a:solidFill>
                          <a:schemeClr val="lt1"/>
                        </a:solidFill>
                        <a:ln w="6350">
                          <a:noFill/>
                        </a:ln>
                      </wps:spPr>
                      <wps:txbx>
                        <w:txbxContent>
                          <w:p w14:paraId="6743CFC2"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5 | Biochemical analysis of CNTFR knockout cells. </w:t>
                            </w:r>
                          </w:p>
                          <w:p w14:paraId="2F862EAD"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a. </w:t>
                            </w:r>
                            <w:r w:rsidRPr="00B060EF">
                              <w:rPr>
                                <w:rFonts w:ascii="Arial" w:hAnsi="Arial" w:cs="Arial"/>
                              </w:rPr>
                              <w:t>Densitometry of cytokine arrays showing that the CNTFR knockout cells seem to have less cytokine expression generally and show significant decreases in IL-6 family members (IL-6 and IL-11).</w:t>
                            </w:r>
                            <w:r w:rsidRPr="00B060EF">
                              <w:rPr>
                                <w:rFonts w:ascii="Arial" w:hAnsi="Arial" w:cs="Arial"/>
                                <w:b/>
                                <w:bCs/>
                              </w:rPr>
                              <w:t xml:space="preserve"> b, d, f.</w:t>
                            </w:r>
                            <w:r w:rsidRPr="00B060EF">
                              <w:rPr>
                                <w:rFonts w:ascii="Arial" w:hAnsi="Arial" w:cs="Arial"/>
                              </w:rPr>
                              <w:t xml:space="preserve"> Western blots of A549 (b), H23 (d) and H358 (f) under serum starved and stimulated conditions. </w:t>
                            </w:r>
                            <w:r w:rsidRPr="00B060EF">
                              <w:rPr>
                                <w:rFonts w:ascii="Arial" w:hAnsi="Arial" w:cs="Arial"/>
                                <w:b/>
                                <w:bCs/>
                              </w:rPr>
                              <w:t>c, e, g,</w:t>
                            </w:r>
                            <w:r w:rsidRPr="00B060EF">
                              <w:rPr>
                                <w:rFonts w:ascii="Arial" w:hAnsi="Arial" w:cs="Arial"/>
                              </w:rPr>
                              <w:t xml:space="preserve"> Densitometry analysis of p-ERK for A549 (</w:t>
                            </w:r>
                            <w:r w:rsidRPr="00B060EF">
                              <w:rPr>
                                <w:rFonts w:ascii="Arial" w:hAnsi="Arial" w:cs="Arial"/>
                                <w:b/>
                                <w:bCs/>
                              </w:rPr>
                              <w:t>c</w:t>
                            </w:r>
                            <w:r w:rsidRPr="00B060EF">
                              <w:rPr>
                                <w:rFonts w:ascii="Arial" w:hAnsi="Arial" w:cs="Arial"/>
                              </w:rPr>
                              <w:t>), H23 (</w:t>
                            </w:r>
                            <w:r w:rsidRPr="00B060EF">
                              <w:rPr>
                                <w:rFonts w:ascii="Arial" w:hAnsi="Arial" w:cs="Arial"/>
                                <w:b/>
                                <w:bCs/>
                              </w:rPr>
                              <w:t>e</w:t>
                            </w:r>
                            <w:r w:rsidRPr="00B060EF">
                              <w:rPr>
                                <w:rFonts w:ascii="Arial" w:hAnsi="Arial" w:cs="Arial"/>
                              </w:rPr>
                              <w:t>) and H358 (</w:t>
                            </w:r>
                            <w:r w:rsidRPr="00B060EF">
                              <w:rPr>
                                <w:rFonts w:ascii="Arial" w:hAnsi="Arial" w:cs="Arial"/>
                                <w:b/>
                                <w:bCs/>
                              </w:rPr>
                              <w:t>g</w:t>
                            </w:r>
                            <w:r w:rsidRPr="00B060EF">
                              <w:rPr>
                                <w:rFonts w:ascii="Arial" w:hAnsi="Arial" w:cs="Arial"/>
                              </w:rPr>
                              <w:t>).</w:t>
                            </w:r>
                          </w:p>
                          <w:p w14:paraId="49B97D96"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737A97" id="_x0000_s1029" type="#_x0000_t202" style="position:absolute;left:0;text-align:left;margin-left:-52.65pt;margin-top:468.65pt;width:571.5pt;height:154.3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" fillcolor="white [3201]" stroked="f" strokeweight=".5pt">
                <v:textbox>
                  <w:txbxContent>
                    <w:p w14:paraId="6743CFC2"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5 | Biochemical analysis of CNTFR knockout cells. </w:t>
                      </w:r>
                    </w:p>
                    <w:p w14:paraId="2F862EAD"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a. </w:t>
                      </w:r>
                      <w:r w:rsidRPr="00B060EF">
                        <w:rPr>
                          <w:rFonts w:ascii="Arial" w:hAnsi="Arial" w:cs="Arial"/>
                        </w:rPr>
                        <w:t>Densitometry of cytokine arrays showing that the CNTFR knockout cells seem to have less cytokine expression generally and show significant decreases in IL-6 family members (IL-6 and IL-11).</w:t>
                      </w:r>
                      <w:r w:rsidRPr="00B060EF">
                        <w:rPr>
                          <w:rFonts w:ascii="Arial" w:hAnsi="Arial" w:cs="Arial"/>
                          <w:b/>
                          <w:bCs/>
                        </w:rPr>
                        <w:t xml:space="preserve"> b, d, f.</w:t>
                      </w:r>
                      <w:r w:rsidRPr="00B060EF">
                        <w:rPr>
                          <w:rFonts w:ascii="Arial" w:hAnsi="Arial" w:cs="Arial"/>
                        </w:rPr>
                        <w:t xml:space="preserve"> Western blots of A549 (b), H23 (d) and H358 (f) under serum starved and stimulated conditions. </w:t>
                      </w:r>
                      <w:r w:rsidRPr="00B060EF">
                        <w:rPr>
                          <w:rFonts w:ascii="Arial" w:hAnsi="Arial" w:cs="Arial"/>
                          <w:b/>
                          <w:bCs/>
                        </w:rPr>
                        <w:t>c, e, g,</w:t>
                      </w:r>
                      <w:r w:rsidRPr="00B060EF">
                        <w:rPr>
                          <w:rFonts w:ascii="Arial" w:hAnsi="Arial" w:cs="Arial"/>
                        </w:rPr>
                        <w:t xml:space="preserve"> Densitometry analysis of p-ERK for A549 (</w:t>
                      </w:r>
                      <w:r w:rsidRPr="00B060EF">
                        <w:rPr>
                          <w:rFonts w:ascii="Arial" w:hAnsi="Arial" w:cs="Arial"/>
                          <w:b/>
                          <w:bCs/>
                        </w:rPr>
                        <w:t>c</w:t>
                      </w:r>
                      <w:r w:rsidRPr="00B060EF">
                        <w:rPr>
                          <w:rFonts w:ascii="Arial" w:hAnsi="Arial" w:cs="Arial"/>
                        </w:rPr>
                        <w:t>), H23 (</w:t>
                      </w:r>
                      <w:r w:rsidRPr="00B060EF">
                        <w:rPr>
                          <w:rFonts w:ascii="Arial" w:hAnsi="Arial" w:cs="Arial"/>
                          <w:b/>
                          <w:bCs/>
                        </w:rPr>
                        <w:t>e</w:t>
                      </w:r>
                      <w:r w:rsidRPr="00B060EF">
                        <w:rPr>
                          <w:rFonts w:ascii="Arial" w:hAnsi="Arial" w:cs="Arial"/>
                        </w:rPr>
                        <w:t>) and H358 (</w:t>
                      </w:r>
                      <w:r w:rsidRPr="00B060EF">
                        <w:rPr>
                          <w:rFonts w:ascii="Arial" w:hAnsi="Arial" w:cs="Arial"/>
                          <w:b/>
                          <w:bCs/>
                        </w:rPr>
                        <w:t>g</w:t>
                      </w:r>
                      <w:r w:rsidRPr="00B060EF">
                        <w:rPr>
                          <w:rFonts w:ascii="Arial" w:hAnsi="Arial" w:cs="Arial"/>
                        </w:rPr>
                        <w:t>).</w:t>
                      </w:r>
                    </w:p>
                    <w:p w14:paraId="49B97D96"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v:textbox>
              </v:shape>
            </w:pict>
          </mc:Fallback>
        </mc:AlternateContent>
      </w:r>
      <w:r w:rsidRPr="00B060EF">
        <w:rPr>
          <w:rFonts w:ascii="Arial" w:hAnsi="Arial" w:cs="Arial"/>
          <w:b/>
          <w:bCs/>
          <w:noProof/>
        </w:rPr>
        <w:drawing>
          <wp:anchor distT="0" distB="0" distL="114300" distR="114300" simplePos="0" relativeHeight="251665408" behindDoc="0" locked="0" layoutInCell="1" allowOverlap="1" wp14:anchorId="7B2113AC" wp14:editId="3EFC9902">
            <wp:simplePos x="0" y="0"/>
            <wp:positionH relativeFrom="margin">
              <wp:posOffset>-914400</wp:posOffset>
            </wp:positionH>
            <wp:positionV relativeFrom="margin">
              <wp:posOffset>-962025</wp:posOffset>
            </wp:positionV>
            <wp:extent cx="7772362" cy="10058400"/>
            <wp:effectExtent l="0" t="0" r="0" b="0"/>
            <wp:wrapSquare wrapText="bothSides"/>
            <wp:docPr id="38826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26552" name="Picture 38826552"/>
                    <pic:cNvPicPr/>
                  </pic:nvPicPr>
                  <pic:blipFill>
                    <a:blip r:embed="rId7">
                      <a:extLst>
                        <a:ext uri="{28A0092B-C50C-407E-A947-70E740481C1C}">
                          <a14:useLocalDpi xmlns:a14="http://schemas.microsoft.com/office/drawing/2010/main" val="0"/>
                        </a:ext>
                      </a:extLst>
                    </a:blip>
                    <a:stretch>
                      <a:fillRect/>
                    </a:stretch>
                  </pic:blipFill>
                  <pic:spPr>
                    <a:xfrm>
                      <a:off x="0" y="0"/>
                      <a:ext cx="7772362" cy="10058400"/>
                    </a:xfrm>
                    <a:prstGeom prst="rect">
                      <a:avLst/>
                    </a:prstGeom>
                  </pic:spPr>
                </pic:pic>
              </a:graphicData>
            </a:graphic>
          </wp:anchor>
        </w:drawing>
      </w:r>
    </w:p>
    <w:p w14:paraId="1243D596"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noProof/>
        </w:rPr>
        <w:lastRenderedPageBreak/>
        <mc:AlternateContent>
          <mc:Choice Requires="wps">
            <w:drawing>
              <wp:anchor distT="0" distB="0" distL="114300" distR="114300" simplePos="0" relativeHeight="251668480" behindDoc="0" locked="0" layoutInCell="1" allowOverlap="1" wp14:anchorId="7B86AE60" wp14:editId="78DC921B">
                <wp:simplePos x="0" y="0"/>
                <wp:positionH relativeFrom="column">
                  <wp:posOffset>-656590</wp:posOffset>
                </wp:positionH>
                <wp:positionV relativeFrom="paragraph">
                  <wp:posOffset>3684270</wp:posOffset>
                </wp:positionV>
                <wp:extent cx="7258050" cy="2268187"/>
                <wp:effectExtent l="0" t="0" r="6350" b="5715"/>
                <wp:wrapNone/>
                <wp:docPr id="953127352" name="Text Box 3"/>
                <wp:cNvGraphicFramePr/>
                <a:graphic xmlns:a="http://schemas.openxmlformats.org/drawingml/2006/main">
                  <a:graphicData uri="http://schemas.microsoft.com/office/word/2010/wordprocessingShape">
                    <wps:wsp>
                      <wps:cNvSpPr txBox="1"/>
                      <wps:spPr>
                        <a:xfrm>
                          <a:off x="0" y="0"/>
                          <a:ext cx="7258050" cy="2268187"/>
                        </a:xfrm>
                        <a:prstGeom prst="rect">
                          <a:avLst/>
                        </a:prstGeom>
                        <a:solidFill>
                          <a:schemeClr val="lt1"/>
                        </a:solidFill>
                        <a:ln w="6350">
                          <a:noFill/>
                        </a:ln>
                      </wps:spPr>
                      <wps:txbx>
                        <w:txbxContent>
                          <w:p w14:paraId="4C2259C0" w14:textId="77777777" w:rsidR="00E02E54" w:rsidRPr="00B060EF" w:rsidRDefault="00E02E54" w:rsidP="00E02E54">
                            <w:pPr>
                              <w:spacing w:after="120" w:line="360" w:lineRule="auto"/>
                              <w:jc w:val="both"/>
                              <w:rPr>
                                <w:rFonts w:ascii="Arial" w:hAnsi="Arial" w:cs="Arial"/>
                              </w:rPr>
                            </w:pPr>
                            <w:r w:rsidRPr="00B060EF">
                              <w:rPr>
                                <w:rFonts w:ascii="Arial" w:hAnsi="Arial" w:cs="Arial"/>
                                <w:b/>
                                <w:bCs/>
                              </w:rPr>
                              <w:t xml:space="preserve">Ex. Fig. 6 | Sensitization of KRAS inhibition resistant cell lines with CNTFR knockout in LUAD. a. </w:t>
                            </w:r>
                            <w:r w:rsidRPr="00B060EF">
                              <w:rPr>
                                <w:rFonts w:ascii="Arial" w:hAnsi="Arial" w:cs="Arial"/>
                              </w:rPr>
                              <w:t>Viability curves of the H23 cell lines where Non-targeting and CNTFR knockout clones were treated with KRAS inhibitor AMG510. Knockout clones have increased sensitivity to KRAS inhibition in H23 where cells are intrinsically resistant to KRAS inhibition.</w:t>
                            </w:r>
                            <w:r w:rsidRPr="00B060EF">
                              <w:rPr>
                                <w:rFonts w:ascii="Arial" w:hAnsi="Arial" w:cs="Arial"/>
                                <w:b/>
                                <w:bCs/>
                              </w:rPr>
                              <w:t xml:space="preserve"> b.</w:t>
                            </w:r>
                            <w:r w:rsidRPr="00B060EF">
                              <w:rPr>
                                <w:rFonts w:ascii="Arial" w:hAnsi="Arial" w:cs="Arial"/>
                                <w:color w:val="000000"/>
                              </w:rPr>
                              <w:t xml:space="preserve"> </w:t>
                            </w:r>
                            <w:r w:rsidRPr="00B060EF">
                              <w:rPr>
                                <w:rFonts w:ascii="Arial" w:hAnsi="Arial" w:cs="Arial"/>
                              </w:rPr>
                              <w:t>Viability curves of the H1792 cell lines where Non-targeting and CNTFR knockout clones were treated with KRAS inhibitor AMG510. Consistent with H23, H1792 Knockout clones have increased sensitivity to KRAS inhibition.</w:t>
                            </w:r>
                            <w:r w:rsidRPr="00B060EF">
                              <w:rPr>
                                <w:rFonts w:ascii="Arial" w:hAnsi="Arial" w:cs="Arial"/>
                                <w:b/>
                                <w:bCs/>
                              </w:rPr>
                              <w:t xml:space="preserve"> c. </w:t>
                            </w:r>
                            <w:r w:rsidRPr="00B060EF">
                              <w:rPr>
                                <w:rFonts w:ascii="Arial" w:hAnsi="Arial" w:cs="Arial"/>
                              </w:rPr>
                              <w:t>H23 cells are also sensitized to KRAS inhibition using eCNTFR-Fc.</w:t>
                            </w:r>
                            <w:r w:rsidRPr="00B060EF">
                              <w:rPr>
                                <w:rFonts w:ascii="Arial" w:hAnsi="Arial" w:cs="Arial"/>
                                <w:b/>
                                <w:bCs/>
                              </w:rPr>
                              <w:t xml:space="preserve"> d. </w:t>
                            </w:r>
                            <w:r w:rsidRPr="00B060EF">
                              <w:rPr>
                                <w:rFonts w:ascii="Arial" w:hAnsi="Arial" w:cs="Arial"/>
                              </w:rPr>
                              <w:t>Western blot of phosphorylation of ERK at baseline and 6 Hours of AMG510 treatment.</w:t>
                            </w:r>
                            <w:r w:rsidRPr="00B060EF">
                              <w:rPr>
                                <w:rFonts w:ascii="Arial" w:hAnsi="Arial" w:cs="Arial"/>
                                <w:b/>
                                <w:bCs/>
                              </w:rPr>
                              <w:t xml:space="preserve"> e. </w:t>
                            </w:r>
                            <w:r w:rsidRPr="00B060EF">
                              <w:rPr>
                                <w:rFonts w:ascii="Arial" w:hAnsi="Arial" w:cs="Arial"/>
                              </w:rPr>
                              <w:t>Densitometry of western blot from (d).</w:t>
                            </w:r>
                          </w:p>
                          <w:p w14:paraId="5CD9ED8B"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86AE60" id="_x0000_s1030" type="#_x0000_t202" style="position:absolute;left:0;text-align:left;margin-left:-51.7pt;margin-top:290.1pt;width:571.5pt;height:178.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" fillcolor="white [3201]" stroked="f" strokeweight=".5pt">
                <v:textbox>
                  <w:txbxContent>
                    <w:p w14:paraId="4C2259C0" w14:textId="77777777" w:rsidR="00E02E54" w:rsidRPr="00B060EF" w:rsidRDefault="00E02E54" w:rsidP="00E02E54">
                      <w:pPr>
                        <w:spacing w:after="120" w:line="360" w:lineRule="auto"/>
                        <w:jc w:val="both"/>
                        <w:rPr>
                          <w:rFonts w:ascii="Arial" w:hAnsi="Arial" w:cs="Arial"/>
                        </w:rPr>
                      </w:pPr>
                      <w:r w:rsidRPr="00B060EF">
                        <w:rPr>
                          <w:rFonts w:ascii="Arial" w:hAnsi="Arial" w:cs="Arial"/>
                          <w:b/>
                          <w:bCs/>
                        </w:rPr>
                        <w:t xml:space="preserve">Ex. Fig. 6 | Sensitization of KRAS inhibition resistant cell lines with CNTFR knockout in LUAD. a. </w:t>
                      </w:r>
                      <w:r w:rsidRPr="00B060EF">
                        <w:rPr>
                          <w:rFonts w:ascii="Arial" w:hAnsi="Arial" w:cs="Arial"/>
                        </w:rPr>
                        <w:t>Viability curves of the H23 cell lines where Non-targeting and CNTFR knockout clones were treated with KRAS inhibitor AMG510. Knockout clones have increased sensitivity to KRAS inhibition in H23 where cells are intrinsically resistant to KRAS inhibition.</w:t>
                      </w:r>
                      <w:r w:rsidRPr="00B060EF">
                        <w:rPr>
                          <w:rFonts w:ascii="Arial" w:hAnsi="Arial" w:cs="Arial"/>
                          <w:b/>
                          <w:bCs/>
                        </w:rPr>
                        <w:t xml:space="preserve"> b.</w:t>
                      </w:r>
                      <w:r w:rsidRPr="00B060EF">
                        <w:rPr>
                          <w:rFonts w:ascii="Arial" w:hAnsi="Arial" w:cs="Arial"/>
                          <w:color w:val="000000"/>
                        </w:rPr>
                        <w:t xml:space="preserve"> </w:t>
                      </w:r>
                      <w:r w:rsidRPr="00B060EF">
                        <w:rPr>
                          <w:rFonts w:ascii="Arial" w:hAnsi="Arial" w:cs="Arial"/>
                        </w:rPr>
                        <w:t>Viability curves of the H1792 cell lines where Non-targeting and CNTFR knockout clones were treated with KRAS inhibitor AMG510. Consistent with H23, H1792 Knockout clones have increased sensitivity to KRAS inhibition.</w:t>
                      </w:r>
                      <w:r w:rsidRPr="00B060EF">
                        <w:rPr>
                          <w:rFonts w:ascii="Arial" w:hAnsi="Arial" w:cs="Arial"/>
                          <w:b/>
                          <w:bCs/>
                        </w:rPr>
                        <w:t xml:space="preserve"> c. </w:t>
                      </w:r>
                      <w:r w:rsidRPr="00B060EF">
                        <w:rPr>
                          <w:rFonts w:ascii="Arial" w:hAnsi="Arial" w:cs="Arial"/>
                        </w:rPr>
                        <w:t>H23 cells are also sensitized to KRAS inhibition using eCNTFR-Fc.</w:t>
                      </w:r>
                      <w:r w:rsidRPr="00B060EF">
                        <w:rPr>
                          <w:rFonts w:ascii="Arial" w:hAnsi="Arial" w:cs="Arial"/>
                          <w:b/>
                          <w:bCs/>
                        </w:rPr>
                        <w:t xml:space="preserve"> d. </w:t>
                      </w:r>
                      <w:r w:rsidRPr="00B060EF">
                        <w:rPr>
                          <w:rFonts w:ascii="Arial" w:hAnsi="Arial" w:cs="Arial"/>
                        </w:rPr>
                        <w:t>Western blot of phosphorylation of ERK at baseline and 6 Hours of AMG510 treatment.</w:t>
                      </w:r>
                      <w:r w:rsidRPr="00B060EF">
                        <w:rPr>
                          <w:rFonts w:ascii="Arial" w:hAnsi="Arial" w:cs="Arial"/>
                          <w:b/>
                          <w:bCs/>
                        </w:rPr>
                        <w:t xml:space="preserve"> e. </w:t>
                      </w:r>
                      <w:r w:rsidRPr="00B060EF">
                        <w:rPr>
                          <w:rFonts w:ascii="Arial" w:hAnsi="Arial" w:cs="Arial"/>
                        </w:rPr>
                        <w:t>Densitometry of western blot from (d).</w:t>
                      </w:r>
                    </w:p>
                    <w:p w14:paraId="5CD9ED8B"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v:textbox>
              </v:shape>
            </w:pict>
          </mc:Fallback>
        </mc:AlternateContent>
      </w:r>
      <w:r w:rsidRPr="00B060EF">
        <w:rPr>
          <w:rFonts w:ascii="Arial" w:hAnsi="Arial" w:cs="Arial"/>
          <w:b/>
          <w:bCs/>
          <w:noProof/>
        </w:rPr>
        <w:drawing>
          <wp:anchor distT="0" distB="0" distL="114300" distR="114300" simplePos="0" relativeHeight="251667456" behindDoc="0" locked="0" layoutInCell="1" allowOverlap="1" wp14:anchorId="40DE121D" wp14:editId="2269C990">
            <wp:simplePos x="0" y="0"/>
            <wp:positionH relativeFrom="margin">
              <wp:posOffset>-914400</wp:posOffset>
            </wp:positionH>
            <wp:positionV relativeFrom="margin">
              <wp:posOffset>-961902</wp:posOffset>
            </wp:positionV>
            <wp:extent cx="7773231" cy="10058400"/>
            <wp:effectExtent l="0" t="0" r="0" b="0"/>
            <wp:wrapSquare wrapText="bothSides"/>
            <wp:docPr id="1330368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3231" cy="10058400"/>
                    </a:xfrm>
                    <a:prstGeom prst="rect">
                      <a:avLst/>
                    </a:prstGeom>
                    <a:noFill/>
                    <a:ln>
                      <a:noFill/>
                    </a:ln>
                  </pic:spPr>
                </pic:pic>
              </a:graphicData>
            </a:graphic>
          </wp:anchor>
        </w:drawing>
      </w:r>
    </w:p>
    <w:p w14:paraId="4F659BA1" w14:textId="77777777" w:rsidR="00E02E54" w:rsidRPr="00B060EF" w:rsidRDefault="00E02E54" w:rsidP="00E02E54">
      <w:pPr>
        <w:rPr>
          <w:rFonts w:ascii="Arial" w:hAnsi="Arial" w:cs="Arial"/>
          <w:b/>
          <w:bCs/>
        </w:rPr>
      </w:pPr>
      <w:r w:rsidRPr="00B060EF">
        <w:rPr>
          <w:rFonts w:ascii="Arial" w:hAnsi="Arial" w:cs="Arial"/>
          <w:b/>
          <w:bCs/>
          <w:noProof/>
        </w:rPr>
        <w:lastRenderedPageBreak/>
        <mc:AlternateContent>
          <mc:Choice Requires="wps">
            <w:drawing>
              <wp:anchor distT="0" distB="0" distL="114300" distR="114300" simplePos="0" relativeHeight="251670528" behindDoc="0" locked="0" layoutInCell="1" allowOverlap="1" wp14:anchorId="4F6669C9" wp14:editId="26F52102">
                <wp:simplePos x="0" y="0"/>
                <wp:positionH relativeFrom="column">
                  <wp:posOffset>-656590</wp:posOffset>
                </wp:positionH>
                <wp:positionV relativeFrom="paragraph">
                  <wp:posOffset>2602865</wp:posOffset>
                </wp:positionV>
                <wp:extent cx="7258050" cy="2268187"/>
                <wp:effectExtent l="0" t="0" r="6350" b="5715"/>
                <wp:wrapNone/>
                <wp:docPr id="226072723" name="Text Box 3"/>
                <wp:cNvGraphicFramePr/>
                <a:graphic xmlns:a="http://schemas.openxmlformats.org/drawingml/2006/main">
                  <a:graphicData uri="http://schemas.microsoft.com/office/word/2010/wordprocessingShape">
                    <wps:wsp>
                      <wps:cNvSpPr txBox="1"/>
                      <wps:spPr>
                        <a:xfrm>
                          <a:off x="0" y="0"/>
                          <a:ext cx="7258050" cy="2268187"/>
                        </a:xfrm>
                        <a:prstGeom prst="rect">
                          <a:avLst/>
                        </a:prstGeom>
                        <a:solidFill>
                          <a:schemeClr val="lt1"/>
                        </a:solidFill>
                        <a:ln w="6350">
                          <a:noFill/>
                        </a:ln>
                      </wps:spPr>
                      <wps:txbx>
                        <w:txbxContent>
                          <w:p w14:paraId="185730B6"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7 | </w:t>
                            </w:r>
                            <w:r w:rsidRPr="00B060EF">
                              <w:rPr>
                                <w:rFonts w:ascii="Arial" w:eastAsia="Symbol" w:hAnsi="Arial" w:cs="Arial"/>
                                <w:b/>
                              </w:rPr>
                              <w:t>αPD-1</w:t>
                            </w:r>
                            <w:r w:rsidRPr="00B060EF">
                              <w:rPr>
                                <w:rFonts w:ascii="Arial" w:hAnsi="Arial" w:cs="Arial"/>
                                <w:b/>
                                <w:bCs/>
                              </w:rPr>
                              <w:t xml:space="preserve"> refractory score by cell population. </w:t>
                            </w:r>
                            <w:r w:rsidRPr="00B060EF">
                              <w:rPr>
                                <w:rFonts w:ascii="Arial" w:hAnsi="Arial" w:cs="Arial"/>
                                <w:color w:val="212121"/>
                              </w:rPr>
                              <w:t xml:space="preserve">Violin plot of the module score for refractory to </w:t>
                            </w:r>
                            <w:r w:rsidRPr="00B060EF">
                              <w:rPr>
                                <w:rFonts w:ascii="Arial" w:eastAsia="Symbol" w:hAnsi="Arial" w:cs="Arial"/>
                              </w:rPr>
                              <w:t>αPD-1</w:t>
                            </w:r>
                            <w:r w:rsidRPr="00B060EF">
                              <w:rPr>
                                <w:rFonts w:ascii="Arial" w:hAnsi="Arial" w:cs="Arial"/>
                                <w:color w:val="212121"/>
                              </w:rPr>
                              <w:t xml:space="preserve"> gene signature for each of the different populations identified by the single cell analysis.</w:t>
                            </w:r>
                          </w:p>
                          <w:p w14:paraId="63F4877D"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F6669C9" id="_x0000_s1031" type="#_x0000_t202" style="position:absolute;margin-left:-51.7pt;margin-top:204.95pt;width:571.5pt;height:178.6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" fillcolor="white [3201]" stroked="f" strokeweight=".5pt">
                <v:textbox>
                  <w:txbxContent>
                    <w:p w14:paraId="185730B6"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t xml:space="preserve">Ex. Fig. 7 | </w:t>
                      </w:r>
                      <w:r w:rsidRPr="00B060EF">
                        <w:rPr>
                          <w:rFonts w:ascii="Arial" w:eastAsia="Symbol" w:hAnsi="Arial" w:cs="Arial"/>
                          <w:b/>
                        </w:rPr>
                        <w:t>αPD-1</w:t>
                      </w:r>
                      <w:r w:rsidRPr="00B060EF">
                        <w:rPr>
                          <w:rFonts w:ascii="Arial" w:hAnsi="Arial" w:cs="Arial"/>
                          <w:b/>
                          <w:bCs/>
                        </w:rPr>
                        <w:t xml:space="preserve"> refractory score by cell population. </w:t>
                      </w:r>
                      <w:r w:rsidRPr="00B060EF">
                        <w:rPr>
                          <w:rFonts w:ascii="Arial" w:hAnsi="Arial" w:cs="Arial"/>
                          <w:color w:val="212121"/>
                        </w:rPr>
                        <w:t xml:space="preserve">Violin plot of the module score for refractory to </w:t>
                      </w:r>
                      <w:r w:rsidRPr="00B060EF">
                        <w:rPr>
                          <w:rFonts w:ascii="Arial" w:eastAsia="Symbol" w:hAnsi="Arial" w:cs="Arial"/>
                        </w:rPr>
                        <w:t>αPD-1</w:t>
                      </w:r>
                      <w:r w:rsidRPr="00B060EF">
                        <w:rPr>
                          <w:rFonts w:ascii="Arial" w:hAnsi="Arial" w:cs="Arial"/>
                          <w:color w:val="212121"/>
                        </w:rPr>
                        <w:t xml:space="preserve"> gene signature for each of the different populations identified by the single cell analysis.</w:t>
                      </w:r>
                    </w:p>
                    <w:p w14:paraId="63F4877D" w14:textId="77777777" w:rsidR="00E02E54" w:rsidRPr="00B060EF" w:rsidRDefault="00E02E54" w:rsidP="00E02E54">
                      <w:pPr>
                        <w:pBdr>
                          <w:top w:val="nil"/>
                          <w:left w:val="nil"/>
                          <w:bottom w:val="nil"/>
                          <w:right w:val="nil"/>
                          <w:between w:val="nil"/>
                        </w:pBdr>
                        <w:spacing w:after="120" w:line="360" w:lineRule="auto"/>
                        <w:jc w:val="both"/>
                        <w:rPr>
                          <w:rFonts w:ascii="Arial" w:hAnsi="Arial" w:cs="Arial"/>
                          <w:color w:val="212121"/>
                          <w:sz w:val="22"/>
                          <w:szCs w:val="22"/>
                        </w:rPr>
                      </w:pPr>
                    </w:p>
                  </w:txbxContent>
                </v:textbox>
              </v:shape>
            </w:pict>
          </mc:Fallback>
        </mc:AlternateContent>
      </w:r>
      <w:r w:rsidRPr="00B060EF">
        <w:rPr>
          <w:rFonts w:ascii="Arial" w:hAnsi="Arial" w:cs="Arial"/>
          <w:b/>
          <w:bCs/>
          <w:noProof/>
        </w:rPr>
        <w:drawing>
          <wp:anchor distT="0" distB="0" distL="114300" distR="114300" simplePos="0" relativeHeight="251669504" behindDoc="0" locked="0" layoutInCell="1" allowOverlap="1" wp14:anchorId="25000D2A" wp14:editId="0E05CA05">
            <wp:simplePos x="0" y="0"/>
            <wp:positionH relativeFrom="margin">
              <wp:posOffset>-915035</wp:posOffset>
            </wp:positionH>
            <wp:positionV relativeFrom="margin">
              <wp:posOffset>-965777</wp:posOffset>
            </wp:positionV>
            <wp:extent cx="7774305" cy="10058400"/>
            <wp:effectExtent l="0" t="0" r="0" b="0"/>
            <wp:wrapSquare wrapText="bothSides"/>
            <wp:docPr id="993702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74305" cy="10058400"/>
                    </a:xfrm>
                    <a:prstGeom prst="rect">
                      <a:avLst/>
                    </a:prstGeom>
                    <a:noFill/>
                    <a:ln>
                      <a:noFill/>
                    </a:ln>
                  </pic:spPr>
                </pic:pic>
              </a:graphicData>
            </a:graphic>
          </wp:anchor>
        </w:drawing>
      </w:r>
      <w:r w:rsidRPr="00B060EF">
        <w:rPr>
          <w:rFonts w:ascii="Arial" w:hAnsi="Arial" w:cs="Arial"/>
          <w:b/>
          <w:bCs/>
        </w:rPr>
        <w:br w:type="page"/>
      </w:r>
    </w:p>
    <w:p w14:paraId="08105BEA"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noProof/>
        </w:rPr>
        <w:lastRenderedPageBreak/>
        <w:drawing>
          <wp:anchor distT="0" distB="0" distL="114300" distR="114300" simplePos="0" relativeHeight="251671552" behindDoc="0" locked="0" layoutInCell="1" allowOverlap="1" wp14:anchorId="0F23D96B" wp14:editId="6D5888CD">
            <wp:simplePos x="0" y="0"/>
            <wp:positionH relativeFrom="margin">
              <wp:posOffset>-904240</wp:posOffset>
            </wp:positionH>
            <wp:positionV relativeFrom="margin">
              <wp:posOffset>-969268</wp:posOffset>
            </wp:positionV>
            <wp:extent cx="7752241" cy="10058400"/>
            <wp:effectExtent l="0" t="0" r="0" b="0"/>
            <wp:wrapSquare wrapText="bothSides"/>
            <wp:docPr id="1210209445"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209445" name="Picture 4" descr="A screenshot of a computer scree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7752241" cy="10058400"/>
                    </a:xfrm>
                    <a:prstGeom prst="rect">
                      <a:avLst/>
                    </a:prstGeom>
                  </pic:spPr>
                </pic:pic>
              </a:graphicData>
            </a:graphic>
          </wp:anchor>
        </w:drawing>
      </w:r>
    </w:p>
    <w:p w14:paraId="76A2CD1D" w14:textId="77777777" w:rsidR="00E02E54" w:rsidRPr="00B060EF" w:rsidRDefault="00E02E54" w:rsidP="00E02E54">
      <w:pPr>
        <w:spacing w:after="120" w:line="360" w:lineRule="auto"/>
        <w:jc w:val="both"/>
        <w:rPr>
          <w:rFonts w:ascii="Arial" w:hAnsi="Arial" w:cs="Arial"/>
          <w:b/>
          <w:bCs/>
        </w:rPr>
      </w:pPr>
      <w:r w:rsidRPr="00B060EF">
        <w:rPr>
          <w:rFonts w:ascii="Arial" w:hAnsi="Arial" w:cs="Arial"/>
          <w:b/>
          <w:bCs/>
        </w:rPr>
        <w:lastRenderedPageBreak/>
        <w:t xml:space="preserve">Ex. Fig. 8 | Cytokine array of CNTFR knockout cells. a. </w:t>
      </w:r>
      <w:r w:rsidRPr="00B060EF">
        <w:rPr>
          <w:rFonts w:ascii="Arial" w:eastAsia="Arial" w:hAnsi="Arial" w:cs="Arial"/>
        </w:rPr>
        <w:t>Schematic of the locations of cytokines on the array.</w:t>
      </w:r>
      <w:r w:rsidRPr="00B060EF">
        <w:rPr>
          <w:rFonts w:ascii="Arial" w:eastAsia="Arial" w:hAnsi="Arial" w:cs="Arial"/>
          <w:b/>
        </w:rPr>
        <w:t xml:space="preserve"> b. </w:t>
      </w:r>
      <w:r w:rsidRPr="00B060EF">
        <w:rPr>
          <w:rFonts w:ascii="Arial" w:hAnsi="Arial" w:cs="Arial"/>
        </w:rPr>
        <w:t>Immunoblot of</w:t>
      </w:r>
      <w:r w:rsidRPr="00B060EF">
        <w:rPr>
          <w:rFonts w:ascii="Arial" w:hAnsi="Arial" w:cs="Arial"/>
          <w:b/>
          <w:bCs/>
        </w:rPr>
        <w:t xml:space="preserve"> </w:t>
      </w:r>
      <w:r w:rsidRPr="00B060EF">
        <w:rPr>
          <w:rFonts w:ascii="Arial" w:hAnsi="Arial" w:cs="Arial"/>
          <w:color w:val="000000"/>
        </w:rPr>
        <w:t>cytokine array for control or CNTFR knockout cells pre and post serum stimulation.</w:t>
      </w:r>
      <w:r w:rsidRPr="00B060EF">
        <w:rPr>
          <w:rFonts w:ascii="Arial" w:hAnsi="Arial" w:cs="Arial"/>
          <w:b/>
          <w:bCs/>
        </w:rPr>
        <w:t xml:space="preserve"> b. </w:t>
      </w:r>
      <w:r w:rsidRPr="00B060EF">
        <w:rPr>
          <w:rFonts w:ascii="Arial" w:hAnsi="Arial" w:cs="Arial"/>
        </w:rPr>
        <w:t>Densitometry of cytokine arrays showing that the CNTFR knockout cells seem to have less cytokine expression generally and show significant decreases in IL-6 family members (IL-6 and IL-11).</w:t>
      </w:r>
    </w:p>
    <w:p w14:paraId="7D23A7E1"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E54"/>
    <w:rsid w:val="00755780"/>
    <w:rsid w:val="00857596"/>
    <w:rsid w:val="00E02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D2039"/>
  <w15:chartTrackingRefBased/>
  <w15:docId w15:val="{89485B66-C7D1-4855-9AB4-FE4A94B53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E54"/>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139</Words>
  <Characters>795</Characters>
  <Application>Microsoft Office Word</Application>
  <DocSecurity>0</DocSecurity>
  <Lines>6</Lines>
  <Paragraphs>1</Paragraphs>
  <ScaleCrop>false</ScaleCrop>
  <Company>Springer Nature</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2024-03-22T10:47:00Z</dcterms:created>
  <dcterms:modified xsi:type="dcterms:W3CDTF">2024-03-22T10:47:00Z</dcterms:modified>
</cp:coreProperties>
</file>