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</w:t>
      </w:r>
      <w:r>
        <w:rPr>
          <w:rFonts w:hint="eastAsia" w:ascii="Times New Roman" w:hAnsi="Times New Roman" w:cs="Times New Roman"/>
          <w:b/>
          <w:lang w:val="en-US" w:eastAsia="zh-CN"/>
        </w:rPr>
        <w:t>T</w:t>
      </w:r>
      <w:r>
        <w:rPr>
          <w:rFonts w:hint="eastAsia" w:ascii="Times New Roman" w:hAnsi="Times New Roman" w:cs="Times New Roman"/>
          <w:b/>
        </w:rPr>
        <w:t>able</w:t>
      </w:r>
      <w:r>
        <w:rPr>
          <w:rFonts w:ascii="Times New Roman" w:hAnsi="Times New Roman" w:cs="Times New Roman"/>
          <w:b/>
        </w:rPr>
        <w:t xml:space="preserve"> 1.</w:t>
      </w:r>
      <w:r>
        <w:rPr>
          <w:rFonts w:hint="eastAsia" w:ascii="Times New Roman" w:hAnsi="Times New Roman" w:cs="Times New Roman"/>
          <w:b/>
        </w:rPr>
        <w:t xml:space="preserve"> Quality Control (QC) of RNA Experiment</w:t>
      </w:r>
    </w:p>
    <w:tbl>
      <w:tblPr>
        <w:tblStyle w:val="3"/>
        <w:tblW w:w="8522" w:type="dxa"/>
        <w:tblInd w:w="0" w:type="dxa"/>
        <w:tblBorders>
          <w:top w:val="single" w:color="000000" w:themeColor="text1" w:sz="8" w:space="0"/>
          <w:left w:val="none" w:color="auto" w:sz="0" w:space="0"/>
          <w:bottom w:val="single" w:color="000000" w:themeColor="text1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Sample</w:t>
            </w:r>
          </w:p>
        </w:tc>
        <w:tc>
          <w:tcPr>
            <w:tcW w:w="1704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OD260/280</w:t>
            </w:r>
          </w:p>
        </w:tc>
        <w:tc>
          <w:tcPr>
            <w:tcW w:w="1704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Conc.(ng/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 w:themeShade="BF"/>
                <w:lang w:eastAsia="zh-CN"/>
              </w:rPr>
              <w:t>μ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l)</w:t>
            </w:r>
          </w:p>
        </w:tc>
        <w:tc>
          <w:tcPr>
            <w:tcW w:w="1705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Volume(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 w:themeShade="BF"/>
                <w:lang w:eastAsia="zh-CN"/>
              </w:rPr>
              <w:t>μ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l)</w:t>
            </w:r>
          </w:p>
        </w:tc>
        <w:tc>
          <w:tcPr>
            <w:tcW w:w="1705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Quantity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 w:themeShade="BF"/>
                <w:lang w:eastAsia="zh-CN"/>
              </w:rPr>
              <w:t>μ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g)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A1</w:t>
            </w:r>
          </w:p>
        </w:tc>
        <w:tc>
          <w:tcPr>
            <w:tcW w:w="170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1.59</w:t>
            </w:r>
          </w:p>
        </w:tc>
        <w:tc>
          <w:tcPr>
            <w:tcW w:w="170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152.03</w:t>
            </w:r>
          </w:p>
        </w:tc>
        <w:tc>
          <w:tcPr>
            <w:tcW w:w="1705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13</w:t>
            </w:r>
          </w:p>
        </w:tc>
        <w:tc>
          <w:tcPr>
            <w:tcW w:w="1705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1.98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A2</w:t>
            </w:r>
          </w:p>
        </w:tc>
        <w:tc>
          <w:tcPr>
            <w:tcW w:w="17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1.66</w:t>
            </w:r>
          </w:p>
        </w:tc>
        <w:tc>
          <w:tcPr>
            <w:tcW w:w="17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100.28</w:t>
            </w:r>
          </w:p>
        </w:tc>
        <w:tc>
          <w:tcPr>
            <w:tcW w:w="17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13</w:t>
            </w:r>
          </w:p>
        </w:tc>
        <w:tc>
          <w:tcPr>
            <w:tcW w:w="17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1.30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B1</w:t>
            </w:r>
          </w:p>
        </w:tc>
        <w:tc>
          <w:tcPr>
            <w:tcW w:w="170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1.54</w:t>
            </w:r>
          </w:p>
        </w:tc>
        <w:tc>
          <w:tcPr>
            <w:tcW w:w="170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130.01</w:t>
            </w:r>
          </w:p>
        </w:tc>
        <w:tc>
          <w:tcPr>
            <w:tcW w:w="1705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13</w:t>
            </w:r>
          </w:p>
        </w:tc>
        <w:tc>
          <w:tcPr>
            <w:tcW w:w="1705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1.69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B2</w:t>
            </w:r>
          </w:p>
        </w:tc>
        <w:tc>
          <w:tcPr>
            <w:tcW w:w="17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1.64</w:t>
            </w:r>
          </w:p>
        </w:tc>
        <w:tc>
          <w:tcPr>
            <w:tcW w:w="17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142.42</w:t>
            </w:r>
          </w:p>
        </w:tc>
        <w:tc>
          <w:tcPr>
            <w:tcW w:w="17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13</w:t>
            </w:r>
          </w:p>
        </w:tc>
        <w:tc>
          <w:tcPr>
            <w:tcW w:w="17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1.85</w:t>
            </w:r>
          </w:p>
        </w:tc>
      </w:tr>
    </w:tbl>
    <w:p>
      <w:pPr>
        <w:rPr>
          <w:rFonts w:ascii="Times New Roman" w:hAnsi="Times New Roman" w:cs="Times New Roman"/>
        </w:rPr>
      </w:pPr>
      <w:bookmarkStart w:id="0" w:name="_GoBack"/>
      <w:bookmarkEnd w:id="0"/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</w:rPr>
        <w:t xml:space="preserve">Supplementary </w:t>
      </w:r>
      <w:r>
        <w:rPr>
          <w:rFonts w:hint="eastAsia" w:ascii="Times New Roman" w:hAnsi="Times New Roman" w:cs="Times New Roman"/>
          <w:b/>
          <w:lang w:val="en-US" w:eastAsia="zh-CN"/>
        </w:rPr>
        <w:t>T</w:t>
      </w:r>
      <w:r>
        <w:rPr>
          <w:rFonts w:hint="eastAsia" w:ascii="Times New Roman" w:hAnsi="Times New Roman" w:cs="Times New Roman"/>
          <w:b/>
        </w:rPr>
        <w:t>able</w:t>
      </w:r>
      <w:r>
        <w:rPr>
          <w:rFonts w:ascii="Times New Roman" w:hAnsi="Times New Roman" w:cs="Times New Roman"/>
          <w:b/>
        </w:rPr>
        <w:t xml:space="preserve"> 2</w:t>
      </w:r>
      <w:r>
        <w:rPr>
          <w:rFonts w:hint="eastAsia" w:ascii="Times New Roman" w:hAnsi="Times New Roman" w:cs="Times New Roman"/>
          <w:b/>
        </w:rPr>
        <w:t>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b/>
        </w:rPr>
        <w:t>Quality Assessment of Sequencing Library</w:t>
      </w:r>
    </w:p>
    <w:tbl>
      <w:tblPr>
        <w:tblStyle w:val="3"/>
        <w:tblW w:w="8522" w:type="dxa"/>
        <w:tblInd w:w="0" w:type="dxa"/>
        <w:tblBorders>
          <w:top w:val="single" w:color="000000" w:themeColor="text1" w:sz="8" w:space="0"/>
          <w:left w:val="none" w:color="auto" w:sz="0" w:space="0"/>
          <w:bottom w:val="single" w:color="000000" w:themeColor="text1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261"/>
        <w:gridCol w:w="1414"/>
        <w:gridCol w:w="1529"/>
        <w:gridCol w:w="1358"/>
        <w:gridCol w:w="1868"/>
      </w:tblGrid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Sample</w:t>
            </w:r>
          </w:p>
        </w:tc>
        <w:tc>
          <w:tcPr>
            <w:tcW w:w="1261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Size(bp)</w:t>
            </w:r>
          </w:p>
        </w:tc>
        <w:tc>
          <w:tcPr>
            <w:tcW w:w="1414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Conc.(ng/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 w:themeShade="BF"/>
                <w:lang w:eastAsia="zh-CN"/>
              </w:rPr>
              <w:t>μ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l)</w:t>
            </w:r>
          </w:p>
        </w:tc>
        <w:tc>
          <w:tcPr>
            <w:tcW w:w="1529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Conc.(nmol/L)</w:t>
            </w:r>
          </w:p>
        </w:tc>
        <w:tc>
          <w:tcPr>
            <w:tcW w:w="1358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Volume(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 w:themeShade="BF"/>
                <w:lang w:eastAsia="zh-CN"/>
              </w:rPr>
              <w:t>μ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l)</w:t>
            </w:r>
          </w:p>
        </w:tc>
        <w:tc>
          <w:tcPr>
            <w:tcW w:w="1868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Total Amount(ng)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A1</w:t>
            </w:r>
          </w:p>
        </w:tc>
        <w:tc>
          <w:tcPr>
            <w:tcW w:w="1261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299</w:t>
            </w:r>
          </w:p>
        </w:tc>
        <w:tc>
          <w:tcPr>
            <w:tcW w:w="141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5.09</w:t>
            </w:r>
          </w:p>
        </w:tc>
        <w:tc>
          <w:tcPr>
            <w:tcW w:w="1529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25.8</w:t>
            </w:r>
          </w:p>
        </w:tc>
        <w:tc>
          <w:tcPr>
            <w:tcW w:w="1358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10</w:t>
            </w:r>
          </w:p>
        </w:tc>
        <w:tc>
          <w:tcPr>
            <w:tcW w:w="1868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50.9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A2</w:t>
            </w:r>
          </w:p>
        </w:tc>
        <w:tc>
          <w:tcPr>
            <w:tcW w:w="1261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310</w:t>
            </w:r>
          </w:p>
        </w:tc>
        <w:tc>
          <w:tcPr>
            <w:tcW w:w="141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6.02</w:t>
            </w:r>
          </w:p>
        </w:tc>
        <w:tc>
          <w:tcPr>
            <w:tcW w:w="152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29.4</w:t>
            </w:r>
          </w:p>
        </w:tc>
        <w:tc>
          <w:tcPr>
            <w:tcW w:w="1358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10</w:t>
            </w:r>
          </w:p>
        </w:tc>
        <w:tc>
          <w:tcPr>
            <w:tcW w:w="1868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60.2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B1</w:t>
            </w:r>
          </w:p>
        </w:tc>
        <w:tc>
          <w:tcPr>
            <w:tcW w:w="1261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306</w:t>
            </w:r>
          </w:p>
        </w:tc>
        <w:tc>
          <w:tcPr>
            <w:tcW w:w="141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5.81</w:t>
            </w:r>
          </w:p>
        </w:tc>
        <w:tc>
          <w:tcPr>
            <w:tcW w:w="1529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28.8</w:t>
            </w:r>
          </w:p>
        </w:tc>
        <w:tc>
          <w:tcPr>
            <w:tcW w:w="1358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10</w:t>
            </w:r>
          </w:p>
        </w:tc>
        <w:tc>
          <w:tcPr>
            <w:tcW w:w="1868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58.1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B2</w:t>
            </w:r>
          </w:p>
        </w:tc>
        <w:tc>
          <w:tcPr>
            <w:tcW w:w="1261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275</w:t>
            </w:r>
          </w:p>
        </w:tc>
        <w:tc>
          <w:tcPr>
            <w:tcW w:w="141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5.61</w:t>
            </w:r>
          </w:p>
        </w:tc>
        <w:tc>
          <w:tcPr>
            <w:tcW w:w="152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30.9</w:t>
            </w:r>
          </w:p>
        </w:tc>
        <w:tc>
          <w:tcPr>
            <w:tcW w:w="1358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10</w:t>
            </w:r>
          </w:p>
        </w:tc>
        <w:tc>
          <w:tcPr>
            <w:tcW w:w="1868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56.1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b/>
        </w:rPr>
      </w:pPr>
      <w:r>
        <w:rPr>
          <w:rFonts w:hint="eastAsia" w:ascii="Times New Roman" w:hAnsi="Times New Roman" w:cs="Times New Roman"/>
          <w:b/>
        </w:rPr>
        <w:t xml:space="preserve">Supplementary </w:t>
      </w:r>
      <w:r>
        <w:rPr>
          <w:rFonts w:hint="eastAsia" w:ascii="Times New Roman" w:hAnsi="Times New Roman" w:cs="Times New Roman"/>
          <w:b/>
          <w:lang w:val="en-US" w:eastAsia="zh-CN"/>
        </w:rPr>
        <w:t>T</w:t>
      </w:r>
      <w:r>
        <w:rPr>
          <w:rFonts w:hint="eastAsia" w:ascii="Times New Roman" w:hAnsi="Times New Roman" w:cs="Times New Roman"/>
          <w:b/>
        </w:rPr>
        <w:t>able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hint="eastAsia" w:ascii="Times New Roman" w:hAnsi="Times New Roman" w:cs="Times New Roman"/>
          <w:b/>
        </w:rPr>
        <w:t xml:space="preserve">3. 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hint="eastAsia" w:ascii="Times New Roman" w:hAnsi="Times New Roman" w:cs="Times New Roman"/>
          <w:b/>
        </w:rPr>
        <w:t>Analysis of Sequencing Reads</w:t>
      </w:r>
    </w:p>
    <w:tbl>
      <w:tblPr>
        <w:tblStyle w:val="3"/>
        <w:tblW w:w="8522" w:type="dxa"/>
        <w:tblInd w:w="0" w:type="dxa"/>
        <w:tblBorders>
          <w:top w:val="single" w:color="000000" w:themeColor="text1" w:sz="8" w:space="0"/>
          <w:left w:val="none" w:color="auto" w:sz="0" w:space="0"/>
          <w:bottom w:val="single" w:color="000000" w:themeColor="text1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1266"/>
        <w:gridCol w:w="922"/>
        <w:gridCol w:w="1266"/>
        <w:gridCol w:w="922"/>
        <w:gridCol w:w="1161"/>
        <w:gridCol w:w="993"/>
        <w:gridCol w:w="1057"/>
      </w:tblGrid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Sample</w:t>
            </w:r>
          </w:p>
        </w:tc>
        <w:tc>
          <w:tcPr>
            <w:tcW w:w="1266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Raw Reads</w:t>
            </w:r>
          </w:p>
        </w:tc>
        <w:tc>
          <w:tcPr>
            <w:tcW w:w="922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Q30</w:t>
            </w:r>
          </w:p>
          <w:p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</w:p>
        </w:tc>
        <w:tc>
          <w:tcPr>
            <w:tcW w:w="1266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Clean Reads</w:t>
            </w:r>
          </w:p>
        </w:tc>
        <w:tc>
          <w:tcPr>
            <w:tcW w:w="922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Clean Ratio</w:t>
            </w:r>
          </w:p>
        </w:tc>
        <w:tc>
          <w:tcPr>
            <w:tcW w:w="1161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Mapped Reads</w:t>
            </w:r>
          </w:p>
        </w:tc>
        <w:tc>
          <w:tcPr>
            <w:tcW w:w="993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Mapped Ratio</w:t>
            </w:r>
          </w:p>
        </w:tc>
        <w:tc>
          <w:tcPr>
            <w:tcW w:w="1057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>CircRNA Number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A1</w:t>
            </w:r>
          </w:p>
        </w:tc>
        <w:tc>
          <w:tcPr>
            <w:tcW w:w="1266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83,597,758</w:t>
            </w:r>
          </w:p>
        </w:tc>
        <w:tc>
          <w:tcPr>
            <w:tcW w:w="922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93.75%</w:t>
            </w:r>
          </w:p>
        </w:tc>
        <w:tc>
          <w:tcPr>
            <w:tcW w:w="1266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83,514,968</w:t>
            </w:r>
          </w:p>
        </w:tc>
        <w:tc>
          <w:tcPr>
            <w:tcW w:w="922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99.90%</w:t>
            </w:r>
          </w:p>
        </w:tc>
        <w:tc>
          <w:tcPr>
            <w:tcW w:w="1161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74,611,190</w:t>
            </w:r>
          </w:p>
        </w:tc>
        <w:tc>
          <w:tcPr>
            <w:tcW w:w="993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89.34%</w:t>
            </w:r>
          </w:p>
        </w:tc>
        <w:tc>
          <w:tcPr>
            <w:tcW w:w="1057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2052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A2</w:t>
            </w:r>
          </w:p>
        </w:tc>
        <w:tc>
          <w:tcPr>
            <w:tcW w:w="1266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100,327,034</w:t>
            </w:r>
          </w:p>
        </w:tc>
        <w:tc>
          <w:tcPr>
            <w:tcW w:w="922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94.18%</w:t>
            </w:r>
          </w:p>
        </w:tc>
        <w:tc>
          <w:tcPr>
            <w:tcW w:w="1266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100,202,554</w:t>
            </w:r>
          </w:p>
        </w:tc>
        <w:tc>
          <w:tcPr>
            <w:tcW w:w="922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99.88%</w:t>
            </w:r>
          </w:p>
        </w:tc>
        <w:tc>
          <w:tcPr>
            <w:tcW w:w="1161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89,675,186</w:t>
            </w:r>
          </w:p>
        </w:tc>
        <w:tc>
          <w:tcPr>
            <w:tcW w:w="993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89.49%</w:t>
            </w:r>
          </w:p>
        </w:tc>
        <w:tc>
          <w:tcPr>
            <w:tcW w:w="1057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2485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B1</w:t>
            </w:r>
          </w:p>
        </w:tc>
        <w:tc>
          <w:tcPr>
            <w:tcW w:w="1266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95,908,420</w:t>
            </w:r>
          </w:p>
        </w:tc>
        <w:tc>
          <w:tcPr>
            <w:tcW w:w="922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94.40%</w:t>
            </w:r>
          </w:p>
        </w:tc>
        <w:tc>
          <w:tcPr>
            <w:tcW w:w="1266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95,781,818</w:t>
            </w:r>
          </w:p>
        </w:tc>
        <w:tc>
          <w:tcPr>
            <w:tcW w:w="922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99.87%</w:t>
            </w:r>
          </w:p>
        </w:tc>
        <w:tc>
          <w:tcPr>
            <w:tcW w:w="1161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87,512,128</w:t>
            </w:r>
          </w:p>
        </w:tc>
        <w:tc>
          <w:tcPr>
            <w:tcW w:w="993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91.37%</w:t>
            </w:r>
          </w:p>
        </w:tc>
        <w:tc>
          <w:tcPr>
            <w:tcW w:w="1057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3493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B2</w:t>
            </w:r>
          </w:p>
        </w:tc>
        <w:tc>
          <w:tcPr>
            <w:tcW w:w="1266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102,744,612</w:t>
            </w:r>
          </w:p>
        </w:tc>
        <w:tc>
          <w:tcPr>
            <w:tcW w:w="922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93.60%</w:t>
            </w:r>
          </w:p>
        </w:tc>
        <w:tc>
          <w:tcPr>
            <w:tcW w:w="1266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102,457,788</w:t>
            </w:r>
          </w:p>
        </w:tc>
        <w:tc>
          <w:tcPr>
            <w:tcW w:w="922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99.72%</w:t>
            </w:r>
          </w:p>
        </w:tc>
        <w:tc>
          <w:tcPr>
            <w:tcW w:w="1161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88,841,466</w:t>
            </w:r>
          </w:p>
        </w:tc>
        <w:tc>
          <w:tcPr>
            <w:tcW w:w="993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86.71%</w:t>
            </w:r>
          </w:p>
        </w:tc>
        <w:tc>
          <w:tcPr>
            <w:tcW w:w="1057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</w:rPr>
              <w:t>2066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>
        <w:rPr>
          <w:rFonts w:hint="eastAsia" w:ascii="Times New Roman" w:hAnsi="Times New Roman" w:cs="Times New Roman"/>
          <w:b/>
          <w:lang w:val="en-US" w:eastAsia="zh-CN"/>
        </w:rPr>
        <w:t>T</w:t>
      </w:r>
      <w:r>
        <w:rPr>
          <w:rFonts w:hint="eastAsia" w:ascii="Times New Roman" w:hAnsi="Times New Roman" w:cs="Times New Roman"/>
          <w:b/>
        </w:rPr>
        <w:t>able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4</w:t>
      </w:r>
      <w:r>
        <w:rPr>
          <w:rFonts w:hint="eastAsia"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b/>
        </w:rPr>
        <w:t>Primer</w:t>
      </w:r>
      <w:r>
        <w:rPr>
          <w:rFonts w:hint="eastAsia" w:ascii="Times New Roman" w:hAnsi="Times New Roman" w:cs="Times New Roman"/>
          <w:b/>
          <w:lang w:val="en-US" w:eastAsia="zh-CN"/>
        </w:rPr>
        <w:t xml:space="preserve"> </w:t>
      </w:r>
      <w:r>
        <w:rPr>
          <w:rFonts w:ascii="Times New Roman" w:hAnsi="Times New Roman" w:cs="Times New Roman"/>
          <w:b/>
        </w:rPr>
        <w:t>sequences</w:t>
      </w:r>
      <w:r>
        <w:rPr>
          <w:rFonts w:hint="eastAsia" w:ascii="Times New Roman" w:hAnsi="Times New Roman" w:cs="Times New Roman"/>
          <w:b/>
          <w:lang w:val="en-US" w:eastAsia="zh-CN"/>
        </w:rPr>
        <w:t xml:space="preserve"> </w:t>
      </w:r>
      <w:r>
        <w:rPr>
          <w:rFonts w:ascii="Times New Roman" w:hAnsi="Times New Roman" w:cs="Times New Roman"/>
          <w:b/>
        </w:rPr>
        <w:t>used</w:t>
      </w:r>
      <w:r>
        <w:rPr>
          <w:rFonts w:hint="eastAsia" w:ascii="Times New Roman" w:hAnsi="Times New Roman" w:cs="Times New Roman"/>
          <w:b/>
          <w:lang w:val="en-US" w:eastAsia="zh-CN"/>
        </w:rPr>
        <w:t xml:space="preserve"> </w:t>
      </w:r>
      <w:r>
        <w:rPr>
          <w:rFonts w:ascii="Times New Roman" w:hAnsi="Times New Roman" w:cs="Times New Roman"/>
          <w:b/>
        </w:rPr>
        <w:t>in</w:t>
      </w:r>
      <w:r>
        <w:rPr>
          <w:rFonts w:hint="eastAsia" w:ascii="Times New Roman" w:hAnsi="Times New Roman" w:cs="Times New Roman"/>
          <w:b/>
          <w:lang w:val="en-US" w:eastAsia="zh-CN"/>
        </w:rPr>
        <w:t xml:space="preserve"> </w:t>
      </w:r>
      <w:r>
        <w:rPr>
          <w:rFonts w:ascii="Times New Roman" w:hAnsi="Times New Roman" w:cs="Times New Roman"/>
          <w:b/>
        </w:rPr>
        <w:t>this</w:t>
      </w:r>
      <w:r>
        <w:rPr>
          <w:rFonts w:hint="eastAsia" w:ascii="Times New Roman" w:hAnsi="Times New Roman" w:cs="Times New Roman"/>
          <w:b/>
          <w:lang w:val="en-US" w:eastAsia="zh-CN"/>
        </w:rPr>
        <w:t xml:space="preserve"> </w:t>
      </w:r>
      <w:r>
        <w:rPr>
          <w:rFonts w:ascii="Times New Roman" w:hAnsi="Times New Roman" w:cs="Times New Roman"/>
          <w:b/>
        </w:rPr>
        <w:t>study</w:t>
      </w:r>
    </w:p>
    <w:tbl>
      <w:tblPr>
        <w:tblStyle w:val="3"/>
        <w:tblW w:w="9301" w:type="dxa"/>
        <w:tblInd w:w="0" w:type="dxa"/>
        <w:tblBorders>
          <w:top w:val="single" w:color="000000" w:themeColor="text1" w:sz="8" w:space="0"/>
          <w:left w:val="none" w:color="auto" w:sz="0" w:space="0"/>
          <w:bottom w:val="single" w:color="000000" w:themeColor="text1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7"/>
        <w:gridCol w:w="6004"/>
      </w:tblGrid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297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Transcript ID</w:t>
            </w:r>
          </w:p>
        </w:tc>
        <w:tc>
          <w:tcPr>
            <w:tcW w:w="6004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  <w:shd w:val="clear" w:color="auto" w:fill="auto"/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Primer Sequence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3297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 w:themeShade="BF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Up-regulated circRNAs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  <w:lang w:val="en-US" w:eastAsia="zh-CN"/>
              </w:rPr>
              <w:t>:</w:t>
            </w:r>
          </w:p>
        </w:tc>
        <w:tc>
          <w:tcPr>
            <w:tcW w:w="600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297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hsa_circ_0000419</w:t>
            </w:r>
          </w:p>
        </w:tc>
        <w:tc>
          <w:tcPr>
            <w:tcW w:w="60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F: 5’- GCTGTTCTGGAGGCTGTGGA-3’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R: 5’- CGTCCTGTCCATTGTGGGCT-3’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297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hsa_circ_0001523</w:t>
            </w:r>
          </w:p>
        </w:tc>
        <w:tc>
          <w:tcPr>
            <w:tcW w:w="600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F: 5’- TCTTGGGCCCTGTGAACCTG-3’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R: 5’- GGCGCTGGCACTGTAAACAG-3’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297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hsa_circ_0000825</w:t>
            </w:r>
          </w:p>
        </w:tc>
        <w:tc>
          <w:tcPr>
            <w:tcW w:w="60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F: 5’- ACAGGCCCTCCAGAATGAGC-3’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R: 5’- TTCTCGCCGAAGTTCCTGCA-3’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297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chrM:14131-15754+</w:t>
            </w:r>
          </w:p>
        </w:tc>
        <w:tc>
          <w:tcPr>
            <w:tcW w:w="600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F: 5’- GCCGCAGACCTCCTCATTCT-3’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R: 5’-AGGAGAGGGGTCAGGGTTGA-3’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297" w:type="dxa"/>
            <w:shd w:val="clear" w:color="auto" w:fill="auto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 w:themeShade="BF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Down-regulated circRNAs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  <w:lang w:val="en-US" w:eastAsia="zh-CN"/>
              </w:rPr>
              <w:t>:</w:t>
            </w:r>
          </w:p>
        </w:tc>
        <w:tc>
          <w:tcPr>
            <w:tcW w:w="60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297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chrM:14131-15754-</w:t>
            </w:r>
          </w:p>
        </w:tc>
        <w:tc>
          <w:tcPr>
            <w:tcW w:w="600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F: 5’-AGGAGAGGGGTCAGGGTTGA-3’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R: 5’- GCCGCAGACCTCCTCATTCT-3’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297" w:type="dxa"/>
            <w:shd w:val="clear" w:color="auto" w:fill="auto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 w:themeShade="BF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Common-expressed circRNAs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  <w:lang w:val="en-US" w:eastAsia="zh-CN"/>
              </w:rPr>
              <w:t>:</w:t>
            </w:r>
          </w:p>
        </w:tc>
        <w:tc>
          <w:tcPr>
            <w:tcW w:w="60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297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circFBXW7</w:t>
            </w:r>
          </w:p>
        </w:tc>
        <w:tc>
          <w:tcPr>
            <w:tcW w:w="600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F: 5’- CAGTGTCACGAACTCCAGTA-3’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R: 5’- CACATTCCTCTGACCCAGTA-3’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3297" w:type="dxa"/>
            <w:shd w:val="clear" w:color="auto" w:fill="auto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 w:themeShade="BF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Linear RNAs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 w:themeShade="BF"/>
                <w:lang w:val="en-US" w:eastAsia="zh-CN"/>
              </w:rPr>
              <w:t>:</w:t>
            </w:r>
          </w:p>
        </w:tc>
        <w:tc>
          <w:tcPr>
            <w:tcW w:w="60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297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FBXW7</w:t>
            </w:r>
          </w:p>
        </w:tc>
        <w:tc>
          <w:tcPr>
            <w:tcW w:w="600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F: 5’-TTACAAAAACAAAATCCGGAGTCT-3’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R: 5’-TTTTCCTCTTCCTGGGTCTT-3’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3297" w:type="dxa"/>
            <w:shd w:val="clear" w:color="auto" w:fill="auto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 w:themeShade="BF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Housekeeping gene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  <w:lang w:val="en-US" w:eastAsia="zh-CN"/>
              </w:rPr>
              <w:t>:</w:t>
            </w:r>
          </w:p>
        </w:tc>
        <w:tc>
          <w:tcPr>
            <w:tcW w:w="60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297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GAPDH</w:t>
            </w:r>
          </w:p>
        </w:tc>
        <w:tc>
          <w:tcPr>
            <w:tcW w:w="6004" w:type="dxa"/>
            <w:tcBorders>
              <w:right w:val="nil"/>
            </w:tcBorders>
            <w:shd w:val="clear" w:color="auto" w:fill="auto"/>
          </w:tcPr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 w:themeShade="BF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F: 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 w:themeShade="BF"/>
                <w:lang w:val="en-US" w:eastAsia="zh-CN"/>
              </w:rPr>
              <w:t>’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-CACTAGGCGCTCACTGTTCTC-3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 w:themeShade="BF"/>
                <w:lang w:val="en-US" w:eastAsia="zh-CN"/>
              </w:rPr>
              <w:t>’</w:t>
            </w:r>
          </w:p>
          <w:p>
            <w:pP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 w:themeShade="BF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R: 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 w:themeShade="BF"/>
                <w:lang w:val="en-US" w:eastAsia="zh-CN"/>
              </w:rPr>
              <w:t>’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-GACTCCACGACGTACTCAGC-3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 w:themeShade="BF"/>
                <w:lang w:val="en-US" w:eastAsia="zh-CN"/>
              </w:rPr>
              <w:t>’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297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β-actin</w:t>
            </w:r>
          </w:p>
        </w:tc>
        <w:tc>
          <w:tcPr>
            <w:tcW w:w="6004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F: 5’-ACAGAGCCTCGCCTTTGCCGAT-3’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R: 5’- CTTGCACATGCCGGAGCCGTT-3’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297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18S</w:t>
            </w:r>
          </w:p>
        </w:tc>
        <w:tc>
          <w:tcPr>
            <w:tcW w:w="6004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F: 5’- GGCCCTGTAATTGGAATGATGC-3’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 w:themeShade="BF"/>
              </w:rPr>
              <w:t>R: 5’- CCAAGATCCAACTACGAGCTT-3’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05603"/>
    <w:rsid w:val="3FB26960"/>
    <w:rsid w:val="5AA749FB"/>
    <w:rsid w:val="68EB18DF"/>
    <w:rsid w:val="6A32716E"/>
    <w:rsid w:val="71E92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Light Shading"/>
    <w:basedOn w:val="2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2019-05-05T07:29:29Z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