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F9A25" w14:textId="2AEE9155" w:rsidR="00F77E8C" w:rsidRPr="00F77E8C" w:rsidRDefault="00F77E8C" w:rsidP="00F77E8C">
      <w:pPr>
        <w:pStyle w:val="BodyText"/>
        <w:rPr>
          <w:b/>
          <w:bCs/>
          <w:sz w:val="36"/>
          <w:szCs w:val="36"/>
        </w:rPr>
      </w:pPr>
      <w:r w:rsidRPr="00C43596">
        <w:rPr>
          <w:b/>
          <w:bCs/>
          <w:sz w:val="36"/>
          <w:szCs w:val="36"/>
        </w:rPr>
        <w:t>Supplemental Materials</w:t>
      </w:r>
      <w:r>
        <w:rPr>
          <w:b/>
          <w:bCs/>
          <w:sz w:val="36"/>
          <w:szCs w:val="36"/>
        </w:rPr>
        <w:t xml:space="preserve">: </w:t>
      </w:r>
      <w:r w:rsidRPr="00F77E8C">
        <w:rPr>
          <w:b/>
          <w:bCs/>
          <w:sz w:val="32"/>
          <w:szCs w:val="32"/>
        </w:rPr>
        <w:t>State-level impact of social distancing and testing on COVID-19 in the United States</w:t>
      </w:r>
    </w:p>
    <w:p w14:paraId="7C4939E8" w14:textId="7F130FDA" w:rsidR="00F77E8C" w:rsidRDefault="00F77E8C" w:rsidP="00F77E8C">
      <w:pPr>
        <w:pStyle w:val="Author"/>
      </w:pPr>
      <w:proofErr w:type="spellStart"/>
      <w:r>
        <w:t>Weihsueh</w:t>
      </w:r>
      <w:proofErr w:type="spellEnd"/>
      <w:r>
        <w:t xml:space="preserve"> A. Chiu, </w:t>
      </w:r>
      <w:proofErr w:type="gramStart"/>
      <w:r>
        <w:t>Ph.D</w:t>
      </w:r>
      <w:proofErr w:type="gramEnd"/>
      <w:r>
        <w:rPr>
          <w:vertAlign w:val="superscript"/>
        </w:rPr>
        <w:t>1</w:t>
      </w:r>
      <w:r>
        <w:t>, Rebecca Fischer, PhD, MPH</w:t>
      </w:r>
      <w:r>
        <w:rPr>
          <w:vertAlign w:val="superscript"/>
        </w:rPr>
        <w:t>2</w:t>
      </w:r>
      <w:r>
        <w:t>, Martial L. Ndeffo-</w:t>
      </w:r>
      <w:proofErr w:type="spellStart"/>
      <w:r>
        <w:t>Mbah</w:t>
      </w:r>
      <w:proofErr w:type="spellEnd"/>
      <w:r>
        <w:t>, Ph.D</w:t>
      </w:r>
      <w:r>
        <w:rPr>
          <w:vertAlign w:val="superscript"/>
        </w:rPr>
        <w:t>1,2</w:t>
      </w:r>
    </w:p>
    <w:p w14:paraId="203F6987" w14:textId="77777777" w:rsidR="00F77E8C" w:rsidRDefault="00F77E8C" w:rsidP="00F77E8C">
      <w:pPr>
        <w:pStyle w:val="FirstParagraph"/>
      </w:pPr>
      <w:r>
        <w:rPr>
          <w:vertAlign w:val="superscript"/>
        </w:rPr>
        <w:t>1</w:t>
      </w:r>
      <w:r>
        <w:t>Department of Veterinary Integrative Biosciences, College of Veterinary Medicine and Biomedical Sciences, Texas A&amp;M University, College Station, TX 77845</w:t>
      </w:r>
    </w:p>
    <w:p w14:paraId="3BC0176A" w14:textId="19C69C52" w:rsidR="00F77E8C" w:rsidRDefault="00F77E8C" w:rsidP="00F77E8C">
      <w:pPr>
        <w:pStyle w:val="BodyText"/>
      </w:pPr>
      <w:r>
        <w:rPr>
          <w:vertAlign w:val="superscript"/>
        </w:rPr>
        <w:t>2</w:t>
      </w:r>
      <w:r>
        <w:t>Department of Epidemiology and Biostatistics, School of Public Health, Texas A&amp;M University, College Station, TX 77845</w:t>
      </w:r>
    </w:p>
    <w:p w14:paraId="7367A272" w14:textId="313EE5CB" w:rsidR="00F77E8C" w:rsidRDefault="00F77E8C" w:rsidP="00F77E8C">
      <w:pPr>
        <w:pStyle w:val="BodyText"/>
      </w:pPr>
    </w:p>
    <w:p w14:paraId="55026606" w14:textId="77777777" w:rsidR="00F77E8C" w:rsidRDefault="00F77E8C" w:rsidP="00F77E8C">
      <w:pPr>
        <w:pStyle w:val="BodyText"/>
      </w:pPr>
    </w:p>
    <w:p w14:paraId="4EA37A08" w14:textId="39D50E7D" w:rsidR="00FC7141" w:rsidRDefault="00FC7141" w:rsidP="001F35AC">
      <w:pPr>
        <w:pStyle w:val="ImageCaption"/>
      </w:pPr>
      <w:r>
        <w:rPr>
          <w:noProof/>
        </w:rPr>
        <w:drawing>
          <wp:inline distT="0" distB="0" distL="0" distR="0" wp14:anchorId="3D99A5B4" wp14:editId="4B4FA637">
            <wp:extent cx="4114800" cy="2743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3_MobilityFitExample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92C52" w14:textId="512EF1A1" w:rsidR="00FC7141" w:rsidRPr="00FC7141" w:rsidRDefault="00FC7141" w:rsidP="00FC7141">
      <w:pPr>
        <w:pStyle w:val="ImageCaption"/>
      </w:pPr>
      <w:r>
        <w:t>Figure S</w:t>
      </w:r>
      <w:r w:rsidR="00572FAF">
        <w:t>1</w:t>
      </w:r>
      <w:r>
        <w:t>. Schematic of model for fitting mobility data.  The same model formulation is used for contact</w:t>
      </w:r>
      <w:r w:rsidR="007A44F3">
        <w:t xml:space="preserve"> rate</w:t>
      </w:r>
      <w:r>
        <w:t xml:space="preserve">.  Using March 1, 2020 as t=1, the initial decline is modeled as a Weibull function, with scale parameter </w:t>
      </w:r>
      <w:r>
        <w:sym w:font="Symbol" w:char="F074"/>
      </w:r>
      <w:r w:rsidRPr="00FC7141">
        <w:rPr>
          <w:vertAlign w:val="subscript"/>
        </w:rPr>
        <w:sym w:font="Symbol" w:char="F071"/>
      </w:r>
      <w:r w:rsidRPr="00FC7141">
        <w:t xml:space="preserve"> </w:t>
      </w:r>
      <w:r>
        <w:t>shape parameter n</w:t>
      </w:r>
      <w:r w:rsidRPr="00FC7141">
        <w:rPr>
          <w:vertAlign w:val="subscript"/>
        </w:rPr>
        <w:sym w:font="Symbol" w:char="F071"/>
      </w:r>
      <w:r>
        <w:t xml:space="preserve">, and minimum value </w:t>
      </w:r>
      <w:r w:rsidRPr="00FC7141">
        <w:sym w:font="Symbol" w:char="F071"/>
      </w:r>
      <w:r>
        <w:rPr>
          <w:vertAlign w:val="subscript"/>
        </w:rPr>
        <w:t>min</w:t>
      </w:r>
      <w:r>
        <w:t xml:space="preserve">.  Then after a shelter-in-place period </w:t>
      </w:r>
      <w:r>
        <w:sym w:font="Symbol" w:char="F074"/>
      </w:r>
      <w:r>
        <w:rPr>
          <w:vertAlign w:val="subscript"/>
        </w:rPr>
        <w:t>s</w:t>
      </w:r>
      <w:r>
        <w:t xml:space="preserve">, a linear increase begins that lasts for a duration </w:t>
      </w:r>
      <w:r>
        <w:sym w:font="Symbol" w:char="F074"/>
      </w:r>
      <w:r>
        <w:rPr>
          <w:vertAlign w:val="subscript"/>
        </w:rPr>
        <w:t>r</w:t>
      </w:r>
      <w:r>
        <w:t xml:space="preserve"> and plateaus at a value </w:t>
      </w:r>
      <w:r w:rsidRPr="00FC7141">
        <w:sym w:font="Symbol" w:char="F071"/>
      </w:r>
      <w:r>
        <w:rPr>
          <w:vertAlign w:val="subscript"/>
        </w:rPr>
        <w:t>min</w:t>
      </w:r>
      <w:r w:rsidRPr="00FC7141">
        <w:t> </w:t>
      </w:r>
      <w:r>
        <w:t>+ </w:t>
      </w:r>
      <w:proofErr w:type="spellStart"/>
      <w:r>
        <w:t>r</w:t>
      </w:r>
      <w:r w:rsidRPr="00FC7141">
        <w:rPr>
          <w:vertAlign w:val="subscript"/>
        </w:rPr>
        <w:t>max</w:t>
      </w:r>
      <w:proofErr w:type="spellEnd"/>
      <w:r>
        <w:rPr>
          <w:vertAlign w:val="subscript"/>
        </w:rPr>
        <w:t> </w:t>
      </w:r>
      <w:r>
        <w:t>(1 - </w:t>
      </w:r>
      <w:r w:rsidRPr="00FC7141">
        <w:sym w:font="Symbol" w:char="F071"/>
      </w:r>
      <w:r>
        <w:rPr>
          <w:vertAlign w:val="subscript"/>
        </w:rPr>
        <w:t>min</w:t>
      </w:r>
      <w:r>
        <w:t xml:space="preserve">), were </w:t>
      </w:r>
      <w:proofErr w:type="spellStart"/>
      <w:r>
        <w:t>r</w:t>
      </w:r>
      <w:r w:rsidRPr="00FC7141">
        <w:rPr>
          <w:vertAlign w:val="subscript"/>
        </w:rPr>
        <w:t>max</w:t>
      </w:r>
      <w:proofErr w:type="spellEnd"/>
      <w:r>
        <w:t xml:space="preserve"> is the</w:t>
      </w:r>
      <w:r w:rsidR="007A44F3">
        <w:t xml:space="preserve"> maximum percentage</w:t>
      </w:r>
      <w:r>
        <w:t xml:space="preserve"> increase </w:t>
      </w:r>
      <w:r w:rsidR="007A44F3">
        <w:t>relative to the minimum.</w:t>
      </w:r>
    </w:p>
    <w:p w14:paraId="1CF90FED" w14:textId="77777777" w:rsidR="00FC7141" w:rsidRDefault="00FC7141" w:rsidP="00FC7141">
      <w:pPr>
        <w:pStyle w:val="ImageCaption"/>
      </w:pPr>
    </w:p>
    <w:p w14:paraId="23E5A55D" w14:textId="0881C390" w:rsidR="00FC7141" w:rsidRDefault="007A44F3" w:rsidP="00FC7141">
      <w:pPr>
        <w:pStyle w:val="ImageCaption"/>
      </w:pPr>
      <w:r>
        <w:t>Figure S</w:t>
      </w:r>
      <w:r w:rsidR="00572FAF">
        <w:t>2</w:t>
      </w:r>
      <w:r>
        <w:t xml:space="preserve">. </w:t>
      </w:r>
      <w:r w:rsidR="00FC7141">
        <w:t>Model fitting of mobility data each state. We fitted the model to daily reported cases and confirmed deaths until April 30</w:t>
      </w:r>
      <w:r w:rsidR="00FC7141" w:rsidRPr="000065FA">
        <w:rPr>
          <w:vertAlign w:val="superscript"/>
        </w:rPr>
        <w:t>th</w:t>
      </w:r>
      <w:r w:rsidR="00FC7141">
        <w:t xml:space="preserve"> and validated its projections against data from May 1</w:t>
      </w:r>
      <w:r w:rsidR="00FC7141" w:rsidRPr="000065FA">
        <w:rPr>
          <w:vertAlign w:val="superscript"/>
        </w:rPr>
        <w:t>st</w:t>
      </w:r>
      <w:r w:rsidR="00FC7141">
        <w:t xml:space="preserve"> to June 20</w:t>
      </w:r>
      <w:r w:rsidR="00FC7141" w:rsidRPr="008C06CB">
        <w:rPr>
          <w:vertAlign w:val="superscript"/>
        </w:rPr>
        <w:t>th</w:t>
      </w:r>
      <w:r w:rsidR="00FC7141">
        <w:t>. On the model projections, the black solid line is the median, the pink band is the 95% credible interval (</w:t>
      </w:r>
      <w:proofErr w:type="spellStart"/>
      <w:r w:rsidR="00FC7141">
        <w:t>CrI</w:t>
      </w:r>
      <w:proofErr w:type="spellEnd"/>
      <w:r w:rsidR="00FC7141">
        <w:t>) and the orange is the inter-quartile range (IQR). [</w:t>
      </w:r>
      <w:r w:rsidR="00FC7141" w:rsidRPr="000F5226">
        <w:rPr>
          <w:b/>
          <w:bCs/>
        </w:rPr>
        <w:t>Provided as separate file</w:t>
      </w:r>
      <w:r w:rsidR="00FC7141">
        <w:t>]</w:t>
      </w:r>
    </w:p>
    <w:p w14:paraId="6C55F8B2" w14:textId="512537DC" w:rsidR="00FC7141" w:rsidRDefault="00FC7141" w:rsidP="001F35AC">
      <w:pPr>
        <w:pStyle w:val="ImageCaption"/>
      </w:pPr>
    </w:p>
    <w:p w14:paraId="684A5C4C" w14:textId="77777777" w:rsidR="00572FAF" w:rsidRPr="00CD576C" w:rsidRDefault="00572FAF" w:rsidP="00572FAF">
      <w:pPr>
        <w:pStyle w:val="BodyText"/>
      </w:pPr>
    </w:p>
    <w:p w14:paraId="07C3B4D7" w14:textId="77777777" w:rsidR="00572FAF" w:rsidRDefault="00572FAF" w:rsidP="00572FAF">
      <w:pPr>
        <w:pStyle w:val="CaptionedFigure"/>
      </w:pPr>
      <w:r>
        <w:rPr>
          <w:noProof/>
        </w:rPr>
        <w:drawing>
          <wp:inline distT="0" distB="0" distL="0" distR="0" wp14:anchorId="08186C25" wp14:editId="2BF96C28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D5ECA" w14:textId="6E5D6E18" w:rsidR="00572FAF" w:rsidRPr="00A2417A" w:rsidRDefault="00572FAF" w:rsidP="00572FAF">
      <w:pPr>
        <w:pStyle w:val="BodyText"/>
        <w:rPr>
          <w:i/>
          <w:iCs/>
        </w:rPr>
      </w:pPr>
      <w:r w:rsidRPr="00A2417A">
        <w:rPr>
          <w:i/>
          <w:iCs/>
        </w:rPr>
        <w:t>Figure S</w:t>
      </w:r>
      <w:r>
        <w:rPr>
          <w:i/>
          <w:iCs/>
        </w:rPr>
        <w:t>3</w:t>
      </w:r>
      <w:r w:rsidRPr="00A2417A">
        <w:rPr>
          <w:i/>
          <w:iCs/>
        </w:rPr>
        <w:t>. Validation runs: Comparison of data and predictions overall. Each panel shows data versus predictions for daily deaths (left column) or cases (right column), with calibration results shown in the top panels (</w:t>
      </w:r>
      <w:r>
        <w:rPr>
          <w:i/>
          <w:iCs/>
        </w:rPr>
        <w:t xml:space="preserve">March 19 </w:t>
      </w:r>
      <w:r w:rsidRPr="00A2417A">
        <w:rPr>
          <w:i/>
          <w:iCs/>
        </w:rPr>
        <w:t xml:space="preserve">through April </w:t>
      </w:r>
      <w:r>
        <w:rPr>
          <w:i/>
          <w:iCs/>
        </w:rPr>
        <w:t>30</w:t>
      </w:r>
      <w:r w:rsidRPr="00A2417A">
        <w:rPr>
          <w:i/>
          <w:iCs/>
        </w:rPr>
        <w:t>) and validation results in the bottom panels (</w:t>
      </w:r>
      <w:r>
        <w:rPr>
          <w:i/>
          <w:iCs/>
        </w:rPr>
        <w:t xml:space="preserve">May 1 </w:t>
      </w:r>
      <w:r w:rsidRPr="00A2417A">
        <w:rPr>
          <w:i/>
          <w:iCs/>
        </w:rPr>
        <w:t xml:space="preserve">through </w:t>
      </w:r>
      <w:r>
        <w:rPr>
          <w:i/>
          <w:iCs/>
        </w:rPr>
        <w:t>June</w:t>
      </w:r>
      <w:r w:rsidRPr="00A2417A">
        <w:rPr>
          <w:i/>
          <w:iCs/>
        </w:rPr>
        <w:t xml:space="preserve"> </w:t>
      </w:r>
      <w:r>
        <w:rPr>
          <w:i/>
          <w:iCs/>
        </w:rPr>
        <w:t>2</w:t>
      </w:r>
      <w:r w:rsidRPr="00A2417A">
        <w:rPr>
          <w:i/>
          <w:iCs/>
        </w:rPr>
        <w:t>0). Each point includes the 95% Credible Interval (</w:t>
      </w:r>
      <w:proofErr w:type="spellStart"/>
      <w:r w:rsidRPr="00A2417A">
        <w:rPr>
          <w:i/>
          <w:iCs/>
        </w:rPr>
        <w:t>CrI</w:t>
      </w:r>
      <w:proofErr w:type="spellEnd"/>
      <w:r w:rsidRPr="00A2417A">
        <w:rPr>
          <w:i/>
          <w:iCs/>
        </w:rPr>
        <w:t xml:space="preserve">) for the prediction. The band centered on the y=x line shows the additional 95% </w:t>
      </w:r>
      <w:proofErr w:type="spellStart"/>
      <w:r w:rsidRPr="00A2417A">
        <w:rPr>
          <w:i/>
          <w:iCs/>
        </w:rPr>
        <w:t>CrI</w:t>
      </w:r>
      <w:proofErr w:type="spellEnd"/>
      <w:r w:rsidRPr="00A2417A">
        <w:rPr>
          <w:i/>
          <w:iCs/>
        </w:rPr>
        <w:t xml:space="preserve"> for the negative binomial likelihood, which is used to account for day-to-day variation in reporting.</w:t>
      </w:r>
    </w:p>
    <w:p w14:paraId="082A5E8D" w14:textId="77777777" w:rsidR="00572FAF" w:rsidRDefault="00572FAF" w:rsidP="00572FAF">
      <w:pPr>
        <w:pStyle w:val="ImageCaption"/>
      </w:pPr>
    </w:p>
    <w:p w14:paraId="5C7A01BE" w14:textId="77777777" w:rsidR="00572FAF" w:rsidRDefault="00572FAF" w:rsidP="00572FAF">
      <w:pPr>
        <w:pStyle w:val="ImageCaption"/>
      </w:pPr>
    </w:p>
    <w:p w14:paraId="4FA1AA8B" w14:textId="6FCD79C2" w:rsidR="00572FAF" w:rsidRDefault="00572FAF" w:rsidP="00572FAF">
      <w:pPr>
        <w:pStyle w:val="ImageCaption"/>
      </w:pPr>
      <w:r>
        <w:t>Figure S4. Model fitting and validation for each state. We fitted the model to daily reported cases and confirmed deaths until April 30</w:t>
      </w:r>
      <w:r w:rsidRPr="000065FA">
        <w:rPr>
          <w:vertAlign w:val="superscript"/>
        </w:rPr>
        <w:t>th</w:t>
      </w:r>
      <w:r>
        <w:t xml:space="preserve"> and validated its projections against data from May 1</w:t>
      </w:r>
      <w:r w:rsidRPr="000065FA">
        <w:rPr>
          <w:vertAlign w:val="superscript"/>
        </w:rPr>
        <w:t>st</w:t>
      </w:r>
      <w:r>
        <w:t xml:space="preserve"> to June 20</w:t>
      </w:r>
      <w:r w:rsidRPr="008C06CB">
        <w:rPr>
          <w:vertAlign w:val="superscript"/>
        </w:rPr>
        <w:t>th</w:t>
      </w:r>
      <w:r>
        <w:t>. On the model projections, the black solid line is the median, the pink band is the 95% credible interval (</w:t>
      </w:r>
      <w:proofErr w:type="spellStart"/>
      <w:r>
        <w:t>CrI</w:t>
      </w:r>
      <w:proofErr w:type="spellEnd"/>
      <w:r>
        <w:t>) and the orange is the inter-quartile range (IQR). [</w:t>
      </w:r>
      <w:r w:rsidRPr="000F5226">
        <w:rPr>
          <w:b/>
          <w:bCs/>
        </w:rPr>
        <w:t>Provided as separate file</w:t>
      </w:r>
      <w:r>
        <w:t>]</w:t>
      </w:r>
    </w:p>
    <w:p w14:paraId="1BDCDE72" w14:textId="77777777" w:rsidR="00FC7141" w:rsidRDefault="00FC7141" w:rsidP="001F35AC">
      <w:pPr>
        <w:pStyle w:val="ImageCaption"/>
      </w:pPr>
    </w:p>
    <w:p w14:paraId="08511260" w14:textId="77777777" w:rsidR="001F35AC" w:rsidRDefault="001F35AC" w:rsidP="001F35AC">
      <w:pPr>
        <w:pStyle w:val="ImageCaption"/>
      </w:pPr>
    </w:p>
    <w:p w14:paraId="293AA838" w14:textId="58CACDBE" w:rsidR="001F35AC" w:rsidRDefault="000065FA" w:rsidP="001F35AC">
      <w:pPr>
        <w:pStyle w:val="CaptionedFigure"/>
      </w:pPr>
      <w:r>
        <w:rPr>
          <w:noProof/>
        </w:rPr>
        <w:drawing>
          <wp:inline distT="0" distB="0" distL="0" distR="0" wp14:anchorId="7743D287" wp14:editId="2407D2BA">
            <wp:extent cx="5943600" cy="65766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3_06_20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7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440CA" w14:textId="372D57EF" w:rsidR="001F35AC" w:rsidRDefault="001F35AC" w:rsidP="001F35AC">
      <w:pPr>
        <w:pStyle w:val="ImageCaption"/>
      </w:pPr>
      <w:r>
        <w:t>Figure S</w:t>
      </w:r>
      <w:r w:rsidR="007A44F3">
        <w:t>5</w:t>
      </w:r>
      <w:r>
        <w:t xml:space="preserve">. Model calibration through </w:t>
      </w:r>
      <w:r w:rsidR="000065FA">
        <w:t>June 20</w:t>
      </w:r>
      <w:r>
        <w:t>, 2020: time-courses for selected States.</w:t>
      </w:r>
    </w:p>
    <w:p w14:paraId="1D46540F" w14:textId="16B75056" w:rsidR="001F35AC" w:rsidRDefault="000065FA" w:rsidP="001F35AC">
      <w:pPr>
        <w:pStyle w:val="CaptionedFigure"/>
      </w:pPr>
      <w:r>
        <w:rPr>
          <w:noProof/>
        </w:rPr>
        <w:drawing>
          <wp:inline distT="0" distB="0" distL="0" distR="0" wp14:anchorId="11919FC1" wp14:editId="1CE3359A">
            <wp:extent cx="5943600" cy="259842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4_06_20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392A6" w14:textId="422C5E85" w:rsidR="001F35AC" w:rsidRDefault="001F35AC" w:rsidP="001F35AC">
      <w:pPr>
        <w:pStyle w:val="ImageCaption"/>
      </w:pPr>
      <w:r>
        <w:t>Figure S</w:t>
      </w:r>
      <w:r w:rsidR="007A44F3">
        <w:t>6</w:t>
      </w:r>
      <w:r>
        <w:t xml:space="preserve">. Model calibration through </w:t>
      </w:r>
      <w:r w:rsidR="008F61EF">
        <w:t>June 20</w:t>
      </w:r>
      <w:r>
        <w:t>, 2020: comparisons of data and predictions for all States.</w:t>
      </w:r>
    </w:p>
    <w:p w14:paraId="3FEDC3EB" w14:textId="5CE163DF" w:rsidR="001F35AC" w:rsidRDefault="001F35AC" w:rsidP="001F35AC">
      <w:pPr>
        <w:pStyle w:val="ImageCaption"/>
      </w:pPr>
    </w:p>
    <w:p w14:paraId="52C559E8" w14:textId="1DCD8D2D" w:rsidR="008F61EF" w:rsidRDefault="008F61EF" w:rsidP="008F61EF">
      <w:pPr>
        <w:pStyle w:val="ImageCaption"/>
        <w:rPr>
          <w:b/>
          <w:bCs/>
        </w:rPr>
      </w:pPr>
      <w:r>
        <w:t xml:space="preserve">Figure S7. Comparison of prior and posterior parameter distributions for each state for model calibration through June 20, 2020. </w:t>
      </w:r>
      <w:r w:rsidRPr="008F61EF">
        <w:rPr>
          <w:b/>
          <w:bCs/>
        </w:rPr>
        <w:t>[Provided as separate file]</w:t>
      </w:r>
    </w:p>
    <w:p w14:paraId="4DC149F0" w14:textId="77777777" w:rsidR="008F61EF" w:rsidRDefault="008F61EF" w:rsidP="001F35AC">
      <w:pPr>
        <w:pStyle w:val="ImageCaption"/>
      </w:pPr>
    </w:p>
    <w:p w14:paraId="1F81F181" w14:textId="45CB816E" w:rsidR="001F35AC" w:rsidRDefault="006B5AF5" w:rsidP="001F35AC">
      <w:pPr>
        <w:pStyle w:val="CaptionedFigure"/>
      </w:pPr>
      <w:r>
        <w:rPr>
          <w:noProof/>
        </w:rPr>
        <w:drawing>
          <wp:inline distT="0" distB="0" distL="0" distR="0" wp14:anchorId="2B313F8A" wp14:editId="4977A413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5_corr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AA140" w14:textId="5D3A9ADE" w:rsidR="001F35AC" w:rsidRDefault="001F35AC" w:rsidP="001F35AC">
      <w:pPr>
        <w:pStyle w:val="ImageCaption"/>
      </w:pPr>
      <w:r>
        <w:t xml:space="preserve">Figure </w:t>
      </w:r>
      <w:r w:rsidR="008F61EF">
        <w:t>S8</w:t>
      </w:r>
      <w:r>
        <w:t xml:space="preserve">. Correlations </w:t>
      </w:r>
      <w:r w:rsidR="006B5AF5">
        <w:t xml:space="preserve">across states </w:t>
      </w:r>
      <w:r>
        <w:t xml:space="preserve">between </w:t>
      </w:r>
      <w:proofErr w:type="spellStart"/>
      <w:r>
        <w:t>R</w:t>
      </w:r>
      <w:r w:rsidR="006B5AF5" w:rsidRPr="006B5AF5">
        <w:rPr>
          <w:vertAlign w:val="subscript"/>
        </w:rPr>
        <w:t>eff</w:t>
      </w:r>
      <w:proofErr w:type="spellEnd"/>
      <w:r>
        <w:t xml:space="preserve">(t) and </w:t>
      </w:r>
      <w:r w:rsidR="006B5AF5">
        <w:t xml:space="preserve">(A) </w:t>
      </w:r>
      <w:r w:rsidR="006B5AF5">
        <w:sym w:font="Symbol" w:char="F071"/>
      </w:r>
      <w:r w:rsidR="006B5AF5" w:rsidRPr="006B5AF5">
        <w:rPr>
          <w:vertAlign w:val="subscript"/>
        </w:rPr>
        <w:t>min</w:t>
      </w:r>
      <w:r w:rsidR="00F85F8B">
        <w:t xml:space="preserve">, </w:t>
      </w:r>
      <w:r w:rsidR="006B5AF5">
        <w:t xml:space="preserve">(B) </w:t>
      </w:r>
      <w:r w:rsidR="006B5AF5">
        <w:sym w:font="Symbol" w:char="F068"/>
      </w:r>
      <w:r w:rsidR="006B5AF5">
        <w:t xml:space="preserve">, (C) </w:t>
      </w:r>
      <w:r w:rsidR="006B5AF5">
        <w:sym w:font="Symbol" w:char="F044"/>
      </w:r>
      <w:r w:rsidR="006B5AF5">
        <w:t xml:space="preserve">, and (D) </w:t>
      </w:r>
      <w:proofErr w:type="spellStart"/>
      <w:r w:rsidR="006B5AF5">
        <w:t>f</w:t>
      </w:r>
      <w:r w:rsidR="006B5AF5" w:rsidRPr="006B5AF5">
        <w:rPr>
          <w:vertAlign w:val="subscript"/>
        </w:rPr>
        <w:t>C</w:t>
      </w:r>
      <w:proofErr w:type="spellEnd"/>
      <w:r>
        <w:t xml:space="preserve">.  For each state, 500 posterior samples are shown.  Substantial state-to-state heterogeneity is evident in </w:t>
      </w:r>
      <w:r w:rsidR="006B5AF5">
        <w:t xml:space="preserve">all parameters, with </w:t>
      </w:r>
      <w:r w:rsidR="006B5AF5">
        <w:sym w:font="Symbol" w:char="F068"/>
      </w:r>
      <w:r w:rsidR="006B5AF5">
        <w:t xml:space="preserve">, </w:t>
      </w:r>
      <w:proofErr w:type="spellStart"/>
      <w:r w:rsidR="006B5AF5">
        <w:t>r</w:t>
      </w:r>
      <w:r w:rsidR="006B5AF5" w:rsidRPr="006B5AF5">
        <w:rPr>
          <w:vertAlign w:val="subscript"/>
        </w:rPr>
        <w:t>max</w:t>
      </w:r>
      <w:proofErr w:type="spellEnd"/>
      <w:r w:rsidR="006B5AF5">
        <w:t xml:space="preserve">, and  </w:t>
      </w:r>
      <w:proofErr w:type="spellStart"/>
      <w:r w:rsidR="006B5AF5">
        <w:t>f</w:t>
      </w:r>
      <w:r w:rsidR="006B5AF5" w:rsidRPr="006B5AF5">
        <w:rPr>
          <w:vertAlign w:val="subscript"/>
        </w:rPr>
        <w:t>C</w:t>
      </w:r>
      <w:proofErr w:type="spellEnd"/>
      <w:r w:rsidR="006B5AF5">
        <w:t xml:space="preserve"> contribute over 60% of the variance in </w:t>
      </w:r>
      <w:proofErr w:type="spellStart"/>
      <w:r w:rsidR="006B5AF5">
        <w:t>R</w:t>
      </w:r>
      <w:r w:rsidR="006B5AF5" w:rsidRPr="006B5AF5">
        <w:rPr>
          <w:vertAlign w:val="subscript"/>
        </w:rPr>
        <w:t>eff</w:t>
      </w:r>
      <w:proofErr w:type="spellEnd"/>
      <w:r w:rsidR="006B5AF5">
        <w:t xml:space="preserve">(t) under a linear model (estimated from ANOVA table </w:t>
      </w:r>
      <w:r w:rsidR="00312AE7">
        <w:t xml:space="preserve">[Table S1] </w:t>
      </w:r>
      <w:r w:rsidR="006B5AF5">
        <w:t xml:space="preserve">using the sum-of-squares relative to the total sum-of-squares).  For </w:t>
      </w:r>
      <w:r w:rsidR="006B5AF5">
        <w:sym w:font="Symbol" w:char="F071"/>
      </w:r>
      <w:r w:rsidR="006B5AF5" w:rsidRPr="006B5AF5">
        <w:rPr>
          <w:vertAlign w:val="subscript"/>
        </w:rPr>
        <w:t>min</w:t>
      </w:r>
      <w:r w:rsidR="006B5AF5">
        <w:t xml:space="preserve">, non-linearity is evident, as a positive correlation is apparent for states with </w:t>
      </w:r>
      <w:proofErr w:type="spellStart"/>
      <w:r w:rsidR="006B5AF5">
        <w:t>R</w:t>
      </w:r>
      <w:r w:rsidR="006B5AF5" w:rsidRPr="006B5AF5">
        <w:rPr>
          <w:vertAlign w:val="subscript"/>
        </w:rPr>
        <w:t>eff</w:t>
      </w:r>
      <w:proofErr w:type="spellEnd"/>
      <w:r w:rsidR="006B5AF5">
        <w:t xml:space="preserve">(t)&lt;1 and a negative one for states with </w:t>
      </w:r>
      <w:proofErr w:type="spellStart"/>
      <w:r w:rsidR="006B5AF5">
        <w:t>R</w:t>
      </w:r>
      <w:r w:rsidR="006B5AF5" w:rsidRPr="006B5AF5">
        <w:rPr>
          <w:vertAlign w:val="subscript"/>
        </w:rPr>
        <w:t>eff</w:t>
      </w:r>
      <w:proofErr w:type="spellEnd"/>
      <w:r w:rsidR="006B5AF5">
        <w:t xml:space="preserve">(t)&gt;1.  The other parameters correlate as expected: higher </w:t>
      </w:r>
      <w:proofErr w:type="spellStart"/>
      <w:r w:rsidR="006B5AF5">
        <w:t>R</w:t>
      </w:r>
      <w:r w:rsidR="006B5AF5" w:rsidRPr="006B5AF5">
        <w:rPr>
          <w:vertAlign w:val="subscript"/>
        </w:rPr>
        <w:t>eff</w:t>
      </w:r>
      <w:proofErr w:type="spellEnd"/>
      <w:r w:rsidR="006B5AF5">
        <w:t xml:space="preserve">(t) is correlated with lower contribution from hygiene practices (smaller </w:t>
      </w:r>
      <w:r w:rsidR="006B5AF5">
        <w:sym w:font="Symbol" w:char="F068"/>
      </w:r>
      <w:r w:rsidR="006B5AF5">
        <w:t xml:space="preserve">), more reopening (larger </w:t>
      </w:r>
      <w:r w:rsidR="006B5AF5">
        <w:sym w:font="Symbol" w:char="F044"/>
      </w:r>
      <w:r w:rsidR="006B5AF5">
        <w:t xml:space="preserve">), and lower rates of contact tracing (smaller </w:t>
      </w:r>
      <w:proofErr w:type="spellStart"/>
      <w:r w:rsidR="006B5AF5">
        <w:t>f</w:t>
      </w:r>
      <w:r w:rsidR="006B5AF5" w:rsidRPr="006B5AF5">
        <w:rPr>
          <w:vertAlign w:val="subscript"/>
        </w:rPr>
        <w:t>C</w:t>
      </w:r>
      <w:proofErr w:type="spellEnd"/>
      <w:r w:rsidR="006B5AF5">
        <w:t>).</w:t>
      </w:r>
    </w:p>
    <w:p w14:paraId="0C754159" w14:textId="034C1265" w:rsidR="00312AE7" w:rsidRDefault="00312AE7" w:rsidP="001F35AC">
      <w:pPr>
        <w:pStyle w:val="ImageCaption"/>
      </w:pPr>
    </w:p>
    <w:p w14:paraId="7ABB59BF" w14:textId="77777777" w:rsidR="00312AE7" w:rsidRDefault="00312AE7" w:rsidP="001F35AC">
      <w:pPr>
        <w:pStyle w:val="ImageCaption"/>
      </w:pPr>
    </w:p>
    <w:p w14:paraId="186A66FD" w14:textId="545A4EF4" w:rsidR="00312AE7" w:rsidRDefault="00312AE7" w:rsidP="001F35AC">
      <w:pPr>
        <w:pStyle w:val="ImageCaption"/>
      </w:pPr>
      <w:r>
        <w:t xml:space="preserve">Table S1. ANOVA table for </w:t>
      </w:r>
      <w:proofErr w:type="spellStart"/>
      <w:r>
        <w:t>R</w:t>
      </w:r>
      <w:r w:rsidRPr="006B5AF5">
        <w:rPr>
          <w:vertAlign w:val="subscript"/>
        </w:rPr>
        <w:t>eff</w:t>
      </w:r>
      <w:proofErr w:type="spellEnd"/>
      <w:r>
        <w:t>(t) with respect to key parameters</w:t>
      </w:r>
    </w:p>
    <w:tbl>
      <w:tblPr>
        <w:tblW w:w="8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953"/>
        <w:gridCol w:w="1170"/>
        <w:gridCol w:w="1260"/>
        <w:gridCol w:w="1080"/>
        <w:gridCol w:w="1080"/>
        <w:gridCol w:w="336"/>
        <w:gridCol w:w="1104"/>
      </w:tblGrid>
      <w:tr w:rsidR="00312AE7" w14:paraId="4975FA41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C1441B" w14:textId="77777777" w:rsidR="00312AE7" w:rsidRDefault="00312AE7">
            <w:pPr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7F5E95E6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AA98D71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Sum </w:t>
            </w:r>
            <w:proofErr w:type="spellStart"/>
            <w:r>
              <w:rPr>
                <w:rFonts w:ascii="Calibri" w:hAnsi="Calibri" w:cs="Calibri"/>
                <w:color w:val="000000"/>
              </w:rPr>
              <w:t>Sq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A40FAE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PctSumSq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1FA41B5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Mean </w:t>
            </w:r>
            <w:proofErr w:type="spellStart"/>
            <w:r>
              <w:rPr>
                <w:rFonts w:ascii="Calibri" w:hAnsi="Calibri" w:cs="Calibri"/>
                <w:color w:val="000000"/>
              </w:rPr>
              <w:t>Sq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8B778C5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 value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31A10A5E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A1778D1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</w:t>
            </w:r>
            <w:proofErr w:type="spellEnd"/>
            <w:r>
              <w:rPr>
                <w:rFonts w:ascii="Calibri" w:hAnsi="Calibri" w:cs="Calibri"/>
                <w:color w:val="000000"/>
              </w:rPr>
              <w:t>(&gt;F)</w:t>
            </w:r>
          </w:p>
        </w:tc>
      </w:tr>
      <w:tr w:rsidR="00312AE7" w14:paraId="6B08168F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E0E7969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</w:t>
            </w:r>
            <w:r w:rsidRPr="00312AE7">
              <w:rPr>
                <w:rFonts w:ascii="Calibri" w:hAnsi="Calibri" w:cs="Calibri"/>
                <w:color w:val="000000"/>
                <w:vertAlign w:val="subscript"/>
              </w:rPr>
              <w:t>0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C549D45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52217A9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F2A60E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7.7%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2D9441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4155057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13766.9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10B7DF5E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900D0BE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1EE6F9E2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05655C0" w14:textId="60395F1E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sym w:font="Symbol" w:char="F068"/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7B246C81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F639530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627.48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5F23E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24.1%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EF07FF3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627.48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B6967DE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43192.9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25C27A47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0D9CC56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6BD4A895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E0D10D8" w14:textId="3F21C6E3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sym w:font="Symbol" w:char="F071"/>
            </w:r>
            <w:r w:rsidRPr="006B5AF5">
              <w:rPr>
                <w:vertAlign w:val="subscript"/>
              </w:rPr>
              <w:t>min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764BFBB8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C04A619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64.52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64E86C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353AD1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64.52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81E5DFB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4441.4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70086256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CB17CA0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3BE45C58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8544C98" w14:textId="06F35372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sym w:font="Symbol" w:char="F044"/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350B55C9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EE6CF7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580.43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B1109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22.3%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ED587CE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580.43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0C7D0B7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39954.1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5C9EBF17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15C18D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225C7054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2B77941" w14:textId="3B8FB7CE" w:rsidR="00312AE7" w:rsidRDefault="00312AE7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312AE7">
              <w:rPr>
                <w:i/>
                <w:iCs/>
              </w:rPr>
              <w:t>f</w:t>
            </w:r>
            <w:r w:rsidRPr="006B5AF5">
              <w:rPr>
                <w:vertAlign w:val="subscript"/>
              </w:rPr>
              <w:t>C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3B391ED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AF1E65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537.84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1FA9F8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20.6%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2C878D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537.84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FCFCF13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37022.7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62481458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2416B55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56A81108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F4DFF89" w14:textId="7C24B5DA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sym w:font="Symbol" w:char="F06C"/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7E510D5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67AF737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156.66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66ABCA4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7D3BA3E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156.66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09CAE1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10783.6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25D0ADAF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A3E4EB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3C36BA4F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8A25566" w14:textId="40BE0389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sym w:font="Symbol" w:char="F072"/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56B2D656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5D5887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70.21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E22F28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F37BBCA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70.21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82C1F4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4833</w:t>
            </w: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6FB9D4F7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72BFB9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2.20E-16</w:t>
            </w:r>
          </w:p>
        </w:tc>
      </w:tr>
      <w:tr w:rsidR="00312AE7" w14:paraId="55C00D86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A963DBF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Residuals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0CB8216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25492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A4A3438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370.33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BC24B52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14.2%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7D04FB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902CBF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1F119DD7" w14:textId="77777777" w:rsidR="00312AE7" w:rsidRDefault="00312AE7">
            <w:pPr>
              <w:rPr>
                <w:sz w:val="20"/>
                <w:szCs w:val="2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1E0FDBA" w14:textId="77777777" w:rsidR="00312AE7" w:rsidRDefault="00312AE7">
            <w:pPr>
              <w:rPr>
                <w:sz w:val="20"/>
                <w:szCs w:val="20"/>
              </w:rPr>
            </w:pPr>
          </w:p>
        </w:tc>
      </w:tr>
      <w:tr w:rsidR="00312AE7" w14:paraId="5E54113B" w14:textId="77777777" w:rsidTr="00312AE7">
        <w:trPr>
          <w:trHeight w:val="320"/>
        </w:trPr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3D3BA40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2C9D0AA9" w14:textId="77777777" w:rsidR="00312AE7" w:rsidRDefault="00312AE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FAEADF8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2607.47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54BBE5" w14:textId="77777777" w:rsidR="00312AE7" w:rsidRDefault="00312AE7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CB8E787" w14:textId="77777777" w:rsidR="00312AE7" w:rsidRDefault="00312AE7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C970DBE" w14:textId="77777777" w:rsidR="00312AE7" w:rsidRDefault="00312AE7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  <w:shd w:val="clear" w:color="auto" w:fill="auto"/>
            <w:noWrap/>
            <w:vAlign w:val="bottom"/>
            <w:hideMark/>
          </w:tcPr>
          <w:p w14:paraId="79F71AD8" w14:textId="77777777" w:rsidR="00312AE7" w:rsidRDefault="00312AE7">
            <w:pPr>
              <w:rPr>
                <w:sz w:val="20"/>
                <w:szCs w:val="2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7CDD52B" w14:textId="77777777" w:rsidR="00312AE7" w:rsidRDefault="00312AE7">
            <w:pPr>
              <w:rPr>
                <w:sz w:val="20"/>
                <w:szCs w:val="20"/>
              </w:rPr>
            </w:pPr>
          </w:p>
        </w:tc>
      </w:tr>
    </w:tbl>
    <w:p w14:paraId="0EAE7CFF" w14:textId="77777777" w:rsidR="00312AE7" w:rsidRDefault="00312AE7" w:rsidP="001F35AC">
      <w:pPr>
        <w:pStyle w:val="ImageCaption"/>
      </w:pPr>
    </w:p>
    <w:p w14:paraId="3EFA91CA" w14:textId="0A77AF79" w:rsidR="008F61EF" w:rsidRDefault="008F61EF" w:rsidP="001F35AC">
      <w:pPr>
        <w:pStyle w:val="ImageCaption"/>
      </w:pPr>
    </w:p>
    <w:p w14:paraId="2C937180" w14:textId="383CE102" w:rsidR="00C368D9" w:rsidRDefault="00806139" w:rsidP="001F35AC">
      <w:pPr>
        <w:pStyle w:val="ImageCaption"/>
      </w:pPr>
      <w:r>
        <w:rPr>
          <w:noProof/>
        </w:rPr>
        <w:drawing>
          <wp:inline distT="0" distB="0" distL="0" distR="0" wp14:anchorId="1290D9D4" wp14:editId="148D3B13">
            <wp:extent cx="594360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9_fC_lambda_Contour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F5C34" w14:textId="536E85D1" w:rsidR="00760BAC" w:rsidRDefault="00760BAC" w:rsidP="001F35AC">
      <w:pPr>
        <w:pStyle w:val="ImageCaption"/>
      </w:pPr>
      <w:r>
        <w:t xml:space="preserve">Figure S9. Contour maps for each state of the probability that </w:t>
      </w:r>
      <w:proofErr w:type="spellStart"/>
      <w:r>
        <w:t>R</w:t>
      </w:r>
      <w:r w:rsidRPr="003A052A">
        <w:rPr>
          <w:vertAlign w:val="subscript"/>
        </w:rPr>
        <w:t>eff</w:t>
      </w:r>
      <w:proofErr w:type="spellEnd"/>
      <w:r>
        <w:t xml:space="preserve">(t) at different levels contact tracing </w:t>
      </w:r>
      <w:proofErr w:type="spellStart"/>
      <w:r w:rsidRPr="003A052A">
        <w:t>f</w:t>
      </w:r>
      <w:r w:rsidRPr="003A052A">
        <w:rPr>
          <w:i w:val="0"/>
          <w:iCs/>
          <w:vertAlign w:val="subscript"/>
        </w:rPr>
        <w:t>C</w:t>
      </w:r>
      <w:proofErr w:type="spellEnd"/>
      <w:r>
        <w:t xml:space="preserve"> and testing </w:t>
      </w:r>
      <w:r>
        <w:rPr>
          <w:rFonts w:ascii="Calibri" w:hAnsi="Calibri" w:cs="Calibri"/>
          <w:color w:val="000000"/>
        </w:rPr>
        <w:sym w:font="Symbol" w:char="F06C"/>
      </w:r>
      <w:r>
        <w:rPr>
          <w:rFonts w:ascii="Calibri" w:hAnsi="Calibri" w:cs="Calibri"/>
          <w:color w:val="000000"/>
        </w:rPr>
        <w:t xml:space="preserve">. </w:t>
      </w:r>
      <w:r>
        <w:t xml:space="preserve">Contours are labeled as by median and 95% Credible interval, and current median estimates of </w:t>
      </w:r>
      <w:proofErr w:type="spellStart"/>
      <w:r w:rsidRPr="003A052A">
        <w:t>f</w:t>
      </w:r>
      <w:r w:rsidRPr="003A052A">
        <w:rPr>
          <w:i w:val="0"/>
          <w:iCs/>
          <w:vertAlign w:val="subscript"/>
        </w:rPr>
        <w:t>C</w:t>
      </w:r>
      <w:proofErr w:type="spellEnd"/>
      <w:r>
        <w:t xml:space="preserve"> and </w:t>
      </w:r>
      <w:r>
        <w:rPr>
          <w:rFonts w:ascii="Calibri" w:hAnsi="Calibri" w:cs="Calibri"/>
          <w:color w:val="000000"/>
        </w:rPr>
        <w:sym w:font="Symbol" w:char="F06C"/>
      </w:r>
      <w:r>
        <w:rPr>
          <w:rFonts w:ascii="Calibri" w:hAnsi="Calibri" w:cs="Calibri"/>
          <w:color w:val="000000"/>
        </w:rPr>
        <w:t xml:space="preserve"> are shown by the circle.</w:t>
      </w:r>
    </w:p>
    <w:p w14:paraId="7202E066" w14:textId="77777777" w:rsidR="00C368D9" w:rsidRDefault="00C368D9" w:rsidP="001F35AC">
      <w:pPr>
        <w:pStyle w:val="ImageCaption"/>
      </w:pPr>
    </w:p>
    <w:p w14:paraId="111F1032" w14:textId="49F21C39" w:rsidR="001F35AC" w:rsidRDefault="001F35AC" w:rsidP="001F35AC">
      <w:pPr>
        <w:pStyle w:val="ImageCaption"/>
      </w:pPr>
      <w:r>
        <w:t>Figure S</w:t>
      </w:r>
      <w:r w:rsidR="00760BAC">
        <w:t>10</w:t>
      </w:r>
      <w:r>
        <w:t>. Predicted time-course</w:t>
      </w:r>
      <w:r w:rsidR="003A052A">
        <w:t>s across states</w:t>
      </w:r>
      <w:r>
        <w:t xml:space="preserve"> of daily reported cases (A, C) and deaths (B, D) under different testing rate (1X and 2X) and </w:t>
      </w:r>
      <w:r w:rsidR="003A052A">
        <w:t xml:space="preserve">contact tracing (1X and 2X) scenarios, given current value of </w:t>
      </w:r>
      <w:r>
        <w:t>restriction relaxation</w:t>
      </w:r>
      <w:r w:rsidR="003A052A">
        <w:t xml:space="preserve"> (current</w:t>
      </w:r>
      <w:r>
        <w:t xml:space="preserve"> </w:t>
      </w:r>
      <w:r w:rsidR="003A052A" w:rsidRPr="008E25F1">
        <w:sym w:font="Symbol" w:char="F044"/>
      </w:r>
      <w:r w:rsidRPr="008E25F1">
        <w:t>). [</w:t>
      </w:r>
      <w:r w:rsidRPr="008E25F1">
        <w:rPr>
          <w:b/>
          <w:bCs/>
        </w:rPr>
        <w:t>Provided as separate file</w:t>
      </w:r>
      <w:r w:rsidRPr="008E25F1">
        <w:t>]</w:t>
      </w:r>
    </w:p>
    <w:p w14:paraId="67FC9B3E" w14:textId="4F875755" w:rsidR="003A052A" w:rsidRDefault="003A052A" w:rsidP="001F35AC">
      <w:pPr>
        <w:pStyle w:val="ImageCaption"/>
      </w:pPr>
    </w:p>
    <w:sectPr w:rsidR="003A052A" w:rsidSect="003A052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lnNumType w:countBy="1"/>
      <w:pgNumType w:start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F0A4D6" w14:textId="77777777" w:rsidR="00C834D9" w:rsidRDefault="00C834D9">
      <w:r>
        <w:separator/>
      </w:r>
    </w:p>
  </w:endnote>
  <w:endnote w:type="continuationSeparator" w:id="0">
    <w:p w14:paraId="71C066CD" w14:textId="77777777" w:rsidR="00C834D9" w:rsidRDefault="00C83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892966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42B8E0" w14:textId="77777777" w:rsidR="003A052A" w:rsidRDefault="003A052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BB2A90" w14:textId="77777777" w:rsidR="003A052A" w:rsidRDefault="003A05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9B3449" w14:textId="77777777" w:rsidR="00C834D9" w:rsidRDefault="00C834D9">
      <w:r>
        <w:separator/>
      </w:r>
    </w:p>
  </w:footnote>
  <w:footnote w:type="continuationSeparator" w:id="0">
    <w:p w14:paraId="16688EB6" w14:textId="77777777" w:rsidR="00C834D9" w:rsidRDefault="00C834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BCCC5B" w14:textId="77777777" w:rsidR="003A052A" w:rsidRPr="000A2CF4" w:rsidRDefault="003A052A" w:rsidP="003A052A">
    <w:pPr>
      <w:pStyle w:val="Header"/>
      <w:jc w:val="center"/>
      <w:rPr>
        <w:color w:val="FF0000"/>
        <w:sz w:val="28"/>
        <w:szCs w:val="28"/>
      </w:rPr>
    </w:pPr>
  </w:p>
  <w:p w14:paraId="74F8A5A2" w14:textId="77777777" w:rsidR="003A052A" w:rsidRDefault="003A05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5AC"/>
    <w:rsid w:val="000065FA"/>
    <w:rsid w:val="00046B2C"/>
    <w:rsid w:val="001F35AC"/>
    <w:rsid w:val="00263EDC"/>
    <w:rsid w:val="00312AE7"/>
    <w:rsid w:val="003A052A"/>
    <w:rsid w:val="00455601"/>
    <w:rsid w:val="004926E6"/>
    <w:rsid w:val="00572FAF"/>
    <w:rsid w:val="006B5AF5"/>
    <w:rsid w:val="006E2165"/>
    <w:rsid w:val="00760BAC"/>
    <w:rsid w:val="007A44F3"/>
    <w:rsid w:val="00806139"/>
    <w:rsid w:val="008B06D1"/>
    <w:rsid w:val="008E25F1"/>
    <w:rsid w:val="008F61EF"/>
    <w:rsid w:val="00A3626D"/>
    <w:rsid w:val="00C368D9"/>
    <w:rsid w:val="00C834D9"/>
    <w:rsid w:val="00E8183B"/>
    <w:rsid w:val="00EE5C76"/>
    <w:rsid w:val="00F77E8C"/>
    <w:rsid w:val="00F85F8B"/>
    <w:rsid w:val="00FC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B8716"/>
  <w15:chartTrackingRefBased/>
  <w15:docId w15:val="{ED50B6DB-384B-429B-ADD4-94E91CB79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1F35AC"/>
    <w:pPr>
      <w:spacing w:before="180" w:after="180"/>
    </w:pPr>
    <w:rPr>
      <w:rFonts w:asciiTheme="minorHAnsi" w:eastAsiaTheme="minorHAnsi" w:hAnsiTheme="minorHAnsi" w:cstheme="minorBidi"/>
    </w:rPr>
  </w:style>
  <w:style w:type="character" w:customStyle="1" w:styleId="BodyTextChar">
    <w:name w:val="Body Text Char"/>
    <w:basedOn w:val="DefaultParagraphFont"/>
    <w:link w:val="BodyText"/>
    <w:rsid w:val="001F35AC"/>
    <w:rPr>
      <w:sz w:val="24"/>
      <w:szCs w:val="24"/>
    </w:rPr>
  </w:style>
  <w:style w:type="paragraph" w:customStyle="1" w:styleId="ImageCaption">
    <w:name w:val="Image Caption"/>
    <w:basedOn w:val="Caption"/>
    <w:rsid w:val="001F35AC"/>
    <w:pPr>
      <w:spacing w:after="120"/>
    </w:pPr>
    <w:rPr>
      <w:iCs w:val="0"/>
      <w:color w:val="auto"/>
      <w:sz w:val="24"/>
      <w:szCs w:val="24"/>
    </w:rPr>
  </w:style>
  <w:style w:type="paragraph" w:customStyle="1" w:styleId="CaptionedFigure">
    <w:name w:val="Captioned Figure"/>
    <w:basedOn w:val="Normal"/>
    <w:rsid w:val="001F35AC"/>
    <w:pPr>
      <w:keepNext/>
      <w:spacing w:after="200"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1F35A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F35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F35A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1F35AC"/>
    <w:rPr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F35AC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F35AC"/>
  </w:style>
  <w:style w:type="paragraph" w:styleId="Title">
    <w:name w:val="Title"/>
    <w:basedOn w:val="Normal"/>
    <w:next w:val="BodyText"/>
    <w:link w:val="TitleChar"/>
    <w:qFormat/>
    <w:rsid w:val="00F77E8C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F77E8C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customStyle="1" w:styleId="FirstParagraph">
    <w:name w:val="First Paragraph"/>
    <w:basedOn w:val="BodyText"/>
    <w:next w:val="BodyText"/>
    <w:qFormat/>
    <w:rsid w:val="00F77E8C"/>
  </w:style>
  <w:style w:type="paragraph" w:customStyle="1" w:styleId="Author">
    <w:name w:val="Author"/>
    <w:next w:val="BodyText"/>
    <w:qFormat/>
    <w:rsid w:val="00F77E8C"/>
    <w:pPr>
      <w:keepNext/>
      <w:keepLines/>
      <w:spacing w:after="200" w:line="240" w:lineRule="auto"/>
      <w:jc w:val="center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2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7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 Ndeffo</dc:creator>
  <cp:keywords/>
  <dc:description/>
  <cp:lastModifiedBy>Les Ndeffo</cp:lastModifiedBy>
  <cp:revision>9</cp:revision>
  <dcterms:created xsi:type="dcterms:W3CDTF">2020-06-24T20:46:00Z</dcterms:created>
  <dcterms:modified xsi:type="dcterms:W3CDTF">2020-06-29T03:44:00Z</dcterms:modified>
</cp:coreProperties>
</file>