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2B6" w:rsidRPr="007E4833" w:rsidRDefault="007452B6" w:rsidP="007452B6">
      <w:pPr>
        <w:adjustRightInd w:val="0"/>
        <w:snapToGri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7E4833">
        <w:rPr>
          <w:rFonts w:ascii="Times New Roman" w:hAnsi="Times New Roman"/>
          <w:b/>
          <w:sz w:val="24"/>
          <w:szCs w:val="24"/>
        </w:rPr>
        <w:t>Supplementary material</w:t>
      </w:r>
    </w:p>
    <w:p w:rsidR="007452B6" w:rsidRPr="00A309F1" w:rsidRDefault="007452B6" w:rsidP="007452B6">
      <w:pPr>
        <w:adjustRightInd w:val="0"/>
        <w:snapToGrid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309F1">
        <w:rPr>
          <w:rFonts w:ascii="Times New Roman" w:hAnsi="Times New Roman"/>
          <w:b/>
          <w:bCs/>
          <w:sz w:val="24"/>
          <w:szCs w:val="24"/>
        </w:rPr>
        <w:t>Figure S1 Schematic overview of the study.</w:t>
      </w:r>
    </w:p>
    <w:p w:rsidR="007452B6" w:rsidRDefault="007452B6" w:rsidP="007452B6">
      <w:pPr>
        <w:adjustRightInd w:val="0"/>
        <w:snapToGri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A309F1">
        <w:rPr>
          <w:rFonts w:ascii="Times New Roman" w:hAnsi="Times New Roman"/>
          <w:b/>
          <w:bCs/>
          <w:sz w:val="24"/>
          <w:szCs w:val="24"/>
        </w:rPr>
        <w:t>Figure S2 Construction and validation of prognostic risk model in the TCGA OV Cohort.</w:t>
      </w:r>
      <w:r w:rsidRPr="00A309F1">
        <w:rPr>
          <w:rFonts w:ascii="Times New Roman" w:hAnsi="Times New Roman"/>
          <w:sz w:val="24"/>
          <w:szCs w:val="24"/>
        </w:rPr>
        <w:t xml:space="preserve"> (A, D) Kaplan-Meier (KM) survival analysis and Receiver Operating Characteristic (ROC) curves for predicting 1, 2, and 3-year overall survival (OS) in the training set. (B, E) KM survival analysis and ROC curves for predicting 1, 2, and 3-year OS in the test set. (C, F) KM survival analysis and ROC curves for predicting 1, 2, and 3-year OS in the external validation GSE140082 cohort. (G) KM survival analysis in all TCGA OV patients. (H–M) KM survival analysis in TCGA OV patients categorized by age (H: ≤ 65; I: &gt; 65), stage (J: G3+G4; M: G1+G2), and grade (K: III+VI; L: I+II). </w:t>
      </w:r>
    </w:p>
    <w:p w:rsidR="007452B6" w:rsidRPr="00A309F1" w:rsidRDefault="007452B6" w:rsidP="007452B6">
      <w:pPr>
        <w:adjustRightInd w:val="0"/>
        <w:snapToGri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7452B6" w:rsidRPr="00A309F1" w:rsidRDefault="007452B6" w:rsidP="007452B6">
      <w:pPr>
        <w:adjustRightInd w:val="0"/>
        <w:snapToGrid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309F1">
        <w:rPr>
          <w:rFonts w:ascii="Times New Roman" w:hAnsi="Times New Roman"/>
          <w:b/>
          <w:bCs/>
          <w:sz w:val="24"/>
          <w:szCs w:val="24"/>
        </w:rPr>
        <w:t xml:space="preserve">Table S1 GO enrichment results for hub genes. </w:t>
      </w:r>
    </w:p>
    <w:p w:rsidR="007452B6" w:rsidRPr="00A309F1" w:rsidRDefault="007452B6" w:rsidP="007452B6">
      <w:pPr>
        <w:adjustRightInd w:val="0"/>
        <w:snapToGrid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309F1">
        <w:rPr>
          <w:rFonts w:ascii="Times New Roman" w:hAnsi="Times New Roman"/>
          <w:b/>
          <w:bCs/>
          <w:sz w:val="24"/>
          <w:szCs w:val="24"/>
        </w:rPr>
        <w:t xml:space="preserve">Table S2 KEGG enrichment results for hub genes. </w:t>
      </w:r>
    </w:p>
    <w:p w:rsidR="007452B6" w:rsidRPr="00A309F1" w:rsidRDefault="007452B6" w:rsidP="007452B6">
      <w:pPr>
        <w:adjustRightInd w:val="0"/>
        <w:snapToGrid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309F1">
        <w:rPr>
          <w:rFonts w:ascii="Times New Roman" w:hAnsi="Times New Roman"/>
          <w:b/>
          <w:bCs/>
          <w:sz w:val="24"/>
          <w:szCs w:val="24"/>
        </w:rPr>
        <w:t>Table S3 Univariate Cox analysis on hub genes</w:t>
      </w:r>
    </w:p>
    <w:p w:rsidR="007452B6" w:rsidRPr="009368BD" w:rsidRDefault="007452B6" w:rsidP="007452B6">
      <w:pPr>
        <w:adjustRightInd w:val="0"/>
        <w:snapToGrid w:val="0"/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S4 qRT-PCR primers</w:t>
      </w:r>
    </w:p>
    <w:p w:rsidR="007452B6" w:rsidRDefault="007452B6">
      <w:pPr>
        <w:spacing w:after="0" w:line="240" w:lineRule="auto"/>
        <w:rPr>
          <w:rFonts w:ascii="Times New Roman" w:hAnsi="Times New Roman"/>
          <w:b/>
          <w:bCs/>
          <w:noProof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noProof/>
          <w:sz w:val="24"/>
          <w:szCs w:val="24"/>
        </w:rPr>
        <w:br w:type="page"/>
      </w:r>
    </w:p>
    <w:p w:rsidR="00C71ABB" w:rsidRPr="008D4F10" w:rsidRDefault="00C71ABB" w:rsidP="00C71ABB">
      <w:pPr>
        <w:adjustRightInd w:val="0"/>
        <w:snapToGri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D4F10"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274310" cy="3164586"/>
            <wp:effectExtent l="0" t="0" r="2540" b="0"/>
            <wp:docPr id="1" name="图片 1" descr="D:\Users\li.gao\Desktop\工作文件\刘洋IIT-I-230809438-Eng\3投Journal of Zhejiang University-SCIENCE B\Supplementary material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li.gao\Desktop\工作文件\刘洋IIT-I-230809438-Eng\3投Journal of Zhejiang University-SCIENCE B\Supplementary material\Figure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4F10">
        <w:rPr>
          <w:rFonts w:ascii="Times New Roman" w:hAnsi="Times New Roman"/>
          <w:b/>
          <w:bCs/>
          <w:sz w:val="24"/>
          <w:szCs w:val="24"/>
        </w:rPr>
        <w:t>Figure S1 Schematic overview of the study.</w:t>
      </w:r>
    </w:p>
    <w:p w:rsidR="00C71ABB" w:rsidRPr="008D4F10" w:rsidRDefault="00C71ABB" w:rsidP="00C71ABB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8D4F10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C71ABB" w:rsidRPr="008D4F10" w:rsidRDefault="00C71ABB" w:rsidP="00C71ABB">
      <w:pPr>
        <w:adjustRightInd w:val="0"/>
        <w:snapToGri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D4F10"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274310" cy="4583996"/>
            <wp:effectExtent l="0" t="0" r="2540" b="7620"/>
            <wp:docPr id="2" name="图片 2" descr="D:\Users\li.gao\Desktop\工作文件\刘洋IIT-I-230809438-Eng\3投Journal of Zhejiang University-SCIENCE B\Supplementary material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li.gao\Desktop\工作文件\刘洋IIT-I-230809438-Eng\3投Journal of Zhejiang University-SCIENCE B\Supplementary material\Figure 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83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ABB" w:rsidRPr="008D4F10" w:rsidRDefault="00C71ABB" w:rsidP="00C71ABB">
      <w:pPr>
        <w:adjustRightInd w:val="0"/>
        <w:snapToGri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D4F10">
        <w:rPr>
          <w:rFonts w:ascii="Times New Roman" w:hAnsi="Times New Roman"/>
          <w:b/>
          <w:bCs/>
          <w:sz w:val="24"/>
          <w:szCs w:val="24"/>
        </w:rPr>
        <w:t>Figure S2 Construction and validation of prognostic risk model in the TCGA OV Cohort.</w:t>
      </w:r>
      <w:r w:rsidRPr="008D4F10">
        <w:rPr>
          <w:rFonts w:ascii="Times New Roman" w:hAnsi="Times New Roman"/>
          <w:sz w:val="24"/>
          <w:szCs w:val="24"/>
        </w:rPr>
        <w:t xml:space="preserve"> (A, D) Kaplan-Meier (KM) survival analysis and Receiver Operating Characteristic (ROC) curves for predicting 1, 2, and 3-year overall survival (OS) in the training set. (B, E) KM survival analysis and ROC curves for predicting 1, 2, and 3-year OS in the test set. (C, F) KM survival analysis and ROC curves for predicting 1, 2, and 3-year OS in the external validation GSE140082 cohort. (G) KM survival analysis in all TCGA OV patients. (H–M) KM survival analysis in TCGA OV patients categorized by age (H: ≤ 65; I: &gt; 65), stage (J: G3+G4; M: G1+G2), and grade (K: III+VI; L: I+II). </w:t>
      </w:r>
    </w:p>
    <w:p w:rsidR="000D5542" w:rsidRPr="008D4F10" w:rsidRDefault="00032E2F" w:rsidP="00C71ABB">
      <w:pPr>
        <w:spacing w:line="360" w:lineRule="auto"/>
        <w:rPr>
          <w:sz w:val="24"/>
          <w:szCs w:val="24"/>
        </w:rPr>
      </w:pPr>
    </w:p>
    <w:sectPr w:rsidR="000D5542" w:rsidRPr="008D4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2E2F" w:rsidRDefault="00032E2F" w:rsidP="00C71ABB">
      <w:pPr>
        <w:spacing w:after="0" w:line="240" w:lineRule="auto"/>
      </w:pPr>
      <w:r>
        <w:separator/>
      </w:r>
    </w:p>
  </w:endnote>
  <w:endnote w:type="continuationSeparator" w:id="0">
    <w:p w:rsidR="00032E2F" w:rsidRDefault="00032E2F" w:rsidP="00C71A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altName w:val="Baskerville Old Fac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2E2F" w:rsidRDefault="00032E2F" w:rsidP="00C71ABB">
      <w:pPr>
        <w:spacing w:after="0" w:line="240" w:lineRule="auto"/>
      </w:pPr>
      <w:r>
        <w:separator/>
      </w:r>
    </w:p>
  </w:footnote>
  <w:footnote w:type="continuationSeparator" w:id="0">
    <w:p w:rsidR="00032E2F" w:rsidRDefault="00032E2F" w:rsidP="00C71A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6D1"/>
    <w:rsid w:val="00032E2F"/>
    <w:rsid w:val="00133C52"/>
    <w:rsid w:val="004F6CE0"/>
    <w:rsid w:val="00644684"/>
    <w:rsid w:val="007452B6"/>
    <w:rsid w:val="008D4F10"/>
    <w:rsid w:val="00A46216"/>
    <w:rsid w:val="00C06BAB"/>
    <w:rsid w:val="00C71ABB"/>
    <w:rsid w:val="00E40A96"/>
    <w:rsid w:val="00E55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951034-62A1-449E-825D-87809FBCD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ABB"/>
    <w:pPr>
      <w:spacing w:after="160" w:line="300" w:lineRule="auto"/>
    </w:pPr>
    <w:rPr>
      <w:rFonts w:ascii="Baskerville Old Face" w:eastAsia="宋体" w:hAnsi="Baskerville Old Face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1AB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1A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1ABB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1A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4</cp:revision>
  <dcterms:created xsi:type="dcterms:W3CDTF">2023-11-17T07:35:00Z</dcterms:created>
  <dcterms:modified xsi:type="dcterms:W3CDTF">2024-03-06T06:02:00Z</dcterms:modified>
</cp:coreProperties>
</file>