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8543B" w14:textId="59F16D81" w:rsidR="00B32235" w:rsidRPr="00BE77B5" w:rsidRDefault="0093224A" w:rsidP="0093224A">
      <w:pPr>
        <w:pStyle w:val="MDPI41tablecaption"/>
        <w:ind w:left="0"/>
        <w:rPr>
          <w:rFonts w:asciiTheme="majorBidi" w:hAnsiTheme="majorBidi" w:cstheme="majorBidi"/>
          <w:shd w:val="clear" w:color="auto" w:fill="FFFFFF"/>
          <w:lang w:val="en-CA"/>
        </w:rPr>
      </w:pPr>
      <w:r w:rsidRPr="0093224A">
        <w:rPr>
          <w:rFonts w:asciiTheme="majorBidi" w:hAnsiTheme="majorBidi" w:cstheme="majorBidi"/>
          <w:b/>
          <w:bCs/>
          <w:lang w:val="en-CA"/>
        </w:rPr>
        <w:t>Supplementary Table 1</w:t>
      </w:r>
      <w:r w:rsidR="00B32235" w:rsidRPr="00BE77B5">
        <w:rPr>
          <w:rFonts w:asciiTheme="majorBidi" w:hAnsiTheme="majorBidi" w:cstheme="majorBidi"/>
          <w:b/>
          <w:bCs/>
        </w:rPr>
        <w:t xml:space="preserve">. </w:t>
      </w:r>
      <w:r w:rsidR="00B32235" w:rsidRPr="00BE77B5">
        <w:rPr>
          <w:rFonts w:asciiTheme="majorBidi" w:hAnsiTheme="majorBidi" w:cstheme="majorBidi"/>
        </w:rPr>
        <w:t>Toxicity models of acute toxicity in rats, Carcinogenicity toxicity in rat (Rat_TD50) and Carcinogenicity toxicity in mouse (Mouse_TD50</w:t>
      </w:r>
      <w:r w:rsidR="00B32235" w:rsidRPr="00BE77B5">
        <w:rPr>
          <w:rFonts w:asciiTheme="majorBidi" w:hAnsiTheme="majorBidi" w:cstheme="majorBidi"/>
          <w:shd w:val="clear" w:color="auto" w:fill="FFFFFF"/>
        </w:rPr>
        <w:t>(</w:t>
      </w:r>
      <w:r w:rsidR="00B32235" w:rsidRPr="00BE77B5">
        <w:rPr>
          <w:rFonts w:asciiTheme="majorBidi" w:hAnsiTheme="majorBidi" w:cstheme="majorBidi"/>
        </w:rPr>
        <w:t xml:space="preserve">acute toxicity in rats, </w:t>
      </w:r>
      <w:proofErr w:type="spellStart"/>
      <w:r w:rsidR="00B32235" w:rsidRPr="00BE77B5">
        <w:rPr>
          <w:rFonts w:asciiTheme="majorBidi" w:hAnsiTheme="majorBidi" w:cstheme="majorBidi"/>
        </w:rPr>
        <w:t>ra</w:t>
      </w:r>
      <w:proofErr w:type="spellEnd"/>
      <w:r w:rsidR="00B32235" w:rsidRPr="00BE77B5">
        <w:rPr>
          <w:rFonts w:asciiTheme="majorBidi" w:hAnsiTheme="majorBidi" w:cstheme="majorBidi"/>
        </w:rPr>
        <w:t>: TOX_RAT &lt; 300)</w:t>
      </w:r>
      <w:r w:rsidR="00B32235" w:rsidRPr="00BE77B5">
        <w:rPr>
          <w:rFonts w:asciiTheme="majorBidi" w:hAnsiTheme="majorBidi" w:cstheme="majorBidi"/>
          <w:shd w:val="clear" w:color="auto" w:fill="FFFFFF"/>
        </w:rPr>
        <w:t xml:space="preserve">, </w:t>
      </w:r>
      <w:r w:rsidR="00B32235" w:rsidRPr="00BE77B5">
        <w:rPr>
          <w:rFonts w:asciiTheme="majorBidi" w:hAnsiTheme="majorBidi" w:cstheme="majorBidi"/>
          <w:shd w:val="clear" w:color="auto" w:fill="FFFFFF"/>
          <w:lang w:val="en-CA"/>
        </w:rPr>
        <w:t>(</w:t>
      </w:r>
      <w:r w:rsidR="00B32235" w:rsidRPr="00BE77B5">
        <w:rPr>
          <w:rFonts w:asciiTheme="majorBidi" w:hAnsiTheme="majorBidi" w:cstheme="majorBidi"/>
        </w:rPr>
        <w:t xml:space="preserve">carcinogenicity in chronic mouse studies, </w:t>
      </w:r>
      <w:r w:rsidR="00B32235" w:rsidRPr="00BE77B5">
        <w:rPr>
          <w:rFonts w:asciiTheme="majorBidi" w:hAnsiTheme="majorBidi" w:cstheme="majorBidi"/>
          <w:shd w:val="clear" w:color="auto" w:fill="FFFFFF"/>
          <w:lang w:val="en-CA"/>
        </w:rPr>
        <w:t>Xm: Mouse_TD50 &lt; 25) and (</w:t>
      </w:r>
      <w:r w:rsidR="00B32235" w:rsidRPr="00BE77B5">
        <w:rPr>
          <w:rFonts w:asciiTheme="majorBidi" w:hAnsiTheme="majorBidi" w:cstheme="majorBidi"/>
        </w:rPr>
        <w:t>carcinogenicity in chronic rat studies, Xr: Rat_TD50 &lt; 4</w:t>
      </w:r>
      <w:r w:rsidR="00B32235" w:rsidRPr="00BE77B5">
        <w:rPr>
          <w:rFonts w:asciiTheme="majorBidi" w:hAnsiTheme="majorBidi" w:cstheme="majorBidi"/>
          <w:shd w:val="clear" w:color="auto" w:fill="FFFFFF"/>
          <w:lang w:val="en-CA"/>
        </w:rPr>
        <w:t xml:space="preserve">) is considered as high risk. </w:t>
      </w:r>
    </w:p>
    <w:p w14:paraId="6FF4302D" w14:textId="77777777" w:rsidR="00B32235" w:rsidRPr="00BE77B5" w:rsidRDefault="00B76F32" w:rsidP="00B32235">
      <w:pPr>
        <w:rPr>
          <w:rFonts w:asciiTheme="majorBidi" w:hAnsiTheme="majorBidi" w:cstheme="majorBidi"/>
        </w:rPr>
      </w:pPr>
      <w:r w:rsidRPr="002D6D4E">
        <w:rPr>
          <w:rFonts w:asciiTheme="majorBidi" w:hAnsiTheme="majorBidi" w:cstheme="majorBidi"/>
          <w:noProof/>
        </w:rPr>
        <w:object w:dxaOrig="16900" w:dyaOrig="26700" w14:anchorId="3B4CE9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379.5pt;height:599.55pt;mso-width-percent:0;mso-height-percent:0;mso-width-percent:0;mso-height-percent:0" o:ole="">
            <v:imagedata r:id="rId4" o:title=""/>
          </v:shape>
          <o:OLEObject Type="Embed" ProgID="Excel.Sheet.12" ShapeID="_x0000_i1029" DrawAspect="Content" ObjectID="_1681636022" r:id="rId5"/>
        </w:object>
      </w:r>
    </w:p>
    <w:p w14:paraId="05E918E6" w14:textId="084E77BA" w:rsidR="00B32235" w:rsidRPr="00BE77B5" w:rsidRDefault="0093224A" w:rsidP="00B32235">
      <w:pPr>
        <w:pStyle w:val="MDPI41tablecaption"/>
        <w:ind w:left="0" w:hanging="86"/>
        <w:rPr>
          <w:rFonts w:asciiTheme="majorBidi" w:eastAsia="SimSun" w:hAnsiTheme="majorBidi" w:cstheme="majorBidi"/>
        </w:rPr>
      </w:pPr>
      <w:r w:rsidRPr="000D43CF">
        <w:rPr>
          <w:rFonts w:asciiTheme="majorBidi" w:hAnsiTheme="majorBidi" w:cstheme="majorBidi"/>
          <w:b/>
          <w:bCs/>
          <w:lang w:val="en-CA"/>
        </w:rPr>
        <w:lastRenderedPageBreak/>
        <w:t xml:space="preserve">Supplementary Table </w:t>
      </w:r>
      <w:r>
        <w:rPr>
          <w:rFonts w:asciiTheme="majorBidi" w:hAnsiTheme="majorBidi" w:cstheme="majorBidi"/>
          <w:b/>
          <w:bCs/>
          <w:lang w:val="en-CA"/>
        </w:rPr>
        <w:t>2</w:t>
      </w:r>
      <w:r w:rsidRPr="00BE77B5">
        <w:rPr>
          <w:rFonts w:asciiTheme="majorBidi" w:hAnsiTheme="majorBidi" w:cstheme="majorBidi"/>
          <w:b/>
          <w:bCs/>
        </w:rPr>
        <w:t xml:space="preserve">. </w:t>
      </w:r>
      <w:r w:rsidR="00B32235" w:rsidRPr="00BE77B5">
        <w:rPr>
          <w:rFonts w:asciiTheme="majorBidi" w:hAnsiTheme="majorBidi" w:cstheme="majorBidi"/>
        </w:rPr>
        <w:t>Qualitative assessment of mutagenicity of the pure compound in various strains of S. typhimurium and S. typhimurium.</w:t>
      </w:r>
    </w:p>
    <w:p w14:paraId="5A6CEE6B" w14:textId="77777777" w:rsidR="00B32235" w:rsidRPr="00BE77B5" w:rsidRDefault="00B76F32" w:rsidP="00B32235">
      <w:pPr>
        <w:rPr>
          <w:rFonts w:asciiTheme="majorBidi" w:hAnsiTheme="majorBidi" w:cstheme="majorBidi"/>
          <w:lang w:val="en-US"/>
        </w:rPr>
      </w:pPr>
      <w:r w:rsidRPr="002D6D4E">
        <w:rPr>
          <w:rFonts w:asciiTheme="majorBidi" w:hAnsiTheme="majorBidi" w:cstheme="majorBidi"/>
          <w:noProof/>
          <w:lang w:val="en-US"/>
        </w:rPr>
        <w:object w:dxaOrig="23600" w:dyaOrig="19380" w14:anchorId="68FB75EE">
          <v:shape id="_x0000_i1028" type="#_x0000_t75" alt="" style="width:501.3pt;height:411.15pt;mso-width-percent:0;mso-height-percent:0;mso-width-percent:0;mso-height-percent:0" o:ole="">
            <v:imagedata r:id="rId6" o:title=""/>
          </v:shape>
          <o:OLEObject Type="Embed" ProgID="Excel.Sheet.12" ShapeID="_x0000_i1028" DrawAspect="Content" ObjectID="_1681636023" r:id="rId7"/>
        </w:object>
      </w:r>
    </w:p>
    <w:p w14:paraId="200367EC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3DB69589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20938994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5711C051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5F0BBD30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6065CB81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3C3CF160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0904BDBB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15EF57D9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1A09DA0E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06FF03BC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003F0311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0C654665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244A5268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52482D19" w14:textId="77777777" w:rsidR="00B32235" w:rsidRPr="00BE77B5" w:rsidRDefault="00B76F32" w:rsidP="00B32235">
      <w:pPr>
        <w:rPr>
          <w:rFonts w:asciiTheme="majorBidi" w:hAnsiTheme="majorBidi" w:cstheme="majorBidi"/>
          <w:lang w:val="en-US"/>
        </w:rPr>
      </w:pPr>
      <w:r w:rsidRPr="002D6D4E">
        <w:rPr>
          <w:rFonts w:asciiTheme="majorBidi" w:hAnsiTheme="majorBidi" w:cstheme="majorBidi"/>
          <w:noProof/>
          <w:lang w:val="en-US"/>
        </w:rPr>
        <w:object w:dxaOrig="23600" w:dyaOrig="20220" w14:anchorId="12EB69EA">
          <v:shape id="_x0000_i1027" type="#_x0000_t75" alt="" style="width:505.35pt;height:432.65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681636024" r:id="rId9"/>
        </w:object>
      </w:r>
    </w:p>
    <w:p w14:paraId="35F6F40F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5DFDA8AE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673D151E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2D600E0B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59079649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131D43A4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64B8AB3D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1B8E3A00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3A53C8A0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3B446590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49F90B12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722A8F7F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65CFF2CC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75A25918" w14:textId="77777777" w:rsidR="00B32235" w:rsidRPr="00BE77B5" w:rsidRDefault="00B32235" w:rsidP="00B32235">
      <w:pPr>
        <w:rPr>
          <w:rFonts w:asciiTheme="majorBidi" w:hAnsiTheme="majorBidi" w:cstheme="majorBidi"/>
          <w:lang w:val="en-US"/>
        </w:rPr>
      </w:pPr>
    </w:p>
    <w:p w14:paraId="7040D784" w14:textId="138E1A4D" w:rsidR="00B32235" w:rsidRPr="00BE77B5" w:rsidRDefault="00D2510D" w:rsidP="00B32235">
      <w:pPr>
        <w:pStyle w:val="MDPI41tablecaption"/>
        <w:ind w:left="0"/>
        <w:rPr>
          <w:rFonts w:asciiTheme="majorBidi" w:hAnsiTheme="majorBidi" w:cstheme="majorBidi"/>
          <w:b/>
          <w:bCs/>
        </w:rPr>
      </w:pPr>
      <w:r w:rsidRPr="000D43CF">
        <w:rPr>
          <w:rFonts w:asciiTheme="majorBidi" w:hAnsiTheme="majorBidi" w:cstheme="majorBidi"/>
          <w:b/>
          <w:bCs/>
          <w:lang w:val="en-CA"/>
        </w:rPr>
        <w:lastRenderedPageBreak/>
        <w:t xml:space="preserve">Supplementary Table </w:t>
      </w:r>
      <w:r>
        <w:rPr>
          <w:rFonts w:asciiTheme="majorBidi" w:hAnsiTheme="majorBidi" w:cstheme="majorBidi"/>
          <w:b/>
          <w:bCs/>
          <w:lang w:val="en-CA"/>
        </w:rPr>
        <w:t>3</w:t>
      </w:r>
      <w:bookmarkStart w:id="0" w:name="_GoBack"/>
      <w:bookmarkEnd w:id="0"/>
      <w:r w:rsidRPr="00BE77B5">
        <w:rPr>
          <w:rFonts w:asciiTheme="majorBidi" w:hAnsiTheme="majorBidi" w:cstheme="majorBidi"/>
          <w:b/>
          <w:bCs/>
        </w:rPr>
        <w:t xml:space="preserve">. </w:t>
      </w:r>
      <w:r w:rsidR="00B32235" w:rsidRPr="00BE77B5">
        <w:rPr>
          <w:rFonts w:asciiTheme="majorBidi" w:hAnsiTheme="majorBidi" w:cstheme="majorBidi"/>
        </w:rPr>
        <w:t>Probability of metabolism by human uridine 5’-Diphosphate-Glucuronosyltransferases (UGT)</w:t>
      </w:r>
      <w:r w:rsidR="00B32235" w:rsidRPr="00BE77B5">
        <w:rPr>
          <w:rFonts w:asciiTheme="majorBidi" w:hAnsiTheme="majorBidi" w:cstheme="majorBidi"/>
          <w:b/>
          <w:bCs/>
        </w:rPr>
        <w:t xml:space="preserve">. </w:t>
      </w:r>
      <w:r w:rsidR="00B32235" w:rsidRPr="00BE77B5">
        <w:rPr>
          <w:rFonts w:asciiTheme="majorBidi" w:hAnsiTheme="majorBidi" w:cstheme="majorBidi"/>
        </w:rPr>
        <w:t>We labeled Y if a given chemical structure is a substrate for UGT (</w:t>
      </w:r>
      <w:r w:rsidR="00B32235" w:rsidRPr="00BE77B5">
        <w:rPr>
          <w:rFonts w:asciiTheme="majorBidi" w:hAnsiTheme="majorBidi" w:cstheme="majorBidi"/>
          <w:lang w:val="en-CA"/>
        </w:rPr>
        <w:t>1A1, 1A3, 1A6, 1A8, 1A9, 1A10 and 2B15</w:t>
      </w:r>
      <w:r w:rsidR="00B32235" w:rsidRPr="00BE77B5">
        <w:rPr>
          <w:rFonts w:asciiTheme="majorBidi" w:hAnsiTheme="majorBidi" w:cstheme="majorBidi"/>
        </w:rPr>
        <w:t>) isozymes and (N) if it is not a substrate for UGT (</w:t>
      </w:r>
      <w:r w:rsidR="00B32235" w:rsidRPr="00BE77B5">
        <w:rPr>
          <w:rFonts w:asciiTheme="majorBidi" w:hAnsiTheme="majorBidi" w:cstheme="majorBidi"/>
          <w:lang w:val="en-CA"/>
        </w:rPr>
        <w:t>1A1, 1A3, 1A6, 1A8, 1A9, 1A10 and 2B15</w:t>
      </w:r>
      <w:r w:rsidR="00B32235" w:rsidRPr="00BE77B5">
        <w:rPr>
          <w:rFonts w:asciiTheme="majorBidi" w:hAnsiTheme="majorBidi" w:cstheme="majorBidi"/>
        </w:rPr>
        <w:t>) isozymes.</w:t>
      </w:r>
    </w:p>
    <w:p w14:paraId="0298CF14" w14:textId="77777777" w:rsidR="00B32235" w:rsidRPr="00BE77B5" w:rsidRDefault="00B76F32" w:rsidP="00B32235">
      <w:pPr>
        <w:rPr>
          <w:rFonts w:asciiTheme="majorBidi" w:hAnsiTheme="majorBidi" w:cstheme="majorBidi"/>
          <w:lang w:val="en-US"/>
        </w:rPr>
      </w:pPr>
      <w:r w:rsidRPr="002D6D4E">
        <w:rPr>
          <w:rFonts w:asciiTheme="majorBidi" w:hAnsiTheme="majorBidi" w:cstheme="majorBidi"/>
          <w:noProof/>
          <w:lang w:val="en-US"/>
        </w:rPr>
        <w:object w:dxaOrig="15140" w:dyaOrig="20300" w14:anchorId="142226BC">
          <v:shape id="_x0000_i1026" type="#_x0000_t75" alt="" style="width:450.85pt;height:604.95pt;mso-width-percent:0;mso-height-percent:0;mso-width-percent:0;mso-height-percent:0" o:ole="">
            <v:imagedata r:id="rId10" o:title=""/>
          </v:shape>
          <o:OLEObject Type="Embed" ProgID="Excel.Sheet.12" ShapeID="_x0000_i1026" DrawAspect="Content" ObjectID="_1681636025" r:id="rId11"/>
        </w:object>
      </w:r>
    </w:p>
    <w:p w14:paraId="0F64499A" w14:textId="310E0CA1" w:rsidR="00B95A1F" w:rsidRPr="0093224A" w:rsidRDefault="00B76F32" w:rsidP="0093224A">
      <w:pPr>
        <w:rPr>
          <w:rFonts w:asciiTheme="majorBidi" w:hAnsiTheme="majorBidi" w:cstheme="majorBidi"/>
        </w:rPr>
      </w:pPr>
      <w:r w:rsidRPr="002D6D4E">
        <w:rPr>
          <w:rFonts w:asciiTheme="majorBidi" w:hAnsiTheme="majorBidi" w:cstheme="majorBidi"/>
          <w:noProof/>
        </w:rPr>
        <w:object w:dxaOrig="15140" w:dyaOrig="22060" w14:anchorId="52130904">
          <v:shape id="_x0000_i1025" type="#_x0000_t75" alt="" style="width:460.95pt;height:671.55pt;mso-width-percent:0;mso-height-percent:0;mso-width-percent:0;mso-height-percent:0" o:ole="">
            <v:imagedata r:id="rId12" o:title=""/>
          </v:shape>
          <o:OLEObject Type="Embed" ProgID="Excel.Sheet.12" ShapeID="_x0000_i1025" DrawAspect="Content" ObjectID="_1681636026" r:id="rId13"/>
        </w:object>
      </w:r>
    </w:p>
    <w:sectPr w:rsidR="00B95A1F" w:rsidRPr="0093224A" w:rsidSect="00BB44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235"/>
    <w:rsid w:val="0093224A"/>
    <w:rsid w:val="00B32235"/>
    <w:rsid w:val="00B76F32"/>
    <w:rsid w:val="00BB447A"/>
    <w:rsid w:val="00D2510D"/>
    <w:rsid w:val="00EC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E670C"/>
  <w15:chartTrackingRefBased/>
  <w15:docId w15:val="{AB81B883-8C63-CD49-9E59-9DA5C1A3A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223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B32235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145</Words>
  <Characters>838</Characters>
  <Application>Microsoft Office Word</Application>
  <DocSecurity>0</DocSecurity>
  <Lines>14</Lines>
  <Paragraphs>4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2021-05-04T17:08:00Z</dcterms:created>
  <dcterms:modified xsi:type="dcterms:W3CDTF">2021-05-04T17:17:00Z</dcterms:modified>
</cp:coreProperties>
</file>