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17A1" w:rsidRDefault="00D317A1" w:rsidP="00D317A1">
      <w:pPr>
        <w:pStyle w:val="MDPI41tablecaption"/>
        <w:ind w:left="0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b/>
        </w:rPr>
        <w:t xml:space="preserve">Table 1. </w:t>
      </w:r>
      <w:r>
        <w:rPr>
          <w:rFonts w:asciiTheme="majorBidi" w:hAnsiTheme="majorBidi" w:cstheme="majorBidi"/>
        </w:rPr>
        <w:t xml:space="preserve">Predicted toxicities and toxicity risk for 90 compounds performed by ADMET predictor software. ADMET predictor identifier of each toxicity is mentioned in the parenthesis (See abbreviation list). In particular, </w:t>
      </w:r>
      <w:proofErr w:type="spellStart"/>
      <w:r>
        <w:rPr>
          <w:rFonts w:asciiTheme="majorBidi" w:hAnsiTheme="majorBidi" w:cstheme="majorBidi"/>
        </w:rPr>
        <w:t>Tox_hERG_Filter</w:t>
      </w:r>
      <w:proofErr w:type="spellEnd"/>
      <w:r>
        <w:rPr>
          <w:rFonts w:asciiTheme="majorBidi" w:hAnsiTheme="majorBidi" w:cstheme="majorBidi"/>
        </w:rPr>
        <w:t xml:space="preserve"> is a qualitative estimation of the affinity to the </w:t>
      </w:r>
      <w:proofErr w:type="spellStart"/>
      <w:r>
        <w:rPr>
          <w:rFonts w:asciiTheme="majorBidi" w:hAnsiTheme="majorBidi" w:cstheme="majorBidi"/>
        </w:rPr>
        <w:t>hERG</w:t>
      </w:r>
      <w:proofErr w:type="spellEnd"/>
      <w:r>
        <w:rPr>
          <w:rFonts w:asciiTheme="majorBidi" w:hAnsiTheme="majorBidi" w:cstheme="majorBidi"/>
        </w:rPr>
        <w:t xml:space="preserve"> potassium channel in human and </w:t>
      </w:r>
      <w:proofErr w:type="spellStart"/>
      <w:r>
        <w:rPr>
          <w:rFonts w:asciiTheme="majorBidi" w:hAnsiTheme="majorBidi" w:cstheme="majorBidi"/>
        </w:rPr>
        <w:t>Tox_hERG</w:t>
      </w:r>
      <w:proofErr w:type="spellEnd"/>
      <w:r>
        <w:rPr>
          <w:rFonts w:asciiTheme="majorBidi" w:hAnsiTheme="majorBidi" w:cstheme="majorBidi"/>
        </w:rPr>
        <w:t xml:space="preserve"> is the affinity to the </w:t>
      </w:r>
      <w:proofErr w:type="spellStart"/>
      <w:r>
        <w:rPr>
          <w:rFonts w:asciiTheme="majorBidi" w:hAnsiTheme="majorBidi" w:cstheme="majorBidi"/>
        </w:rPr>
        <w:t>hERG</w:t>
      </w:r>
      <w:proofErr w:type="spellEnd"/>
      <w:r>
        <w:rPr>
          <w:rFonts w:asciiTheme="majorBidi" w:hAnsiTheme="majorBidi" w:cstheme="majorBidi"/>
        </w:rPr>
        <w:t xml:space="preserve"> potassium channel in human expressed as pIC50 in </w:t>
      </w:r>
      <w:proofErr w:type="spellStart"/>
      <w:r>
        <w:rPr>
          <w:rFonts w:asciiTheme="majorBidi" w:hAnsiTheme="majorBidi" w:cstheme="majorBidi"/>
        </w:rPr>
        <w:t>mol</w:t>
      </w:r>
      <w:proofErr w:type="spellEnd"/>
      <w:r>
        <w:rPr>
          <w:rFonts w:asciiTheme="majorBidi" w:hAnsiTheme="majorBidi" w:cstheme="majorBidi"/>
        </w:rPr>
        <w:t xml:space="preserve">/L. Compounds with an IC50 less than or equal to 10μmol/L were labeled Toxic (T, red), while those greater than 10μmol/L are considered (NT, green). Human liver adverse effect (the likelihood of causing elevation in the levels of </w:t>
      </w:r>
      <w:proofErr w:type="spellStart"/>
      <w:r>
        <w:rPr>
          <w:rFonts w:asciiTheme="majorBidi" w:hAnsiTheme="majorBidi" w:cstheme="majorBidi"/>
        </w:rPr>
        <w:t>AlkPhos</w:t>
      </w:r>
      <w:proofErr w:type="spellEnd"/>
      <w:r>
        <w:rPr>
          <w:rFonts w:asciiTheme="majorBidi" w:hAnsiTheme="majorBidi" w:cstheme="majorBidi"/>
        </w:rPr>
        <w:t xml:space="preserve">, GGT, LDH, AST </w:t>
      </w:r>
      <w:proofErr w:type="spellStart"/>
      <w:r>
        <w:rPr>
          <w:rFonts w:asciiTheme="majorBidi" w:hAnsiTheme="majorBidi" w:cstheme="majorBidi"/>
        </w:rPr>
        <w:t>amd</w:t>
      </w:r>
      <w:proofErr w:type="spellEnd"/>
      <w:r>
        <w:rPr>
          <w:rFonts w:asciiTheme="majorBidi" w:hAnsiTheme="majorBidi" w:cstheme="majorBidi"/>
        </w:rPr>
        <w:t xml:space="preserve"> ALT enzymes) is also summarized in hepatotoxicity section and color coded as EL (Elevated, red), NL (Normal, green). Other toxicity assessments are mentioned in Skin sensitivity, Respiratory sensitivity, Reproductive toxicity, </w:t>
      </w:r>
      <w:proofErr w:type="spellStart"/>
      <w:r>
        <w:rPr>
          <w:rFonts w:asciiTheme="majorBidi" w:hAnsiTheme="majorBidi" w:cstheme="majorBidi"/>
        </w:rPr>
        <w:t>Phospholipidosis</w:t>
      </w:r>
      <w:proofErr w:type="spellEnd"/>
      <w:r>
        <w:rPr>
          <w:rFonts w:asciiTheme="majorBidi" w:hAnsiTheme="majorBidi" w:cstheme="majorBidi"/>
        </w:rPr>
        <w:t xml:space="preserve">, Chromosome aberration, Estrogen and </w:t>
      </w:r>
      <w:proofErr w:type="spellStart"/>
      <w:r>
        <w:rPr>
          <w:rFonts w:asciiTheme="majorBidi" w:hAnsiTheme="majorBidi" w:cstheme="majorBidi"/>
        </w:rPr>
        <w:t>AndrogenToxicity</w:t>
      </w:r>
      <w:proofErr w:type="spellEnd"/>
      <w:r>
        <w:rPr>
          <w:rFonts w:asciiTheme="majorBidi" w:hAnsiTheme="majorBidi" w:cstheme="majorBidi"/>
        </w:rPr>
        <w:t xml:space="preserve"> and </w:t>
      </w:r>
      <w:proofErr w:type="spellStart"/>
      <w:r>
        <w:rPr>
          <w:rFonts w:asciiTheme="majorBidi" w:hAnsiTheme="majorBidi" w:cstheme="majorBidi"/>
        </w:rPr>
        <w:t>Max_RTD</w:t>
      </w:r>
      <w:proofErr w:type="spellEnd"/>
      <w:r>
        <w:rPr>
          <w:rFonts w:asciiTheme="majorBidi" w:hAnsiTheme="majorBidi" w:cstheme="majorBidi"/>
        </w:rPr>
        <w:t xml:space="preserve"> (</w:t>
      </w:r>
      <w:r>
        <w:rPr>
          <w:rFonts w:asciiTheme="majorBidi" w:hAnsiTheme="majorBidi" w:cstheme="majorBidi"/>
          <w:lang w:val="en-CA"/>
        </w:rPr>
        <w:t xml:space="preserve">Maximum Recommended Therapeutic Dose). The abbreviations used are </w:t>
      </w:r>
      <w:proofErr w:type="spellStart"/>
      <w:r>
        <w:rPr>
          <w:rFonts w:asciiTheme="majorBidi" w:hAnsiTheme="majorBidi" w:cstheme="majorBidi"/>
        </w:rPr>
        <w:t>Nonsensitive</w:t>
      </w:r>
      <w:proofErr w:type="spellEnd"/>
      <w:r>
        <w:rPr>
          <w:rFonts w:asciiTheme="majorBidi" w:hAnsiTheme="majorBidi" w:cstheme="majorBidi"/>
        </w:rPr>
        <w:t xml:space="preserve"> (NS, green), Sensitive (S, red), </w:t>
      </w:r>
      <w:proofErr w:type="gramStart"/>
      <w:r>
        <w:rPr>
          <w:rFonts w:asciiTheme="majorBidi" w:hAnsiTheme="majorBidi" w:cstheme="majorBidi"/>
        </w:rPr>
        <w:t>EL(</w:t>
      </w:r>
      <w:proofErr w:type="gramEnd"/>
      <w:r>
        <w:rPr>
          <w:rFonts w:asciiTheme="majorBidi" w:hAnsiTheme="majorBidi" w:cstheme="majorBidi"/>
        </w:rPr>
        <w:t>Elevated, red), NL(Normal, green), T(Toxic) and NT(Nontoxic).</w:t>
      </w:r>
      <w:r>
        <w:rPr>
          <w:rFonts w:asciiTheme="majorBidi" w:hAnsiTheme="majorBidi" w:cstheme="majorBidi"/>
          <w:lang w:val="en-CA"/>
        </w:rPr>
        <w:t xml:space="preserve"> </w:t>
      </w:r>
      <w:r>
        <w:rPr>
          <w:rFonts w:asciiTheme="majorBidi" w:hAnsiTheme="majorBidi" w:cstheme="majorBidi"/>
        </w:rPr>
        <w:t xml:space="preserve">Toxicity risk (possible range 0-7) is the risk connected with predicted toxicity </w:t>
      </w:r>
      <w:bookmarkStart w:id="0" w:name="_GoBack"/>
      <w:bookmarkEnd w:id="0"/>
      <w:r>
        <w:rPr>
          <w:rFonts w:asciiTheme="majorBidi" w:hAnsiTheme="majorBidi" w:cstheme="majorBidi"/>
        </w:rPr>
        <w:t xml:space="preserve">problems a compound might have. Toxicity risk less than 2 is considered as safe (green). </w:t>
      </w:r>
      <w:r>
        <w:rPr>
          <w:rFonts w:asciiTheme="majorBidi" w:hAnsiTheme="majorBidi" w:cstheme="majorBidi"/>
          <w:lang w:val="en-CA"/>
        </w:rPr>
        <w:t xml:space="preserve">Check rules and abbreviations for </w:t>
      </w:r>
      <w:proofErr w:type="spellStart"/>
      <w:r>
        <w:rPr>
          <w:rFonts w:asciiTheme="majorBidi" w:hAnsiTheme="majorBidi" w:cstheme="majorBidi"/>
          <w:lang w:val="en-CA"/>
        </w:rPr>
        <w:t>TOX_Risk</w:t>
      </w:r>
      <w:proofErr w:type="spellEnd"/>
      <w:r>
        <w:rPr>
          <w:rFonts w:asciiTheme="majorBidi" w:hAnsiTheme="majorBidi" w:cstheme="majorBidi"/>
          <w:lang w:val="en-CA"/>
        </w:rPr>
        <w:t xml:space="preserve"> and </w:t>
      </w:r>
      <w:proofErr w:type="spellStart"/>
      <w:r>
        <w:rPr>
          <w:rFonts w:asciiTheme="majorBidi" w:hAnsiTheme="majorBidi" w:cstheme="majorBidi"/>
          <w:lang w:val="en-CA"/>
        </w:rPr>
        <w:t>ToX_Code</w:t>
      </w:r>
      <w:proofErr w:type="spellEnd"/>
      <w:r>
        <w:rPr>
          <w:rFonts w:asciiTheme="majorBidi" w:hAnsiTheme="majorBidi" w:cstheme="majorBidi"/>
          <w:lang w:val="en-CA"/>
        </w:rPr>
        <w:t xml:space="preserve"> in risk section for the codes.</w:t>
      </w:r>
      <w:r>
        <w:rPr>
          <w:rFonts w:asciiTheme="majorBidi" w:hAnsiTheme="majorBidi" w:cstheme="majorBidi"/>
        </w:rPr>
        <w:t xml:space="preserve"> MV stands for MISSING_VALUE in ADMET predictor and color coded in yellow. </w:t>
      </w:r>
      <w:r>
        <w:rPr>
          <w:rFonts w:asciiTheme="majorBidi" w:hAnsiTheme="majorBidi" w:cstheme="majorBidi"/>
          <w:noProof/>
        </w:rPr>
        <w:object w:dxaOrig="10275" w:dyaOrig="943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513.4pt;height:471.9pt;mso-width-percent:0;mso-height-percent:0;mso-width-percent:0;mso-height-percent:0" o:ole="">
            <v:imagedata r:id="rId4" o:title=""/>
          </v:shape>
          <o:OLEObject Type="Embed" ProgID="Excel.Sheet.12" ShapeID="_x0000_i1025" DrawAspect="Content" ObjectID="_1683113514" r:id="rId5"/>
        </w:object>
      </w:r>
    </w:p>
    <w:p w:rsidR="00D317A1" w:rsidRDefault="00D317A1" w:rsidP="00D317A1">
      <w:pPr>
        <w:rPr>
          <w:rFonts w:asciiTheme="majorBidi" w:hAnsiTheme="majorBidi" w:cstheme="majorBidi"/>
          <w:lang w:val="en-US"/>
        </w:rPr>
      </w:pPr>
    </w:p>
    <w:p w:rsidR="00D317A1" w:rsidRDefault="00D317A1" w:rsidP="00D317A1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  <w:noProof/>
        </w:rPr>
        <w:object w:dxaOrig="10380" w:dyaOrig="10650">
          <v:shape id="_x0000_i1026" type="#_x0000_t75" alt="" style="width:518.85pt;height:532.15pt;mso-width-percent:0;mso-height-percent:0;mso-width-percent:0;mso-height-percent:0" o:ole="">
            <v:imagedata r:id="rId6" o:title=""/>
          </v:shape>
          <o:OLEObject Type="Embed" ProgID="Excel.Sheet.12" ShapeID="_x0000_i1026" DrawAspect="Content" ObjectID="_1683113515" r:id="rId7"/>
        </w:object>
      </w:r>
    </w:p>
    <w:p w:rsidR="00D317A1" w:rsidRDefault="00D317A1" w:rsidP="00D317A1">
      <w:pPr>
        <w:rPr>
          <w:rFonts w:asciiTheme="majorBidi" w:hAnsiTheme="majorBidi" w:cstheme="majorBidi"/>
        </w:rPr>
      </w:pPr>
    </w:p>
    <w:p w:rsidR="00D317A1" w:rsidRDefault="00D317A1" w:rsidP="00D317A1">
      <w:pPr>
        <w:rPr>
          <w:rFonts w:asciiTheme="majorBidi" w:hAnsiTheme="majorBidi" w:cstheme="majorBidi"/>
        </w:rPr>
      </w:pPr>
    </w:p>
    <w:p w:rsidR="00D317A1" w:rsidRDefault="00D317A1" w:rsidP="00D317A1">
      <w:pPr>
        <w:rPr>
          <w:rFonts w:asciiTheme="majorBidi" w:hAnsiTheme="majorBidi" w:cstheme="majorBidi"/>
        </w:rPr>
      </w:pPr>
    </w:p>
    <w:p w:rsidR="00D317A1" w:rsidRDefault="00D317A1" w:rsidP="00D317A1">
      <w:pPr>
        <w:rPr>
          <w:rFonts w:asciiTheme="majorBidi" w:hAnsiTheme="majorBidi" w:cstheme="majorBidi"/>
        </w:rPr>
      </w:pPr>
    </w:p>
    <w:p w:rsidR="00D317A1" w:rsidRDefault="00D317A1" w:rsidP="00D317A1">
      <w:pPr>
        <w:rPr>
          <w:rFonts w:asciiTheme="majorBidi" w:hAnsiTheme="majorBidi" w:cstheme="majorBidi"/>
        </w:rPr>
      </w:pPr>
    </w:p>
    <w:p w:rsidR="00D317A1" w:rsidRDefault="00D317A1" w:rsidP="00D317A1">
      <w:pPr>
        <w:rPr>
          <w:rFonts w:asciiTheme="majorBidi" w:hAnsiTheme="majorBidi" w:cstheme="majorBidi"/>
        </w:rPr>
      </w:pPr>
    </w:p>
    <w:p w:rsidR="00D317A1" w:rsidRDefault="00D317A1" w:rsidP="00D317A1">
      <w:pPr>
        <w:pStyle w:val="MDPI41tablecaption"/>
        <w:ind w:left="142"/>
        <w:jc w:val="both"/>
        <w:rPr>
          <w:rFonts w:asciiTheme="majorBidi" w:hAnsiTheme="majorBidi" w:cstheme="majorBidi"/>
          <w:lang w:val="en-CA"/>
        </w:rPr>
      </w:pPr>
      <w:r>
        <w:rPr>
          <w:rFonts w:asciiTheme="majorBidi" w:hAnsiTheme="majorBidi" w:cstheme="majorBidi"/>
          <w:b/>
          <w:bCs/>
        </w:rPr>
        <w:t>Table 2.</w:t>
      </w:r>
      <w:r>
        <w:rPr>
          <w:rFonts w:asciiTheme="majorBidi" w:hAnsiTheme="majorBidi" w:cstheme="majorBidi"/>
        </w:rPr>
        <w:t xml:space="preserve"> ADMET Risk and ADMET Code for toxic liability, mutagenicity in S. </w:t>
      </w:r>
      <w:proofErr w:type="spellStart"/>
      <w:r>
        <w:rPr>
          <w:rFonts w:asciiTheme="majorBidi" w:hAnsiTheme="majorBidi" w:cstheme="majorBidi"/>
        </w:rPr>
        <w:t>typhimurium</w:t>
      </w:r>
      <w:proofErr w:type="spellEnd"/>
      <w:r>
        <w:rPr>
          <w:rFonts w:asciiTheme="majorBidi" w:hAnsiTheme="majorBidi" w:cstheme="majorBidi"/>
        </w:rPr>
        <w:t xml:space="preserve"> liability, metabolic liability, and the global ADMET Risk and ADMET Code summarizing all other ADMET Risk/Code models. </w:t>
      </w:r>
      <w:proofErr w:type="spellStart"/>
      <w:r>
        <w:rPr>
          <w:rFonts w:asciiTheme="majorBidi" w:hAnsiTheme="majorBidi" w:cstheme="majorBidi"/>
        </w:rPr>
        <w:t>TOX_Risk</w:t>
      </w:r>
      <w:proofErr w:type="spellEnd"/>
      <w:r>
        <w:rPr>
          <w:rFonts w:asciiTheme="majorBidi" w:hAnsiTheme="majorBidi" w:cstheme="majorBidi"/>
        </w:rPr>
        <w:t xml:space="preserve"> (possible range 0-7) </w:t>
      </w:r>
      <w:r>
        <w:rPr>
          <w:rFonts w:asciiTheme="majorBidi" w:hAnsiTheme="majorBidi" w:cstheme="majorBidi"/>
        </w:rPr>
        <w:lastRenderedPageBreak/>
        <w:t xml:space="preserve">and </w:t>
      </w:r>
      <w:proofErr w:type="spellStart"/>
      <w:r>
        <w:rPr>
          <w:rFonts w:asciiTheme="majorBidi" w:hAnsiTheme="majorBidi" w:cstheme="majorBidi"/>
        </w:rPr>
        <w:t>TOX_MUT_Risk</w:t>
      </w:r>
      <w:proofErr w:type="spellEnd"/>
      <w:r>
        <w:rPr>
          <w:rFonts w:asciiTheme="majorBidi" w:hAnsiTheme="majorBidi" w:cstheme="majorBidi"/>
        </w:rPr>
        <w:t xml:space="preserve"> (possible range 0-11). </w:t>
      </w:r>
      <w:r>
        <w:rPr>
          <w:rFonts w:asciiTheme="majorBidi" w:hAnsiTheme="majorBidi" w:cstheme="majorBidi"/>
          <w:lang w:val="en-CA"/>
        </w:rPr>
        <w:t xml:space="preserve">Check codes, rules and abbreviations for </w:t>
      </w:r>
      <w:r>
        <w:rPr>
          <w:rFonts w:asciiTheme="majorBidi" w:hAnsiTheme="majorBidi" w:cstheme="majorBidi"/>
        </w:rPr>
        <w:t>in risk section. The high risk values were highlighted with red (</w:t>
      </w:r>
      <w:proofErr w:type="spellStart"/>
      <w:r>
        <w:rPr>
          <w:rFonts w:asciiTheme="majorBidi" w:hAnsiTheme="majorBidi" w:cstheme="majorBidi"/>
        </w:rPr>
        <w:t>TOX_Risk</w:t>
      </w:r>
      <w:proofErr w:type="spellEnd"/>
      <w:r>
        <w:rPr>
          <w:rFonts w:asciiTheme="majorBidi" w:hAnsiTheme="majorBidi" w:cstheme="majorBidi"/>
        </w:rPr>
        <w:t xml:space="preserve">&gt; 2, </w:t>
      </w:r>
      <w:proofErr w:type="spellStart"/>
      <w:r>
        <w:rPr>
          <w:rFonts w:asciiTheme="majorBidi" w:eastAsia="SimSun" w:hAnsiTheme="majorBidi" w:cstheme="majorBidi"/>
        </w:rPr>
        <w:t>CYP_Risk</w:t>
      </w:r>
      <w:proofErr w:type="spellEnd"/>
      <w:r>
        <w:rPr>
          <w:rFonts w:asciiTheme="majorBidi" w:eastAsia="SimSun" w:hAnsiTheme="majorBidi" w:cstheme="majorBidi"/>
        </w:rPr>
        <w:t xml:space="preserve"> &gt; 2, </w:t>
      </w:r>
      <w:proofErr w:type="spellStart"/>
      <w:r>
        <w:rPr>
          <w:rFonts w:asciiTheme="majorBidi" w:eastAsia="SimSun" w:hAnsiTheme="majorBidi" w:cstheme="majorBidi"/>
        </w:rPr>
        <w:t>MUT_Risk</w:t>
      </w:r>
      <w:proofErr w:type="spellEnd"/>
      <w:r>
        <w:rPr>
          <w:rFonts w:asciiTheme="majorBidi" w:eastAsia="SimSun" w:hAnsiTheme="majorBidi" w:cstheme="majorBidi"/>
        </w:rPr>
        <w:t xml:space="preserve"> &gt; 2 and </w:t>
      </w:r>
      <w:proofErr w:type="spellStart"/>
      <w:r>
        <w:rPr>
          <w:rFonts w:asciiTheme="majorBidi" w:eastAsia="SimSun" w:hAnsiTheme="majorBidi" w:cstheme="majorBidi"/>
        </w:rPr>
        <w:t>ADMET_Risk</w:t>
      </w:r>
      <w:proofErr w:type="spellEnd"/>
      <w:r>
        <w:rPr>
          <w:rFonts w:asciiTheme="majorBidi" w:eastAsia="SimSun" w:hAnsiTheme="majorBidi" w:cstheme="majorBidi"/>
        </w:rPr>
        <w:t xml:space="preserve"> &gt; 3), while the acceptable values are highlighted with green. </w:t>
      </w:r>
      <w:r>
        <w:rPr>
          <w:rFonts w:asciiTheme="majorBidi" w:hAnsiTheme="majorBidi" w:cstheme="majorBidi"/>
        </w:rPr>
        <w:t>MV stands for MISSING_VALUE in ADMET predictor and color coded with yellow.</w:t>
      </w:r>
    </w:p>
    <w:p w:rsidR="00D317A1" w:rsidRDefault="00D317A1" w:rsidP="00D317A1">
      <w:pPr>
        <w:rPr>
          <w:rFonts w:asciiTheme="majorBidi" w:hAnsiTheme="majorBidi" w:cstheme="majorBidi"/>
        </w:rPr>
      </w:pPr>
    </w:p>
    <w:p w:rsidR="00D317A1" w:rsidRDefault="00D317A1" w:rsidP="00D317A1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  <w:noProof/>
        </w:rPr>
        <w:object w:dxaOrig="9180" w:dyaOrig="10740">
          <v:shape id="_x0000_i1027" type="#_x0000_t75" alt="" style="width:459.4pt;height:536.85pt;mso-width-percent:0;mso-height-percent:0;mso-width-percent:0;mso-height-percent:0" o:ole="">
            <v:imagedata r:id="rId8" o:title=""/>
          </v:shape>
          <o:OLEObject Type="Embed" ProgID="Excel.Sheet.12" ShapeID="_x0000_i1027" DrawAspect="Content" ObjectID="_1683113516" r:id="rId9"/>
        </w:object>
      </w:r>
    </w:p>
    <w:p w:rsidR="00D317A1" w:rsidRDefault="00D317A1" w:rsidP="00D317A1">
      <w:pPr>
        <w:rPr>
          <w:rFonts w:asciiTheme="majorBidi" w:hAnsiTheme="majorBidi" w:cstheme="majorBidi"/>
        </w:rPr>
      </w:pPr>
    </w:p>
    <w:p w:rsidR="00D317A1" w:rsidRDefault="00D317A1" w:rsidP="00D317A1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  <w:noProof/>
        </w:rPr>
        <w:object w:dxaOrig="9450" w:dyaOrig="11865">
          <v:shape id="_x0000_i1028" type="#_x0000_t75" alt="" style="width:472.7pt;height:593.2pt;mso-width-percent:0;mso-height-percent:0;mso-width-percent:0;mso-height-percent:0" o:ole="">
            <v:imagedata r:id="rId10" o:title=""/>
          </v:shape>
          <o:OLEObject Type="Embed" ProgID="Excel.Sheet.12" ShapeID="_x0000_i1028" DrawAspect="Content" ObjectID="_1683113517" r:id="rId11"/>
        </w:object>
      </w:r>
    </w:p>
    <w:p w:rsidR="00D317A1" w:rsidRDefault="00D317A1" w:rsidP="00D317A1">
      <w:pPr>
        <w:rPr>
          <w:rFonts w:asciiTheme="majorBidi" w:hAnsiTheme="majorBidi" w:cstheme="majorBidi"/>
        </w:rPr>
      </w:pPr>
    </w:p>
    <w:p w:rsidR="00D317A1" w:rsidRDefault="00D317A1" w:rsidP="00D317A1">
      <w:pPr>
        <w:rPr>
          <w:rFonts w:asciiTheme="majorBidi" w:hAnsiTheme="majorBidi" w:cstheme="majorBidi"/>
        </w:rPr>
      </w:pPr>
    </w:p>
    <w:p w:rsidR="00D317A1" w:rsidRDefault="00D317A1" w:rsidP="00D317A1">
      <w:pPr>
        <w:rPr>
          <w:rFonts w:asciiTheme="majorBidi" w:hAnsiTheme="majorBidi" w:cstheme="majorBidi"/>
        </w:rPr>
      </w:pPr>
    </w:p>
    <w:p w:rsidR="00D317A1" w:rsidRDefault="00D317A1" w:rsidP="00D317A1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  <w:noProof/>
        </w:rPr>
        <w:object w:dxaOrig="9720" w:dyaOrig="11580">
          <v:shape id="_x0000_i1029" type="#_x0000_t75" alt="" style="width:486pt;height:579.15pt;mso-width-percent:0;mso-height-percent:0;mso-width-percent:0;mso-height-percent:0" o:ole="">
            <v:imagedata r:id="rId12" o:title=""/>
          </v:shape>
          <o:OLEObject Type="Embed" ProgID="Excel.Sheet.12" ShapeID="_x0000_i1029" DrawAspect="Content" ObjectID="_1683113518" r:id="rId13"/>
        </w:object>
      </w:r>
    </w:p>
    <w:p w:rsidR="00D317A1" w:rsidRDefault="00D317A1" w:rsidP="00D317A1">
      <w:pPr>
        <w:rPr>
          <w:rFonts w:asciiTheme="majorBidi" w:hAnsiTheme="majorBidi" w:cstheme="majorBidi"/>
        </w:rPr>
      </w:pPr>
    </w:p>
    <w:p w:rsidR="00D317A1" w:rsidRDefault="00D317A1" w:rsidP="00D317A1">
      <w:pPr>
        <w:rPr>
          <w:rFonts w:asciiTheme="majorBidi" w:hAnsiTheme="majorBidi" w:cstheme="majorBidi"/>
        </w:rPr>
      </w:pPr>
    </w:p>
    <w:p w:rsidR="00D317A1" w:rsidRDefault="00D317A1" w:rsidP="00D317A1">
      <w:pPr>
        <w:rPr>
          <w:rFonts w:asciiTheme="majorBidi" w:hAnsiTheme="majorBidi" w:cstheme="majorBidi"/>
        </w:rPr>
      </w:pPr>
    </w:p>
    <w:p w:rsidR="00D317A1" w:rsidRDefault="00D317A1" w:rsidP="00D317A1">
      <w:pPr>
        <w:rPr>
          <w:rFonts w:asciiTheme="majorBidi" w:hAnsiTheme="majorBidi" w:cstheme="majorBidi"/>
        </w:rPr>
      </w:pPr>
    </w:p>
    <w:p w:rsidR="00D317A1" w:rsidRDefault="00D317A1" w:rsidP="00D317A1">
      <w:pPr>
        <w:rPr>
          <w:rFonts w:asciiTheme="majorBidi" w:hAnsiTheme="majorBidi" w:cstheme="majorBidi"/>
          <w:color w:val="000000"/>
          <w:sz w:val="18"/>
          <w:szCs w:val="22"/>
          <w:lang w:val="en-US" w:eastAsia="de-DE" w:bidi="en-US"/>
        </w:rPr>
      </w:pPr>
      <w:r>
        <w:rPr>
          <w:rFonts w:asciiTheme="majorBidi" w:hAnsiTheme="majorBidi" w:cstheme="majorBidi"/>
          <w:b/>
          <w:bCs/>
          <w:color w:val="000000"/>
          <w:sz w:val="18"/>
          <w:szCs w:val="22"/>
          <w:lang w:val="en-US" w:eastAsia="de-DE" w:bidi="en-US"/>
        </w:rPr>
        <w:lastRenderedPageBreak/>
        <w:t>Table 3.</w:t>
      </w:r>
      <w:r>
        <w:rPr>
          <w:rFonts w:asciiTheme="majorBidi" w:hAnsiTheme="majorBidi" w:cstheme="majorBidi"/>
          <w:color w:val="000000"/>
          <w:sz w:val="18"/>
          <w:szCs w:val="22"/>
          <w:lang w:val="en-US" w:eastAsia="de-DE" w:bidi="en-US"/>
        </w:rPr>
        <w:t xml:space="preserve"> Block1: Substrate Classification Models for Cytochrome P450 1A2, 2C9, 2C19, 2D6, and 3A4. Block 2: Inhibition models for cytochrome P450 1A2, 2C9, 2C19, 2D6, and 3A4 (qualitative </w:t>
      </w:r>
      <w:proofErr w:type="spellStart"/>
      <w:r>
        <w:rPr>
          <w:rFonts w:asciiTheme="majorBidi" w:hAnsiTheme="majorBidi" w:cstheme="majorBidi"/>
          <w:color w:val="000000"/>
          <w:sz w:val="18"/>
          <w:szCs w:val="22"/>
          <w:lang w:val="en-US" w:eastAsia="de-DE" w:bidi="en-US"/>
        </w:rPr>
        <w:t>es-timation</w:t>
      </w:r>
      <w:proofErr w:type="spellEnd"/>
      <w:r>
        <w:rPr>
          <w:rFonts w:asciiTheme="majorBidi" w:hAnsiTheme="majorBidi" w:cstheme="majorBidi"/>
          <w:color w:val="000000"/>
          <w:sz w:val="18"/>
          <w:szCs w:val="22"/>
          <w:lang w:val="en-US" w:eastAsia="de-DE" w:bidi="en-US"/>
        </w:rPr>
        <w:t xml:space="preserve">), as well as a specific inhibition of the CYP 3A4-mediated metabolism of midazolam and testosterone. We labeled Y if a given chemical structure is a substrate for P450 isozymes and (N) if it is not a substrate for P450 isozymes. ADMET Risk and ADMET Code for metabolic liability are </w:t>
      </w:r>
      <w:proofErr w:type="spellStart"/>
      <w:r>
        <w:rPr>
          <w:rFonts w:asciiTheme="majorBidi" w:hAnsiTheme="majorBidi" w:cstheme="majorBidi"/>
          <w:color w:val="000000"/>
          <w:sz w:val="18"/>
          <w:szCs w:val="22"/>
          <w:lang w:val="en-US" w:eastAsia="de-DE" w:bidi="en-US"/>
        </w:rPr>
        <w:t>CYP_risk</w:t>
      </w:r>
      <w:proofErr w:type="spellEnd"/>
      <w:r>
        <w:rPr>
          <w:rFonts w:asciiTheme="majorBidi" w:hAnsiTheme="majorBidi" w:cstheme="majorBidi"/>
          <w:color w:val="000000"/>
          <w:sz w:val="18"/>
          <w:szCs w:val="22"/>
          <w:lang w:val="en-US" w:eastAsia="de-DE" w:bidi="en-US"/>
        </w:rPr>
        <w:t xml:space="preserve"> and </w:t>
      </w:r>
      <w:proofErr w:type="spellStart"/>
      <w:r>
        <w:rPr>
          <w:rFonts w:asciiTheme="majorBidi" w:hAnsiTheme="majorBidi" w:cstheme="majorBidi"/>
          <w:color w:val="000000"/>
          <w:sz w:val="18"/>
          <w:szCs w:val="22"/>
          <w:lang w:val="en-US" w:eastAsia="de-DE" w:bidi="en-US"/>
        </w:rPr>
        <w:t>CYP_code</w:t>
      </w:r>
      <w:proofErr w:type="spellEnd"/>
      <w:r>
        <w:rPr>
          <w:rFonts w:asciiTheme="majorBidi" w:hAnsiTheme="majorBidi" w:cstheme="majorBidi"/>
          <w:color w:val="000000"/>
          <w:sz w:val="18"/>
          <w:szCs w:val="22"/>
          <w:lang w:val="en-US" w:eastAsia="de-DE" w:bidi="en-US"/>
        </w:rPr>
        <w:t xml:space="preserve">, respectively. Metabolic risk greater than 2 is highlighted with red, while the acceptable values are highlighted with green. </w:t>
      </w:r>
      <w:proofErr w:type="spellStart"/>
      <w:r>
        <w:rPr>
          <w:rFonts w:asciiTheme="majorBidi" w:hAnsiTheme="majorBidi" w:cstheme="majorBidi"/>
          <w:color w:val="000000"/>
          <w:sz w:val="18"/>
          <w:szCs w:val="22"/>
          <w:lang w:val="en-US" w:eastAsia="de-DE" w:bidi="en-US"/>
        </w:rPr>
        <w:t>Cyp</w:t>
      </w:r>
      <w:proofErr w:type="spellEnd"/>
      <w:r>
        <w:rPr>
          <w:rFonts w:asciiTheme="majorBidi" w:hAnsiTheme="majorBidi" w:cstheme="majorBidi"/>
          <w:color w:val="000000"/>
          <w:sz w:val="18"/>
          <w:szCs w:val="22"/>
          <w:lang w:val="en-US" w:eastAsia="de-DE" w:bidi="en-US"/>
        </w:rPr>
        <w:t xml:space="preserve"> risk rules and codes are described in risk section. </w:t>
      </w:r>
    </w:p>
    <w:p w:rsidR="00D317A1" w:rsidRDefault="00D317A1" w:rsidP="00D317A1">
      <w:pPr>
        <w:rPr>
          <w:rFonts w:asciiTheme="majorBidi" w:hAnsiTheme="majorBidi" w:cstheme="majorBidi"/>
          <w:color w:val="000000"/>
          <w:sz w:val="18"/>
          <w:szCs w:val="22"/>
          <w:lang w:val="en-US" w:eastAsia="de-DE" w:bidi="en-US"/>
        </w:rPr>
      </w:pPr>
      <w:r>
        <w:rPr>
          <w:rFonts w:asciiTheme="majorBidi" w:hAnsiTheme="majorBidi" w:cstheme="majorBidi"/>
          <w:noProof/>
          <w:color w:val="000000"/>
          <w:sz w:val="18"/>
          <w:szCs w:val="22"/>
          <w:lang w:val="en-US" w:eastAsia="de-DE" w:bidi="en-US"/>
        </w:rPr>
        <w:object w:dxaOrig="9840" w:dyaOrig="10980">
          <v:shape id="_x0000_i1030" type="#_x0000_t75" alt="" style="width:492.25pt;height:549.4pt;mso-width-percent:0;mso-height-percent:0;mso-width-percent:0;mso-height-percent:0" o:ole="">
            <v:imagedata r:id="rId14" o:title=""/>
          </v:shape>
          <o:OLEObject Type="Embed" ProgID="Excel.Sheet.12" ShapeID="_x0000_i1030" DrawAspect="Content" ObjectID="_1683113519" r:id="rId15"/>
        </w:object>
      </w:r>
    </w:p>
    <w:p w:rsidR="00D317A1" w:rsidRDefault="00D317A1" w:rsidP="00D317A1">
      <w:pPr>
        <w:rPr>
          <w:rFonts w:asciiTheme="majorBidi" w:hAnsiTheme="majorBidi" w:cstheme="majorBidi"/>
        </w:rPr>
      </w:pPr>
    </w:p>
    <w:p w:rsidR="00D317A1" w:rsidRDefault="00D317A1" w:rsidP="00D317A1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  <w:noProof/>
        </w:rPr>
        <w:object w:dxaOrig="9645" w:dyaOrig="9495">
          <v:shape id="_x0000_i1031" type="#_x0000_t75" alt="" style="width:482.1pt;height:475.05pt;mso-width-percent:0;mso-height-percent:0;mso-width-percent:0;mso-height-percent:0" o:ole="">
            <v:imagedata r:id="rId16" o:title=""/>
          </v:shape>
          <o:OLEObject Type="Embed" ProgID="Excel.Sheet.12" ShapeID="_x0000_i1031" DrawAspect="Content" ObjectID="_1683113520" r:id="rId17"/>
        </w:object>
      </w:r>
    </w:p>
    <w:p w:rsidR="00D317A1" w:rsidRDefault="00D317A1" w:rsidP="00D317A1">
      <w:pPr>
        <w:rPr>
          <w:rFonts w:asciiTheme="majorBidi" w:hAnsiTheme="majorBidi" w:cstheme="majorBidi"/>
        </w:rPr>
      </w:pPr>
    </w:p>
    <w:p w:rsidR="00D317A1" w:rsidRDefault="00D317A1" w:rsidP="00D317A1">
      <w:pPr>
        <w:rPr>
          <w:rFonts w:asciiTheme="majorBidi" w:hAnsiTheme="majorBidi" w:cstheme="majorBidi"/>
        </w:rPr>
      </w:pPr>
    </w:p>
    <w:p w:rsidR="00D317A1" w:rsidRDefault="00D317A1" w:rsidP="00D317A1">
      <w:pPr>
        <w:rPr>
          <w:rFonts w:asciiTheme="majorBidi" w:hAnsiTheme="majorBidi" w:cstheme="majorBidi"/>
        </w:rPr>
      </w:pPr>
    </w:p>
    <w:p w:rsidR="00D317A1" w:rsidRDefault="00D317A1" w:rsidP="00D317A1">
      <w:pPr>
        <w:rPr>
          <w:rFonts w:asciiTheme="majorBidi" w:hAnsiTheme="majorBidi" w:cstheme="majorBidi"/>
        </w:rPr>
      </w:pPr>
    </w:p>
    <w:p w:rsidR="00D317A1" w:rsidRDefault="00D317A1" w:rsidP="00D317A1">
      <w:pPr>
        <w:rPr>
          <w:rFonts w:asciiTheme="majorBidi" w:hAnsiTheme="majorBidi" w:cstheme="majorBidi"/>
        </w:rPr>
      </w:pPr>
    </w:p>
    <w:p w:rsidR="00D317A1" w:rsidRDefault="00D317A1" w:rsidP="00D317A1">
      <w:pPr>
        <w:rPr>
          <w:rFonts w:asciiTheme="majorBidi" w:hAnsiTheme="majorBidi" w:cstheme="majorBidi"/>
        </w:rPr>
      </w:pPr>
    </w:p>
    <w:p w:rsidR="00D317A1" w:rsidRDefault="00D317A1" w:rsidP="00D317A1">
      <w:pPr>
        <w:rPr>
          <w:rFonts w:asciiTheme="majorBidi" w:hAnsiTheme="majorBidi" w:cstheme="majorBidi"/>
        </w:rPr>
      </w:pPr>
    </w:p>
    <w:p w:rsidR="00D317A1" w:rsidRDefault="00D317A1" w:rsidP="00D317A1">
      <w:pPr>
        <w:rPr>
          <w:rFonts w:asciiTheme="majorBidi" w:hAnsiTheme="majorBidi" w:cstheme="majorBidi"/>
        </w:rPr>
      </w:pPr>
    </w:p>
    <w:p w:rsidR="00D317A1" w:rsidRDefault="00D317A1" w:rsidP="00D317A1">
      <w:pPr>
        <w:rPr>
          <w:rFonts w:asciiTheme="majorBidi" w:hAnsiTheme="majorBidi" w:cstheme="majorBidi"/>
        </w:rPr>
      </w:pPr>
    </w:p>
    <w:p w:rsidR="00D317A1" w:rsidRDefault="00D317A1" w:rsidP="00D317A1">
      <w:pPr>
        <w:rPr>
          <w:rFonts w:asciiTheme="majorBidi" w:hAnsiTheme="majorBidi" w:cstheme="majorBidi"/>
        </w:rPr>
      </w:pPr>
    </w:p>
    <w:p w:rsidR="00D317A1" w:rsidRDefault="00D317A1" w:rsidP="00D317A1">
      <w:pPr>
        <w:pStyle w:val="MDPI41tablecaption"/>
        <w:ind w:left="0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b/>
          <w:bCs/>
        </w:rPr>
        <w:lastRenderedPageBreak/>
        <w:t>Table 4.</w:t>
      </w:r>
      <w:r>
        <w:rPr>
          <w:rFonts w:asciiTheme="majorBidi" w:hAnsiTheme="majorBidi" w:cstheme="majorBidi"/>
        </w:rPr>
        <w:t xml:space="preserve"> Predicted affinity to the </w:t>
      </w:r>
      <w:proofErr w:type="spellStart"/>
      <w:r>
        <w:rPr>
          <w:rFonts w:asciiTheme="majorBidi" w:hAnsiTheme="majorBidi" w:cstheme="majorBidi"/>
        </w:rPr>
        <w:t>hERG</w:t>
      </w:r>
      <w:proofErr w:type="spellEnd"/>
      <w:r>
        <w:rPr>
          <w:rFonts w:asciiTheme="majorBidi" w:hAnsiTheme="majorBidi" w:cstheme="majorBidi"/>
        </w:rPr>
        <w:t xml:space="preserve"> potassium channel in human expressed as pIC50 in </w:t>
      </w:r>
      <w:proofErr w:type="spellStart"/>
      <w:r>
        <w:rPr>
          <w:rFonts w:asciiTheme="majorBidi" w:hAnsiTheme="majorBidi" w:cstheme="majorBidi"/>
        </w:rPr>
        <w:t>mol</w:t>
      </w:r>
      <w:proofErr w:type="spellEnd"/>
      <w:r>
        <w:rPr>
          <w:rFonts w:asciiTheme="majorBidi" w:hAnsiTheme="majorBidi" w:cstheme="majorBidi"/>
        </w:rPr>
        <w:t xml:space="preserve">/L using our ML model. (Abbreviations: AD: Applicability domain, MST: Similarity matrix and MDT: Minimum Distance to Training). NA stands for not available. </w:t>
      </w:r>
    </w:p>
    <w:p w:rsidR="00D317A1" w:rsidRDefault="00D317A1" w:rsidP="00D317A1">
      <w:pPr>
        <w:rPr>
          <w:rFonts w:asciiTheme="majorBidi" w:hAnsiTheme="majorBidi" w:cstheme="majorBidi"/>
          <w:lang w:val="en-US"/>
        </w:rPr>
      </w:pPr>
      <w:r>
        <w:rPr>
          <w:rFonts w:asciiTheme="majorBidi" w:hAnsiTheme="majorBidi" w:cstheme="majorBidi"/>
          <w:noProof/>
          <w:lang w:val="en-US"/>
        </w:rPr>
        <w:object w:dxaOrig="5655" w:dyaOrig="11025">
          <v:shape id="_x0000_i1032" type="#_x0000_t75" alt="" style="width:282.5pt;height:550.95pt;mso-width-percent:0;mso-height-percent:0;mso-width-percent:0;mso-height-percent:0" o:ole="">
            <v:imagedata r:id="rId18" o:title=""/>
          </v:shape>
          <o:OLEObject Type="Embed" ProgID="Excel.Sheet.12" ShapeID="_x0000_i1032" DrawAspect="Content" ObjectID="_1683113521" r:id="rId19"/>
        </w:object>
      </w:r>
    </w:p>
    <w:p w:rsidR="00D317A1" w:rsidRDefault="00D317A1" w:rsidP="00D317A1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  <w:noProof/>
        </w:rPr>
        <w:object w:dxaOrig="5625" w:dyaOrig="8805">
          <v:shape id="_x0000_i1033" type="#_x0000_t75" alt="" style="width:280.95pt;height:440.6pt;mso-width-percent:0;mso-height-percent:0;mso-width-percent:0;mso-height-percent:0" o:ole="">
            <v:imagedata r:id="rId20" o:title=""/>
          </v:shape>
          <o:OLEObject Type="Embed" ProgID="Excel.Sheet.12" ShapeID="_x0000_i1033" DrawAspect="Content" ObjectID="_1683113522" r:id="rId21"/>
        </w:object>
      </w:r>
    </w:p>
    <w:p w:rsidR="00D317A1" w:rsidRDefault="00D317A1" w:rsidP="00D317A1">
      <w:pPr>
        <w:rPr>
          <w:rFonts w:asciiTheme="majorBidi" w:hAnsiTheme="majorBidi" w:cstheme="majorBidi"/>
        </w:rPr>
      </w:pPr>
    </w:p>
    <w:p w:rsidR="00D317A1" w:rsidRDefault="00D317A1" w:rsidP="00D317A1">
      <w:pPr>
        <w:rPr>
          <w:rFonts w:asciiTheme="majorBidi" w:hAnsiTheme="majorBidi" w:cstheme="majorBidi"/>
        </w:rPr>
      </w:pPr>
    </w:p>
    <w:p w:rsidR="00D317A1" w:rsidRDefault="00D317A1" w:rsidP="00D317A1">
      <w:pPr>
        <w:rPr>
          <w:rFonts w:asciiTheme="majorBidi" w:hAnsiTheme="majorBidi" w:cstheme="majorBidi"/>
        </w:rPr>
      </w:pPr>
    </w:p>
    <w:p w:rsidR="00D317A1" w:rsidRDefault="00D317A1" w:rsidP="00D317A1">
      <w:pPr>
        <w:rPr>
          <w:rFonts w:asciiTheme="majorBidi" w:hAnsiTheme="majorBidi" w:cstheme="majorBidi"/>
        </w:rPr>
      </w:pPr>
    </w:p>
    <w:p w:rsidR="00D317A1" w:rsidRDefault="00D317A1" w:rsidP="00D317A1">
      <w:pPr>
        <w:rPr>
          <w:rFonts w:asciiTheme="majorBidi" w:hAnsiTheme="majorBidi" w:cstheme="majorBidi"/>
        </w:rPr>
      </w:pPr>
    </w:p>
    <w:p w:rsidR="00D317A1" w:rsidRDefault="00D317A1" w:rsidP="00D317A1">
      <w:pPr>
        <w:rPr>
          <w:rFonts w:asciiTheme="majorBidi" w:hAnsiTheme="majorBidi" w:cstheme="majorBidi"/>
        </w:rPr>
      </w:pPr>
    </w:p>
    <w:p w:rsidR="00D317A1" w:rsidRDefault="00D317A1" w:rsidP="00D317A1">
      <w:pPr>
        <w:rPr>
          <w:rFonts w:asciiTheme="majorBidi" w:hAnsiTheme="majorBidi" w:cstheme="majorBidi"/>
        </w:rPr>
      </w:pPr>
    </w:p>
    <w:p w:rsidR="00D317A1" w:rsidRDefault="00D317A1" w:rsidP="00D317A1">
      <w:pPr>
        <w:rPr>
          <w:rFonts w:asciiTheme="majorBidi" w:hAnsiTheme="majorBidi" w:cstheme="majorBidi"/>
        </w:rPr>
      </w:pPr>
    </w:p>
    <w:p w:rsidR="00D317A1" w:rsidRDefault="00D317A1" w:rsidP="00D317A1">
      <w:pPr>
        <w:rPr>
          <w:rFonts w:asciiTheme="majorBidi" w:hAnsiTheme="majorBidi" w:cstheme="majorBidi"/>
        </w:rPr>
      </w:pPr>
    </w:p>
    <w:p w:rsidR="00D317A1" w:rsidRDefault="00D317A1" w:rsidP="00D317A1">
      <w:pPr>
        <w:rPr>
          <w:rFonts w:asciiTheme="majorBidi" w:hAnsiTheme="majorBidi"/>
          <w:lang w:val="en-US"/>
        </w:rPr>
      </w:pPr>
    </w:p>
    <w:p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rdia New">
    <w:panose1 w:val="020B0304020202020204"/>
    <w:charset w:val="DE"/>
    <w:family w:val="roman"/>
    <w:pitch w:val="variable"/>
    <w:sig w:usb0="01000001" w:usb1="00000000" w:usb2="00000000" w:usb3="00000000" w:csb0="0001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17A1"/>
    <w:rsid w:val="00AD1398"/>
    <w:rsid w:val="00D31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6419ED6-DC9B-4509-B3EB-397E9480D5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317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PI41tablecaption">
    <w:name w:val="MDPI_4.1_table_caption"/>
    <w:qFormat/>
    <w:rsid w:val="00D317A1"/>
    <w:pPr>
      <w:adjustRightInd w:val="0"/>
      <w:snapToGrid w:val="0"/>
      <w:spacing w:before="240" w:after="120" w:line="228" w:lineRule="auto"/>
      <w:ind w:left="2608"/>
    </w:pPr>
    <w:rPr>
      <w:rFonts w:ascii="Palatino Linotype" w:eastAsia="Times New Roman" w:hAnsi="Palatino Linotype" w:cs="Cordia New"/>
      <w:color w:val="000000"/>
      <w:sz w:val="18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869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package" Target="embeddings/Microsoft_Excel_Worksheet4.xlsx"/><Relationship Id="rId18" Type="http://schemas.openxmlformats.org/officeDocument/2006/relationships/image" Target="media/image8.emf"/><Relationship Id="rId3" Type="http://schemas.openxmlformats.org/officeDocument/2006/relationships/webSettings" Target="webSettings.xml"/><Relationship Id="rId21" Type="http://schemas.openxmlformats.org/officeDocument/2006/relationships/package" Target="embeddings/Microsoft_Excel_Worksheet8.xlsx"/><Relationship Id="rId7" Type="http://schemas.openxmlformats.org/officeDocument/2006/relationships/package" Target="embeddings/Microsoft_Excel_Worksheet1.xlsx"/><Relationship Id="rId12" Type="http://schemas.openxmlformats.org/officeDocument/2006/relationships/image" Target="media/image5.emf"/><Relationship Id="rId17" Type="http://schemas.openxmlformats.org/officeDocument/2006/relationships/package" Target="embeddings/Microsoft_Excel_Worksheet6.xlsx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0" Type="http://schemas.openxmlformats.org/officeDocument/2006/relationships/image" Target="media/image9.emf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package" Target="embeddings/Microsoft_Excel_Worksheet3.xlsx"/><Relationship Id="rId5" Type="http://schemas.openxmlformats.org/officeDocument/2006/relationships/package" Target="embeddings/Microsoft_Excel_Worksheet.xlsx"/><Relationship Id="rId15" Type="http://schemas.openxmlformats.org/officeDocument/2006/relationships/package" Target="embeddings/Microsoft_Excel_Worksheet5.xlsx"/><Relationship Id="rId23" Type="http://schemas.openxmlformats.org/officeDocument/2006/relationships/theme" Target="theme/theme1.xml"/><Relationship Id="rId10" Type="http://schemas.openxmlformats.org/officeDocument/2006/relationships/image" Target="media/image4.emf"/><Relationship Id="rId19" Type="http://schemas.openxmlformats.org/officeDocument/2006/relationships/package" Target="embeddings/Microsoft_Excel_Worksheet7.xlsx"/><Relationship Id="rId4" Type="http://schemas.openxmlformats.org/officeDocument/2006/relationships/image" Target="media/image1.emf"/><Relationship Id="rId9" Type="http://schemas.openxmlformats.org/officeDocument/2006/relationships/package" Target="embeddings/Microsoft_Excel_Worksheet2.xlsx"/><Relationship Id="rId14" Type="http://schemas.openxmlformats.org/officeDocument/2006/relationships/image" Target="media/image6.em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489</Words>
  <Characters>2793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3276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2021-05-21T09:15:00Z</dcterms:created>
  <dcterms:modified xsi:type="dcterms:W3CDTF">2021-05-21T09:15:00Z</dcterms:modified>
</cp:coreProperties>
</file>