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27B53" w14:textId="77777777" w:rsidR="00F37F24" w:rsidRDefault="000D6A48" w:rsidP="00941909">
      <w:pPr>
        <w:pStyle w:val="Heading1"/>
        <w:rPr>
          <w:lang w:val="en-US"/>
        </w:rPr>
      </w:pPr>
      <w:bookmarkStart w:id="0" w:name="_Ref114145230"/>
      <w:r>
        <w:rPr>
          <w:lang w:val="en-US"/>
        </w:rPr>
        <w:t>Supplementary materia</w:t>
      </w:r>
      <w:r w:rsidR="00941909">
        <w:rPr>
          <w:lang w:val="en-US"/>
        </w:rPr>
        <w:t>l</w:t>
      </w:r>
    </w:p>
    <w:p w14:paraId="07DA77D9" w14:textId="6FD38A91" w:rsidR="00941909" w:rsidRDefault="00B10797" w:rsidP="001F767D">
      <w:pPr>
        <w:pStyle w:val="Heading1"/>
        <w:jc w:val="center"/>
        <w:rPr>
          <w:lang w:val="en-US"/>
        </w:rPr>
      </w:pPr>
      <w:r w:rsidRPr="00B10797">
        <w:rPr>
          <w:noProof/>
          <w:lang w:val="en-US"/>
        </w:rPr>
        <w:drawing>
          <wp:inline distT="0" distB="0" distL="0" distR="0" wp14:anchorId="2177DA2F" wp14:editId="0DF9FA25">
            <wp:extent cx="8526065" cy="5039428"/>
            <wp:effectExtent l="0" t="0" r="889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526065" cy="5039428"/>
                    </a:xfrm>
                    <a:prstGeom prst="rect">
                      <a:avLst/>
                    </a:prstGeom>
                  </pic:spPr>
                </pic:pic>
              </a:graphicData>
            </a:graphic>
          </wp:inline>
        </w:drawing>
      </w:r>
    </w:p>
    <w:p w14:paraId="4D0B55AF" w14:textId="77777777" w:rsidR="00994CAD" w:rsidRDefault="00994CAD" w:rsidP="00941909">
      <w:pPr>
        <w:pStyle w:val="Heading1"/>
        <w:rPr>
          <w:sz w:val="20"/>
          <w:szCs w:val="16"/>
          <w:lang w:val="en-US"/>
        </w:rPr>
      </w:pPr>
      <w:bookmarkStart w:id="1" w:name="_Toc125030654"/>
    </w:p>
    <w:p w14:paraId="0AD0234E" w14:textId="49FE1257" w:rsidR="00994CAD" w:rsidRDefault="00994CAD" w:rsidP="00941909">
      <w:pPr>
        <w:pStyle w:val="Heading1"/>
        <w:rPr>
          <w:sz w:val="20"/>
          <w:szCs w:val="16"/>
          <w:lang w:val="en-US"/>
        </w:rPr>
      </w:pPr>
    </w:p>
    <w:p w14:paraId="33127696" w14:textId="77777777" w:rsidR="00B10797" w:rsidRPr="00B10797" w:rsidRDefault="00B10797" w:rsidP="00B10797"/>
    <w:p w14:paraId="6F17C66F" w14:textId="46E2EDF8" w:rsidR="00941909" w:rsidRPr="00014CDE" w:rsidRDefault="00941909" w:rsidP="00941909">
      <w:pPr>
        <w:pStyle w:val="Heading1"/>
        <w:rPr>
          <w:b w:val="0"/>
          <w:bCs w:val="0"/>
          <w:sz w:val="21"/>
          <w:szCs w:val="20"/>
          <w:vertAlign w:val="superscript"/>
          <w:lang w:val="en-US"/>
        </w:rPr>
      </w:pPr>
      <w:r w:rsidRPr="00014CDE">
        <w:rPr>
          <w:sz w:val="20"/>
          <w:szCs w:val="16"/>
          <w:lang w:val="en-US"/>
        </w:rPr>
        <w:lastRenderedPageBreak/>
        <w:t xml:space="preserve">Table </w:t>
      </w:r>
      <w:r w:rsidR="00AF0AD6" w:rsidRPr="00014CDE">
        <w:rPr>
          <w:sz w:val="20"/>
          <w:szCs w:val="16"/>
          <w:lang w:val="en-US"/>
        </w:rPr>
        <w:t>S</w:t>
      </w:r>
      <w:r w:rsidRPr="00014CDE">
        <w:rPr>
          <w:sz w:val="20"/>
          <w:szCs w:val="16"/>
          <w:lang w:val="en-US"/>
        </w:rPr>
        <w:t>1</w:t>
      </w:r>
      <w:bookmarkEnd w:id="1"/>
      <w:r w:rsidR="00AF0AD6" w:rsidRPr="00014CDE">
        <w:rPr>
          <w:sz w:val="20"/>
          <w:szCs w:val="16"/>
          <w:lang w:val="en-US"/>
        </w:rPr>
        <w:t xml:space="preserve">: details of the design of relevant literature.  </w:t>
      </w:r>
      <w:r w:rsidR="00AF0AD6" w:rsidRPr="00014CDE">
        <w:rPr>
          <w:b w:val="0"/>
          <w:bCs w:val="0"/>
          <w:sz w:val="21"/>
          <w:szCs w:val="20"/>
          <w:vertAlign w:val="superscript"/>
          <w:lang w:val="en-US"/>
        </w:rPr>
        <w:t xml:space="preserve"> </w:t>
      </w:r>
    </w:p>
    <w:p w14:paraId="3EEA2804" w14:textId="77777777" w:rsidR="006F2A76" w:rsidRPr="004C6C98" w:rsidRDefault="006F2A76" w:rsidP="006F2A76">
      <w:pPr>
        <w:spacing w:after="0" w:line="240" w:lineRule="auto"/>
        <w:rPr>
          <w:rFonts w:cs="Times New Roman"/>
          <w:sz w:val="20"/>
          <w:szCs w:val="20"/>
        </w:rPr>
      </w:pPr>
      <w:r w:rsidRPr="004C6C98">
        <w:rPr>
          <w:rFonts w:cs="Times New Roman"/>
          <w:sz w:val="20"/>
          <w:szCs w:val="20"/>
          <w:vertAlign w:val="superscript"/>
        </w:rPr>
        <w:t xml:space="preserve">1 </w:t>
      </w:r>
      <w:r w:rsidRPr="004C6C98">
        <w:rPr>
          <w:rFonts w:cs="Times New Roman"/>
          <w:i/>
          <w:iCs/>
          <w:sz w:val="20"/>
          <w:szCs w:val="20"/>
        </w:rPr>
        <w:t>Josephs 1992</w:t>
      </w:r>
      <w:r w:rsidRPr="004C6C98">
        <w:rPr>
          <w:rFonts w:cs="Times New Roman"/>
          <w:sz w:val="20"/>
          <w:szCs w:val="20"/>
        </w:rPr>
        <w:t xml:space="preserve"> refers to Experiment 2 (“Study 2”) of the paper, which compares description-based decisions without feedback and with partial feedback. </w:t>
      </w:r>
      <w:r w:rsidRPr="004C6C98">
        <w:rPr>
          <w:rFonts w:cs="Times New Roman"/>
          <w:i/>
          <w:iCs/>
          <w:sz w:val="20"/>
          <w:szCs w:val="20"/>
        </w:rPr>
        <w:t>Yechiam 2005</w:t>
      </w:r>
      <w:r w:rsidRPr="004C6C98">
        <w:rPr>
          <w:rFonts w:cs="Times New Roman"/>
          <w:sz w:val="20"/>
          <w:szCs w:val="20"/>
        </w:rPr>
        <w:t xml:space="preserve"> refers to the “Experience” condition, which corresponds to the feedback case (</w:t>
      </w:r>
      <w:proofErr w:type="spellStart"/>
      <w:r w:rsidRPr="004C6C98">
        <w:rPr>
          <w:rFonts w:cs="Times New Roman"/>
          <w:sz w:val="20"/>
          <w:szCs w:val="20"/>
        </w:rPr>
        <w:t>Descriptions+Experience</w:t>
      </w:r>
      <w:proofErr w:type="spellEnd"/>
      <w:r w:rsidRPr="004C6C98">
        <w:rPr>
          <w:rFonts w:cs="Times New Roman"/>
          <w:sz w:val="20"/>
          <w:szCs w:val="20"/>
        </w:rPr>
        <w:t xml:space="preserve">) and to the “D-Binary” condition, which is a description-only condition with one choice from the subject then repeated 100 times by the computer. </w:t>
      </w:r>
      <w:r w:rsidRPr="004C6C98">
        <w:rPr>
          <w:rFonts w:cs="Times New Roman"/>
          <w:i/>
          <w:iCs/>
          <w:sz w:val="20"/>
          <w:szCs w:val="20"/>
        </w:rPr>
        <w:t>Lejarraga 2011</w:t>
      </w:r>
      <w:r w:rsidRPr="004C6C98">
        <w:rPr>
          <w:rFonts w:cs="Times New Roman"/>
          <w:sz w:val="20"/>
          <w:szCs w:val="20"/>
        </w:rPr>
        <w:t xml:space="preserve"> refers to the “DS” condition (Description-only) and to the DES condition (</w:t>
      </w:r>
      <w:proofErr w:type="spellStart"/>
      <w:r w:rsidRPr="004C6C98">
        <w:rPr>
          <w:rFonts w:cs="Times New Roman"/>
          <w:sz w:val="20"/>
          <w:szCs w:val="20"/>
        </w:rPr>
        <w:t>Description+Experience</w:t>
      </w:r>
      <w:proofErr w:type="spellEnd"/>
      <w:r w:rsidRPr="004C6C98">
        <w:rPr>
          <w:rFonts w:cs="Times New Roman"/>
          <w:sz w:val="20"/>
          <w:szCs w:val="20"/>
        </w:rPr>
        <w:t xml:space="preserve">). </w:t>
      </w:r>
      <w:r w:rsidRPr="004C6C98">
        <w:rPr>
          <w:rFonts w:cs="Times New Roman"/>
          <w:i/>
          <w:iCs/>
          <w:sz w:val="20"/>
          <w:szCs w:val="20"/>
        </w:rPr>
        <w:t>Marchiori 2015</w:t>
      </w:r>
      <w:r w:rsidRPr="004C6C98">
        <w:rPr>
          <w:rFonts w:cs="Times New Roman"/>
          <w:sz w:val="20"/>
          <w:szCs w:val="20"/>
        </w:rPr>
        <w:t xml:space="preserve"> refers to the condition of decision under risk in Experiment (“Study”) 1 &amp; 3. We excluded the decision under risk condition of Experiment 2 as it is preceded by the condition of decision under estimated risk which creates a carryover effect </w:t>
      </w:r>
      <w:r w:rsidRPr="004C6C98">
        <w:rPr>
          <w:rFonts w:cs="Times New Roman"/>
          <w:sz w:val="20"/>
          <w:szCs w:val="20"/>
        </w:rPr>
        <w:fldChar w:fldCharType="begin"/>
      </w:r>
      <w:r w:rsidRPr="004C6C98">
        <w:rPr>
          <w:rFonts w:cs="Times New Roman"/>
          <w:sz w:val="20"/>
          <w:szCs w:val="20"/>
        </w:rPr>
        <w:instrText xml:space="preserve"> ADDIN ZOTERO_ITEM CSL_CITATION {"citationID":"UKafs1U2","properties":{"formattedCitation":"(Marchiori et al., 2015)","plainCitation":"(Marchiori et al., 2015)","noteIndex":0},"citationItems":[{"id":131,"uris":["http://zotero.org/users/local/R09W8VcO/items/49QCPY3P"],"itemData":{"id":131,"type":"article-journal","abstract":"Review of previous research highlights 2 pairs of inconsistent reactions to rare events: (a) studies of probability judgment reveal conservatism (that implies overestimation of rare events) and overconfidence (that implies underestimation of rare events); (b) studies of choice behavior reveal overweighting of rare events in 1-shot decisions under risk, and underweighting of rare events in repeated decisions from experience. The current analysis shows that the 4 biases are not inconsistent, but that they can be the product of 2 distinct sources of errors that affect human judgment and decision making: reliance on small samples of past experiences, and overgeneralization, that is, the tendency to confound previously encountered tasks. The former is a sufficient condition for overconfidence and underweighting of rare events, whereas the latter is sufficient for conservatism and overweighting of rare events. Importantly, this “2-error” explanation leads to a novel prediction: It implies that overconfident judgment triggers overweighting of rare events in 1-shot decisions under risk, in which the relevant objective probabilities are known to decision makers. This prediction is based on the assumption that the overgeneralization that affects choice behavior is a reflection of the perceived similarity between decisions under risk and decisions with estimated risk, in which decision makers can only rely on (overconfident) subjective estimates of the relevant probabilities. The value of this analysis and of a computational abstraction of the “2-error” hypothesis is demonstrated in 3 experimental studies. (PsycINFO Database Record (c) 2016 APA, all rights reserved)","container-title":"Decision","DOI":"10.1037/dec0000023","ISSN":"2325-9973","issue":"2","note":"publisher-place: US\npublisher: Educational Publishing Foundation","page":"82-106","source":"APA PsycNet","title":"Noisy retrieval models of over- and undersensitivity to rare events","volume":"2","author":[{"family":"Marchiori","given":"Davide"},{"family":"Di Guida","given":"Sibilla"},{"family":"Erev","given":"Ido"}],"issued":{"date-parts":[["2015"]]}}}],"schema":"https://github.com/citation-style-language/schema/raw/master/csl-citation.json"} </w:instrText>
      </w:r>
      <w:r w:rsidRPr="004C6C98">
        <w:rPr>
          <w:rFonts w:cs="Times New Roman"/>
          <w:sz w:val="20"/>
          <w:szCs w:val="20"/>
        </w:rPr>
        <w:fldChar w:fldCharType="separate"/>
      </w:r>
      <w:r w:rsidRPr="004C6C98">
        <w:rPr>
          <w:rFonts w:cs="Times New Roman"/>
          <w:sz w:val="20"/>
          <w:szCs w:val="20"/>
        </w:rPr>
        <w:t>(page 19, Marchiori et al., 2015)</w:t>
      </w:r>
      <w:r w:rsidRPr="004C6C98">
        <w:rPr>
          <w:rFonts w:cs="Times New Roman"/>
          <w:sz w:val="20"/>
          <w:szCs w:val="20"/>
        </w:rPr>
        <w:fldChar w:fldCharType="end"/>
      </w:r>
      <w:r w:rsidRPr="004C6C98">
        <w:rPr>
          <w:rFonts w:cs="Times New Roman"/>
          <w:sz w:val="20"/>
          <w:szCs w:val="20"/>
        </w:rPr>
        <w:t xml:space="preserve">. </w:t>
      </w:r>
      <w:r w:rsidRPr="004C6C98">
        <w:rPr>
          <w:rFonts w:cs="Times New Roman"/>
          <w:i/>
          <w:iCs/>
          <w:sz w:val="20"/>
          <w:szCs w:val="20"/>
        </w:rPr>
        <w:t>Weiss-Cohen 2016</w:t>
      </w:r>
      <w:r w:rsidRPr="004C6C98">
        <w:rPr>
          <w:rFonts w:cs="Times New Roman"/>
          <w:sz w:val="20"/>
          <w:szCs w:val="20"/>
        </w:rPr>
        <w:t xml:space="preserve"> refers to the conditions D and DES (description-only and </w:t>
      </w:r>
      <w:proofErr w:type="spellStart"/>
      <w:r w:rsidRPr="004C6C98">
        <w:rPr>
          <w:rFonts w:cs="Times New Roman"/>
          <w:sz w:val="20"/>
          <w:szCs w:val="20"/>
        </w:rPr>
        <w:t>description+experience</w:t>
      </w:r>
      <w:proofErr w:type="spellEnd"/>
      <w:r w:rsidRPr="004C6C98">
        <w:rPr>
          <w:rFonts w:cs="Times New Roman"/>
          <w:sz w:val="20"/>
          <w:szCs w:val="20"/>
        </w:rPr>
        <w:t xml:space="preserve">, respectively) of Experiment 1. </w:t>
      </w:r>
      <w:r w:rsidRPr="004C6C98">
        <w:rPr>
          <w:rFonts w:cs="Times New Roman"/>
          <w:i/>
          <w:iCs/>
          <w:sz w:val="20"/>
          <w:szCs w:val="20"/>
        </w:rPr>
        <w:t>Erev 2017</w:t>
      </w:r>
      <w:r w:rsidRPr="004C6C98">
        <w:rPr>
          <w:rFonts w:cs="Times New Roman"/>
          <w:sz w:val="20"/>
          <w:szCs w:val="20"/>
        </w:rPr>
        <w:t xml:space="preserve"> refers to the </w:t>
      </w:r>
      <w:r w:rsidRPr="004C6C98">
        <w:rPr>
          <w:rFonts w:cs="Times New Roman"/>
          <w:sz w:val="20"/>
          <w:szCs w:val="20"/>
        </w:rPr>
        <w:t xml:space="preserve">problems mentioned in </w:t>
      </w:r>
      <w:r w:rsidRPr="004C6C98">
        <w:rPr>
          <w:rFonts w:cs="Times New Roman"/>
          <w:b/>
          <w:sz w:val="20"/>
          <w:szCs w:val="20"/>
        </w:rPr>
        <w:t>Supplementary Material/</w:t>
      </w:r>
      <w:r w:rsidRPr="004C6C98">
        <w:rPr>
          <w:rFonts w:cs="Times New Roman"/>
          <w:sz w:val="20"/>
          <w:szCs w:val="20"/>
        </w:rPr>
        <w:t xml:space="preserve"> </w:t>
      </w:r>
      <w:r w:rsidRPr="004C6C98">
        <w:rPr>
          <w:rFonts w:cs="Times New Roman"/>
          <w:b/>
          <w:sz w:val="20"/>
          <w:szCs w:val="20"/>
        </w:rPr>
        <w:t>Erev et al. (2017) re-analysis.</w:t>
      </w:r>
    </w:p>
    <w:p w14:paraId="380DF05A" w14:textId="77777777" w:rsidR="006F2A76" w:rsidRPr="004C6C98" w:rsidRDefault="006F2A76" w:rsidP="006F2A76">
      <w:pPr>
        <w:spacing w:after="0" w:line="240" w:lineRule="auto"/>
        <w:rPr>
          <w:rFonts w:cs="Times New Roman"/>
          <w:color w:val="000000" w:themeColor="text1"/>
          <w:sz w:val="20"/>
          <w:szCs w:val="20"/>
        </w:rPr>
      </w:pPr>
      <w:r w:rsidRPr="004C6C98">
        <w:rPr>
          <w:rFonts w:cs="Times New Roman"/>
          <w:sz w:val="20"/>
          <w:szCs w:val="20"/>
          <w:vertAlign w:val="superscript"/>
        </w:rPr>
        <w:t xml:space="preserve">2 </w:t>
      </w:r>
      <w:r w:rsidRPr="004C6C98">
        <w:rPr>
          <w:rFonts w:cs="Times New Roman"/>
          <w:color w:val="000000" w:themeColor="text1"/>
          <w:sz w:val="20"/>
          <w:szCs w:val="20"/>
        </w:rPr>
        <w:t>In the between-subjects design the sample size field has the form [</w:t>
      </w:r>
      <w:proofErr w:type="gramStart"/>
      <w:r w:rsidRPr="004C6C98">
        <w:rPr>
          <w:rFonts w:cs="Times New Roman"/>
          <w:color w:val="000000" w:themeColor="text1"/>
          <w:sz w:val="20"/>
          <w:szCs w:val="20"/>
        </w:rPr>
        <w:t>total(</w:t>
      </w:r>
      <w:proofErr w:type="gramEnd"/>
      <w:r w:rsidRPr="004C6C98">
        <w:rPr>
          <w:rFonts w:cs="Times New Roman"/>
          <w:color w:val="000000" w:themeColor="text1"/>
          <w:sz w:val="20"/>
          <w:szCs w:val="20"/>
        </w:rPr>
        <w:t>no-feedback, feedback)]. In case decision problems were manipulated between-subjects, the #decision problems field contains the different groups with the format #decisionProblems(#participants) mentioning in parentheses the number of participants in the relevant group of decision problems.</w:t>
      </w:r>
    </w:p>
    <w:p w14:paraId="09CA90CE" w14:textId="1D6755F3" w:rsidR="006F2A76" w:rsidRPr="004C6C98" w:rsidRDefault="006F2A76" w:rsidP="006F2A76">
      <w:pPr>
        <w:spacing w:after="0" w:line="240" w:lineRule="auto"/>
        <w:rPr>
          <w:rFonts w:cs="Times New Roman"/>
          <w:sz w:val="20"/>
          <w:szCs w:val="20"/>
        </w:rPr>
      </w:pPr>
      <w:r w:rsidRPr="004C6C98">
        <w:rPr>
          <w:rFonts w:cs="Times New Roman"/>
          <w:sz w:val="20"/>
          <w:szCs w:val="20"/>
          <w:vertAlign w:val="superscript"/>
        </w:rPr>
        <w:t xml:space="preserve">3 </w:t>
      </w:r>
      <w:r w:rsidRPr="004C6C98">
        <w:rPr>
          <w:rFonts w:cs="Times New Roman"/>
          <w:sz w:val="20"/>
          <w:szCs w:val="20"/>
        </w:rPr>
        <w:t>“Other” corresponds to the case that the risky option can give the best outcome with a medium-range probability as well.</w:t>
      </w:r>
      <w:r w:rsidR="00BD69BB">
        <w:rPr>
          <w:rFonts w:cs="Times New Roman"/>
          <w:sz w:val="20"/>
          <w:szCs w:val="20"/>
        </w:rPr>
        <w:t xml:space="preserve"> Note that some studies define the probability of the risky option as the probability of getting the best outcome in absolute value. This gives a different (in fact, opposite) classification of high/low probabilities and this is the reason why some problems that are classified as low(high)-probability in the initial studies are classified as high(low)-probability by us.</w:t>
      </w:r>
    </w:p>
    <w:p w14:paraId="3B21D5B9" w14:textId="77777777" w:rsidR="006F2A76" w:rsidRPr="004C6C98" w:rsidRDefault="006F2A76" w:rsidP="006F2A76">
      <w:pPr>
        <w:spacing w:after="0" w:line="240" w:lineRule="auto"/>
        <w:rPr>
          <w:rFonts w:cs="Times New Roman"/>
          <w:sz w:val="20"/>
          <w:szCs w:val="20"/>
        </w:rPr>
      </w:pPr>
      <w:r w:rsidRPr="004C6C98">
        <w:rPr>
          <w:rFonts w:cs="Times New Roman"/>
          <w:sz w:val="20"/>
          <w:szCs w:val="20"/>
          <w:vertAlign w:val="superscript"/>
        </w:rPr>
        <w:t xml:space="preserve">4 </w:t>
      </w:r>
      <w:r w:rsidRPr="004C6C98">
        <w:rPr>
          <w:rFonts w:cs="Times New Roman"/>
          <w:sz w:val="20"/>
          <w:szCs w:val="20"/>
        </w:rPr>
        <w:t>In the parentheses of the “nF” field we put the number of trials played/simulated by the computer (if any, otherwise omitted). The “temporal unit” field corresponds to the number of trials used as one data point in the reported results of the original paper.</w:t>
      </w:r>
    </w:p>
    <w:p w14:paraId="1C10FE77" w14:textId="77777777" w:rsidR="006F2A76" w:rsidRPr="004C6C98" w:rsidRDefault="006F2A76" w:rsidP="006F2A76">
      <w:pPr>
        <w:spacing w:after="0" w:line="240" w:lineRule="auto"/>
        <w:rPr>
          <w:rFonts w:cs="Times New Roman"/>
          <w:sz w:val="20"/>
          <w:szCs w:val="20"/>
        </w:rPr>
      </w:pPr>
      <w:r w:rsidRPr="004C6C98">
        <w:rPr>
          <w:rFonts w:cs="Times New Roman"/>
          <w:sz w:val="20"/>
          <w:szCs w:val="20"/>
          <w:vertAlign w:val="superscript"/>
        </w:rPr>
        <w:t xml:space="preserve">5 </w:t>
      </w:r>
      <w:r w:rsidRPr="004C6C98">
        <w:rPr>
          <w:rFonts w:cs="Times New Roman"/>
          <w:sz w:val="20"/>
          <w:szCs w:val="20"/>
        </w:rPr>
        <w:t>In the “state-dependent” case, the outcomes of the options are correlated and determined by the (random) instantiation of the state of the world. It is similar to the complete feedback case, as we get to know the results of all options, but still, they are conceptually different.</w:t>
      </w:r>
    </w:p>
    <w:p w14:paraId="52FED00E" w14:textId="77777777" w:rsidR="006F2A76" w:rsidRPr="004C6C98" w:rsidRDefault="006F2A76" w:rsidP="006F2A76">
      <w:pPr>
        <w:spacing w:after="0" w:line="240" w:lineRule="auto"/>
        <w:rPr>
          <w:rFonts w:cs="Times New Roman"/>
          <w:sz w:val="20"/>
          <w:szCs w:val="20"/>
        </w:rPr>
      </w:pPr>
      <w:r w:rsidRPr="004C6C98">
        <w:rPr>
          <w:rFonts w:cs="Times New Roman"/>
          <w:sz w:val="20"/>
          <w:szCs w:val="20"/>
          <w:vertAlign w:val="superscript"/>
        </w:rPr>
        <w:t xml:space="preserve">6 </w:t>
      </w:r>
      <w:r w:rsidRPr="004C6C98">
        <w:rPr>
          <w:rFonts w:cs="Times New Roman"/>
          <w:sz w:val="20"/>
          <w:szCs w:val="20"/>
        </w:rPr>
        <w:t>Each decision problem is tested either with or without feedback for one trial (not in both conditions). For each participant, 5 out of the 60 problems were tested without feedback and then the rest 55 problems were tested with feedback. The order of the problems is randomized across participants, so in the aggregate data, most problems have been tested both with and without feedback. Yet, the problems differed only in the magnitudes, so to some extent this design is a hybrid between one-shot and repeated trials.</w:t>
      </w:r>
    </w:p>
    <w:p w14:paraId="1480851A" w14:textId="77777777" w:rsidR="006F2A76" w:rsidRPr="004C6C98" w:rsidRDefault="006F2A76" w:rsidP="006F2A76">
      <w:pPr>
        <w:spacing w:after="0" w:line="240" w:lineRule="auto"/>
        <w:rPr>
          <w:rFonts w:cs="Times New Roman"/>
          <w:sz w:val="20"/>
          <w:szCs w:val="20"/>
        </w:rPr>
      </w:pPr>
      <w:r w:rsidRPr="004C6C98">
        <w:rPr>
          <w:rFonts w:cs="Times New Roman"/>
          <w:sz w:val="20"/>
          <w:szCs w:val="20"/>
          <w:vertAlign w:val="superscript"/>
        </w:rPr>
        <w:t xml:space="preserve">7 </w:t>
      </w:r>
      <w:r w:rsidRPr="004C6C98">
        <w:rPr>
          <w:rFonts w:cs="Times New Roman"/>
          <w:sz w:val="20"/>
          <w:szCs w:val="20"/>
        </w:rPr>
        <w:t>They do four runs of a batch of 96 trials in which each condition is repeated only once: essentially one-shot.</w:t>
      </w:r>
    </w:p>
    <w:p w14:paraId="217EEC05" w14:textId="13EF3F82" w:rsidR="006F2A76" w:rsidRPr="004C6C98" w:rsidRDefault="006F2A76" w:rsidP="006F2A76">
      <w:pPr>
        <w:spacing w:after="0" w:line="240" w:lineRule="auto"/>
        <w:rPr>
          <w:rFonts w:cs="Times New Roman"/>
          <w:sz w:val="20"/>
          <w:szCs w:val="20"/>
        </w:rPr>
      </w:pPr>
      <w:r w:rsidRPr="004C6C98">
        <w:rPr>
          <w:rFonts w:cs="Times New Roman"/>
          <w:sz w:val="20"/>
          <w:szCs w:val="20"/>
          <w:vertAlign w:val="superscript"/>
        </w:rPr>
        <w:t>8</w:t>
      </w:r>
      <w:r w:rsidRPr="004C6C98">
        <w:rPr>
          <w:rFonts w:cs="Times New Roman"/>
          <w:sz w:val="20"/>
          <w:szCs w:val="20"/>
        </w:rPr>
        <w:t xml:space="preserve"> The expected values of the safe and the risky option of Yechiam 2005 are 2.03 and 1.995</w:t>
      </w:r>
      <w:r w:rsidR="00B131BB">
        <w:rPr>
          <w:rFonts w:cs="Times New Roman"/>
          <w:sz w:val="20"/>
          <w:szCs w:val="20"/>
        </w:rPr>
        <w:t>,</w:t>
      </w:r>
      <w:r w:rsidRPr="004C6C98">
        <w:rPr>
          <w:rFonts w:cs="Times New Roman"/>
          <w:sz w:val="20"/>
          <w:szCs w:val="20"/>
        </w:rPr>
        <w:t xml:space="preserve"> respectively</w:t>
      </w:r>
      <w:r w:rsidR="00B131BB">
        <w:rPr>
          <w:rFonts w:cs="Times New Roman"/>
          <w:sz w:val="20"/>
          <w:szCs w:val="20"/>
        </w:rPr>
        <w:t xml:space="preserve">. Given the very small difference, we decided to </w:t>
      </w:r>
      <w:r w:rsidRPr="004C6C98">
        <w:rPr>
          <w:rFonts w:cs="Times New Roman"/>
          <w:sz w:val="20"/>
          <w:szCs w:val="20"/>
        </w:rPr>
        <w:t>treat</w:t>
      </w:r>
      <w:r w:rsidR="00B131BB">
        <w:rPr>
          <w:rFonts w:cs="Times New Roman"/>
          <w:sz w:val="20"/>
          <w:szCs w:val="20"/>
        </w:rPr>
        <w:t xml:space="preserve"> them</w:t>
      </w:r>
      <w:r w:rsidRPr="004C6C98">
        <w:rPr>
          <w:rFonts w:cs="Times New Roman"/>
          <w:sz w:val="20"/>
          <w:szCs w:val="20"/>
        </w:rPr>
        <w:t xml:space="preserve"> as equal.</w:t>
      </w:r>
    </w:p>
    <w:p w14:paraId="733EB452" w14:textId="77777777" w:rsidR="00D52E3F" w:rsidRPr="00545ECF" w:rsidRDefault="00D52E3F" w:rsidP="00B664BD">
      <w:pPr>
        <w:spacing w:after="0" w:line="240" w:lineRule="auto"/>
        <w:jc w:val="left"/>
        <w:rPr>
          <w:rFonts w:cs="Times New Roman"/>
          <w:sz w:val="20"/>
          <w:szCs w:val="20"/>
        </w:rPr>
      </w:pPr>
    </w:p>
    <w:p w14:paraId="733B8F1E" w14:textId="497EE6E3" w:rsidR="008F47CC" w:rsidRDefault="008F47CC" w:rsidP="00B643C9">
      <w:pPr>
        <w:spacing w:after="0" w:line="240" w:lineRule="auto"/>
        <w:rPr>
          <w:sz w:val="20"/>
          <w:szCs w:val="18"/>
        </w:rPr>
      </w:pPr>
    </w:p>
    <w:p w14:paraId="246C6BC8" w14:textId="77777777" w:rsidR="00B643C9" w:rsidRDefault="00B643C9" w:rsidP="00B643C9">
      <w:pPr>
        <w:spacing w:after="0" w:line="240" w:lineRule="auto"/>
        <w:rPr>
          <w:sz w:val="20"/>
          <w:szCs w:val="18"/>
        </w:rPr>
      </w:pPr>
    </w:p>
    <w:p w14:paraId="320B570E" w14:textId="77777777" w:rsidR="00014CDE" w:rsidRDefault="00014CDE" w:rsidP="00014CDE">
      <w:pPr>
        <w:spacing w:after="0" w:line="240" w:lineRule="auto"/>
        <w:rPr>
          <w:sz w:val="20"/>
          <w:szCs w:val="18"/>
        </w:rPr>
      </w:pPr>
    </w:p>
    <w:p w14:paraId="7F5A33EF" w14:textId="2AD6956F" w:rsidR="00014CDE" w:rsidRDefault="00EC22EA" w:rsidP="00014CDE">
      <w:pPr>
        <w:spacing w:after="0" w:line="240" w:lineRule="auto"/>
        <w:rPr>
          <w:sz w:val="20"/>
          <w:szCs w:val="18"/>
        </w:rPr>
      </w:pPr>
      <w:r w:rsidRPr="00EC22EA">
        <w:rPr>
          <w:noProof/>
          <w:sz w:val="20"/>
          <w:szCs w:val="18"/>
        </w:rPr>
        <w:lastRenderedPageBreak/>
        <w:drawing>
          <wp:inline distT="0" distB="0" distL="0" distR="0" wp14:anchorId="052F8E68" wp14:editId="14E9C84C">
            <wp:extent cx="9779000" cy="359410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779000" cy="3594100"/>
                    </a:xfrm>
                    <a:prstGeom prst="rect">
                      <a:avLst/>
                    </a:prstGeom>
                  </pic:spPr>
                </pic:pic>
              </a:graphicData>
            </a:graphic>
          </wp:inline>
        </w:drawing>
      </w:r>
    </w:p>
    <w:p w14:paraId="538AB2E2" w14:textId="77777777" w:rsidR="00014CDE" w:rsidRDefault="00014CDE" w:rsidP="00014CDE">
      <w:pPr>
        <w:spacing w:after="0" w:line="240" w:lineRule="auto"/>
        <w:rPr>
          <w:sz w:val="20"/>
          <w:szCs w:val="18"/>
        </w:rPr>
      </w:pPr>
    </w:p>
    <w:p w14:paraId="45BA3062" w14:textId="133C211E" w:rsidR="00014CDE" w:rsidRDefault="00014CDE" w:rsidP="00014CDE">
      <w:pPr>
        <w:spacing w:after="0" w:line="240" w:lineRule="auto"/>
        <w:rPr>
          <w:b/>
          <w:bCs/>
          <w:sz w:val="20"/>
          <w:szCs w:val="18"/>
        </w:rPr>
      </w:pPr>
      <w:r>
        <w:rPr>
          <w:b/>
          <w:bCs/>
          <w:sz w:val="20"/>
          <w:szCs w:val="18"/>
        </w:rPr>
        <w:t>Table S</w:t>
      </w:r>
      <w:r w:rsidR="00B77093">
        <w:rPr>
          <w:b/>
          <w:bCs/>
          <w:sz w:val="20"/>
          <w:szCs w:val="18"/>
        </w:rPr>
        <w:t>2</w:t>
      </w:r>
      <w:r>
        <w:rPr>
          <w:b/>
          <w:bCs/>
          <w:sz w:val="20"/>
          <w:szCs w:val="18"/>
        </w:rPr>
        <w:t>:</w:t>
      </w:r>
      <w:r w:rsidR="008F47CC">
        <w:rPr>
          <w:b/>
          <w:bCs/>
          <w:sz w:val="20"/>
          <w:szCs w:val="18"/>
        </w:rPr>
        <w:t xml:space="preserve"> Detailed</w:t>
      </w:r>
      <w:r>
        <w:rPr>
          <w:b/>
          <w:bCs/>
          <w:sz w:val="20"/>
          <w:szCs w:val="18"/>
        </w:rPr>
        <w:t xml:space="preserve"> Risky-rates and Optimal-rates in various conditions </w:t>
      </w:r>
      <w:r w:rsidR="00A80F81">
        <w:rPr>
          <w:b/>
          <w:bCs/>
          <w:sz w:val="20"/>
          <w:szCs w:val="18"/>
        </w:rPr>
        <w:t>in the relevant literature.</w:t>
      </w:r>
    </w:p>
    <w:p w14:paraId="08B50B0F" w14:textId="51CC5A20" w:rsidR="00BC07AA" w:rsidRPr="00827C63" w:rsidRDefault="00BC07AA" w:rsidP="00BC07AA">
      <w:pPr>
        <w:spacing w:after="0" w:line="240" w:lineRule="auto"/>
        <w:rPr>
          <w:rFonts w:cs="Times New Roman"/>
          <w:sz w:val="20"/>
          <w:szCs w:val="20"/>
        </w:rPr>
      </w:pPr>
      <w:r w:rsidRPr="00827C63">
        <w:rPr>
          <w:rFonts w:cs="Times New Roman"/>
          <w:sz w:val="20"/>
          <w:szCs w:val="20"/>
          <w:vertAlign w:val="superscript"/>
        </w:rPr>
        <w:t>1</w:t>
      </w:r>
      <w:r w:rsidRPr="00827C63">
        <w:rPr>
          <w:rFonts w:cs="Times New Roman"/>
          <w:sz w:val="20"/>
          <w:szCs w:val="20"/>
        </w:rPr>
        <w:t xml:space="preserve"> Many of the reported </w:t>
      </w:r>
      <w:r>
        <w:rPr>
          <w:rFonts w:cs="Times New Roman"/>
          <w:sz w:val="20"/>
          <w:szCs w:val="20"/>
        </w:rPr>
        <w:t>R-</w:t>
      </w:r>
      <w:r w:rsidRPr="00827C63">
        <w:rPr>
          <w:rFonts w:cs="Times New Roman"/>
          <w:sz w:val="20"/>
          <w:szCs w:val="20"/>
        </w:rPr>
        <w:t xml:space="preserve">rates are not presented per se in the relevant publications. In these cases, the </w:t>
      </w:r>
      <w:r w:rsidR="00B649F9">
        <w:rPr>
          <w:rFonts w:cs="Times New Roman"/>
          <w:sz w:val="20"/>
          <w:szCs w:val="20"/>
        </w:rPr>
        <w:t>R-</w:t>
      </w:r>
      <w:r w:rsidRPr="00827C63">
        <w:rPr>
          <w:rFonts w:cs="Times New Roman"/>
          <w:sz w:val="20"/>
          <w:szCs w:val="20"/>
        </w:rPr>
        <w:t>rates were obtained by averaging conditions in Table 2 (</w:t>
      </w:r>
      <w:r w:rsidRPr="00827C63">
        <w:rPr>
          <w:rFonts w:cs="Times New Roman"/>
          <w:i/>
          <w:iCs/>
          <w:sz w:val="20"/>
          <w:szCs w:val="20"/>
        </w:rPr>
        <w:t>Josephs 1992</w:t>
      </w:r>
      <w:r w:rsidRPr="00827C63">
        <w:rPr>
          <w:rFonts w:cs="Times New Roman"/>
          <w:sz w:val="20"/>
          <w:szCs w:val="20"/>
        </w:rPr>
        <w:t>); by re-analyzing the data kindly provided by the authors (</w:t>
      </w:r>
      <w:r w:rsidRPr="00827C63">
        <w:rPr>
          <w:rFonts w:cs="Times New Roman"/>
          <w:i/>
          <w:iCs/>
          <w:sz w:val="20"/>
          <w:szCs w:val="20"/>
        </w:rPr>
        <w:t>Jessup 2008</w:t>
      </w:r>
      <w:r w:rsidRPr="00827C63">
        <w:rPr>
          <w:rFonts w:cs="Times New Roman"/>
          <w:sz w:val="20"/>
          <w:szCs w:val="20"/>
        </w:rPr>
        <w:t>); extracted from Fig1(</w:t>
      </w:r>
      <w:r w:rsidRPr="00827C63">
        <w:rPr>
          <w:rFonts w:cs="Times New Roman"/>
          <w:i/>
          <w:iCs/>
          <w:sz w:val="20"/>
          <w:szCs w:val="20"/>
        </w:rPr>
        <w:t>Lejarraga 2015</w:t>
      </w:r>
      <w:r w:rsidRPr="00827C63">
        <w:rPr>
          <w:rFonts w:cs="Times New Roman"/>
          <w:sz w:val="20"/>
          <w:szCs w:val="20"/>
        </w:rPr>
        <w:t>); by re-analyzing the raw data available online (</w:t>
      </w:r>
      <w:r w:rsidRPr="00827C63">
        <w:rPr>
          <w:rFonts w:cs="Times New Roman"/>
          <w:i/>
          <w:iCs/>
          <w:sz w:val="20"/>
          <w:szCs w:val="20"/>
        </w:rPr>
        <w:t>Erev 2017</w:t>
      </w:r>
      <w:r w:rsidRPr="00827C63">
        <w:rPr>
          <w:rFonts w:cs="Times New Roman"/>
          <w:sz w:val="20"/>
          <w:szCs w:val="20"/>
        </w:rPr>
        <w:t xml:space="preserve">); </w:t>
      </w:r>
      <w:r w:rsidRPr="00827C63">
        <w:rPr>
          <w:rFonts w:cs="Times New Roman"/>
          <w:color w:val="000000" w:themeColor="text1"/>
          <w:sz w:val="20"/>
          <w:szCs w:val="20"/>
        </w:rPr>
        <w:t>by merging Table2 and Table3 (</w:t>
      </w:r>
      <w:r w:rsidRPr="00827C63">
        <w:rPr>
          <w:rFonts w:cs="Times New Roman"/>
          <w:i/>
          <w:iCs/>
          <w:color w:val="000000" w:themeColor="text1"/>
          <w:sz w:val="20"/>
          <w:szCs w:val="20"/>
        </w:rPr>
        <w:t>Goyal 2019</w:t>
      </w:r>
      <w:r w:rsidRPr="00827C63">
        <w:rPr>
          <w:rFonts w:cs="Times New Roman"/>
          <w:color w:val="000000" w:themeColor="text1"/>
          <w:sz w:val="20"/>
          <w:szCs w:val="20"/>
        </w:rPr>
        <w:t>). Note that R-rates in Goyal 2019 are not the typical Risky-rates, as this paper used a staircase procedure to compute the Certainty Equivalent of various risky gambles. R-rate here correspond to the percentage of risk seeking choices (choices where CE &gt; EV(gamble)).</w:t>
      </w:r>
      <w:r>
        <w:rPr>
          <w:rFonts w:cs="Times New Roman"/>
          <w:color w:val="000000" w:themeColor="text1"/>
          <w:sz w:val="20"/>
          <w:szCs w:val="20"/>
        </w:rPr>
        <w:t xml:space="preserve"> Additionally, none of the reported O-rates are</w:t>
      </w:r>
      <w:r w:rsidR="00B131BB">
        <w:rPr>
          <w:rFonts w:cs="Times New Roman"/>
          <w:color w:val="000000" w:themeColor="text1"/>
          <w:sz w:val="20"/>
          <w:szCs w:val="20"/>
        </w:rPr>
        <w:t xml:space="preserve"> </w:t>
      </w:r>
      <w:proofErr w:type="spellStart"/>
      <w:r w:rsidR="00B131BB">
        <w:rPr>
          <w:rFonts w:cs="Times New Roman"/>
          <w:color w:val="000000" w:themeColor="text1"/>
          <w:sz w:val="20"/>
          <w:szCs w:val="20"/>
        </w:rPr>
        <w:t>explicitely</w:t>
      </w:r>
      <w:proofErr w:type="spellEnd"/>
      <w:r>
        <w:rPr>
          <w:rFonts w:cs="Times New Roman"/>
          <w:color w:val="000000" w:themeColor="text1"/>
          <w:sz w:val="20"/>
          <w:szCs w:val="20"/>
        </w:rPr>
        <w:t xml:space="preserve"> presented as such in the relevant publications. We obtained them by converting R-rates to O-rates depending on the condition.</w:t>
      </w:r>
    </w:p>
    <w:p w14:paraId="2475E663" w14:textId="77777777" w:rsidR="00BC07AA" w:rsidRPr="00827C63" w:rsidRDefault="00BC07AA" w:rsidP="00BC07AA">
      <w:pPr>
        <w:spacing w:after="0" w:line="240" w:lineRule="auto"/>
        <w:rPr>
          <w:rFonts w:cs="Times New Roman"/>
          <w:sz w:val="20"/>
          <w:szCs w:val="20"/>
        </w:rPr>
      </w:pPr>
      <w:r w:rsidRPr="00827C63">
        <w:rPr>
          <w:rFonts w:cs="Times New Roman"/>
          <w:sz w:val="20"/>
          <w:szCs w:val="20"/>
          <w:vertAlign w:val="superscript"/>
        </w:rPr>
        <w:t xml:space="preserve">2 </w:t>
      </w:r>
      <w:r w:rsidRPr="00827C63">
        <w:rPr>
          <w:rFonts w:cs="Times New Roman"/>
          <w:sz w:val="20"/>
          <w:szCs w:val="20"/>
        </w:rPr>
        <w:t>Only one decision problem in the loss domain (meaning with all the outcomes being non-positive). In this study there are also problems with outcomes in both domains -this explains why we see a positive effect on O-rates both in the gain and in the loss domain, but not in general case.</w:t>
      </w:r>
    </w:p>
    <w:p w14:paraId="3B4CFD8F" w14:textId="77777777" w:rsidR="00A80F81" w:rsidRPr="00A80F81" w:rsidRDefault="00A80F81" w:rsidP="00014CDE">
      <w:pPr>
        <w:spacing w:after="0" w:line="240" w:lineRule="auto"/>
        <w:rPr>
          <w:b/>
          <w:bCs/>
          <w:sz w:val="20"/>
          <w:szCs w:val="18"/>
        </w:rPr>
      </w:pPr>
    </w:p>
    <w:p w14:paraId="363E6163" w14:textId="2DBDF67D" w:rsidR="00014CDE" w:rsidRDefault="00014CDE" w:rsidP="0033642D">
      <w:pPr>
        <w:spacing w:after="0" w:line="240" w:lineRule="auto"/>
        <w:jc w:val="center"/>
      </w:pPr>
    </w:p>
    <w:p w14:paraId="23E8FF77" w14:textId="77777777" w:rsidR="00BB7034" w:rsidRDefault="00BB7034" w:rsidP="00BB7034">
      <w:pPr>
        <w:jc w:val="left"/>
      </w:pPr>
    </w:p>
    <w:p w14:paraId="53DC1EC2" w14:textId="7C1AFD25" w:rsidR="00987B4D" w:rsidRDefault="0064325D" w:rsidP="0035616A">
      <w:pPr>
        <w:jc w:val="center"/>
      </w:pPr>
      <w:r w:rsidRPr="0064325D">
        <w:rPr>
          <w:noProof/>
        </w:rPr>
        <w:lastRenderedPageBreak/>
        <w:drawing>
          <wp:inline distT="0" distB="0" distL="0" distR="0" wp14:anchorId="326E72C6" wp14:editId="631A89FC">
            <wp:extent cx="7239000" cy="2890429"/>
            <wp:effectExtent l="0" t="0" r="0" b="5715"/>
            <wp:docPr id="425995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995228" name=""/>
                    <pic:cNvPicPr/>
                  </pic:nvPicPr>
                  <pic:blipFill>
                    <a:blip r:embed="rId9"/>
                    <a:stretch>
                      <a:fillRect/>
                    </a:stretch>
                  </pic:blipFill>
                  <pic:spPr>
                    <a:xfrm>
                      <a:off x="0" y="0"/>
                      <a:ext cx="7249781" cy="2894734"/>
                    </a:xfrm>
                    <a:prstGeom prst="rect">
                      <a:avLst/>
                    </a:prstGeom>
                  </pic:spPr>
                </pic:pic>
              </a:graphicData>
            </a:graphic>
          </wp:inline>
        </w:drawing>
      </w:r>
    </w:p>
    <w:p w14:paraId="467AD6FC" w14:textId="2AC28517" w:rsidR="00CE2E48" w:rsidRPr="00CE2E48" w:rsidRDefault="00987B4D" w:rsidP="00CE2E48">
      <w:pPr>
        <w:jc w:val="left"/>
        <w:rPr>
          <w:bCs/>
          <w:sz w:val="20"/>
          <w:szCs w:val="18"/>
        </w:rPr>
      </w:pPr>
      <w:r w:rsidRPr="008C67F3">
        <w:rPr>
          <w:b/>
          <w:bCs/>
          <w:sz w:val="20"/>
          <w:szCs w:val="18"/>
        </w:rPr>
        <w:t>Table S</w:t>
      </w:r>
      <w:r w:rsidR="0064325D">
        <w:rPr>
          <w:b/>
          <w:bCs/>
          <w:sz w:val="20"/>
          <w:szCs w:val="18"/>
        </w:rPr>
        <w:t>3</w:t>
      </w:r>
      <w:r w:rsidRPr="008C67F3">
        <w:rPr>
          <w:b/>
          <w:bCs/>
          <w:sz w:val="20"/>
          <w:szCs w:val="18"/>
        </w:rPr>
        <w:t>:</w:t>
      </w:r>
      <w:r w:rsidR="00712399">
        <w:rPr>
          <w:b/>
          <w:bCs/>
          <w:sz w:val="20"/>
          <w:szCs w:val="18"/>
        </w:rPr>
        <w:t xml:space="preserve"> </w:t>
      </w:r>
      <w:r w:rsidR="00712399" w:rsidRPr="00712399">
        <w:rPr>
          <w:b/>
          <w:bCs/>
          <w:sz w:val="20"/>
          <w:szCs w:val="18"/>
        </w:rPr>
        <w:t xml:space="preserve">mean percentages </w:t>
      </w:r>
      <w:r w:rsidR="00CE2E48">
        <w:rPr>
          <w:b/>
          <w:bCs/>
          <w:sz w:val="20"/>
          <w:szCs w:val="18"/>
        </w:rPr>
        <w:t>and fitted values when grouping experiments together</w:t>
      </w:r>
      <w:r w:rsidR="00712399" w:rsidRPr="00712399">
        <w:rPr>
          <w:b/>
          <w:bCs/>
          <w:sz w:val="20"/>
          <w:szCs w:val="18"/>
        </w:rPr>
        <w:t>.</w:t>
      </w:r>
      <w:r w:rsidR="00CE2E48">
        <w:rPr>
          <w:sz w:val="20"/>
          <w:szCs w:val="18"/>
        </w:rPr>
        <w:t xml:space="preserve"> </w:t>
      </w:r>
      <w:r w:rsidR="00CE2E48" w:rsidRPr="00CE2E48">
        <w:rPr>
          <w:i/>
          <w:iCs/>
          <w:sz w:val="20"/>
          <w:szCs w:val="18"/>
          <w:u w:val="single"/>
        </w:rPr>
        <w:t>Upper part</w:t>
      </w:r>
      <w:r w:rsidR="00CE2E48" w:rsidRPr="00CE2E48">
        <w:rPr>
          <w:i/>
          <w:iCs/>
          <w:sz w:val="20"/>
          <w:szCs w:val="18"/>
        </w:rPr>
        <w:t xml:space="preserve"> (sections A-D)</w:t>
      </w:r>
      <w:r w:rsidR="00CE2E48">
        <w:rPr>
          <w:sz w:val="20"/>
          <w:szCs w:val="18"/>
        </w:rPr>
        <w:t xml:space="preserve">: it is the analogous of Table 3 but after grouping experiments with respect to type of feedback (partial or complete) or to block instructions availability, as well as when grouping Exps 1-6 together. </w:t>
      </w:r>
      <w:r w:rsidR="00CE2E48" w:rsidRPr="00CE2E48">
        <w:rPr>
          <w:bCs/>
          <w:sz w:val="20"/>
          <w:szCs w:val="18"/>
        </w:rPr>
        <w:t xml:space="preserve">O=optimal, R=risky, nF= no feedback, F = feedback, t=trial, sB=sure-better, rB=risky-better. A|B means that A is computed in the condition B. </w:t>
      </w:r>
      <w:r w:rsidR="00CE2E48" w:rsidRPr="00CE2E48">
        <w:rPr>
          <w:bCs/>
          <w:i/>
          <w:iCs/>
          <w:sz w:val="20"/>
          <w:szCs w:val="18"/>
          <w:u w:val="single"/>
        </w:rPr>
        <w:t xml:space="preserve">Lower part </w:t>
      </w:r>
      <w:r w:rsidR="00CE2E48">
        <w:rPr>
          <w:bCs/>
          <w:sz w:val="20"/>
          <w:szCs w:val="18"/>
        </w:rPr>
        <w:t>(</w:t>
      </w:r>
      <w:r w:rsidR="00CE2E48" w:rsidRPr="00CE2E48">
        <w:rPr>
          <w:bCs/>
          <w:i/>
          <w:iCs/>
          <w:sz w:val="20"/>
          <w:szCs w:val="18"/>
        </w:rPr>
        <w:t>sections E-F</w:t>
      </w:r>
      <w:r w:rsidR="00CE2E48">
        <w:rPr>
          <w:bCs/>
          <w:sz w:val="20"/>
          <w:szCs w:val="18"/>
        </w:rPr>
        <w:t xml:space="preserve">): fitted values of the utility parameter (alpha) and the probability weighting function (gamma) for the various groupings of the experiments. </w:t>
      </w:r>
      <w:r w:rsidR="00CE2E48" w:rsidRPr="00CE2E48">
        <w:rPr>
          <w:bCs/>
          <w:sz w:val="20"/>
          <w:szCs w:val="18"/>
        </w:rPr>
        <w:t>P-values are Wilcoxon Signed-Rank tests.</w:t>
      </w:r>
    </w:p>
    <w:p w14:paraId="1621656A" w14:textId="71964ECC" w:rsidR="00987B4D" w:rsidRPr="008C67F3" w:rsidRDefault="00712399" w:rsidP="00987B4D">
      <w:pPr>
        <w:rPr>
          <w:b/>
          <w:bCs/>
          <w:sz w:val="20"/>
          <w:szCs w:val="18"/>
        </w:rPr>
      </w:pPr>
      <w:r w:rsidRPr="00712399">
        <w:rPr>
          <w:b/>
          <w:bCs/>
          <w:sz w:val="20"/>
          <w:szCs w:val="18"/>
        </w:rPr>
        <w:t xml:space="preserve"> </w:t>
      </w:r>
      <w:r w:rsidR="00987B4D" w:rsidRPr="008C67F3">
        <w:rPr>
          <w:b/>
          <w:bCs/>
          <w:sz w:val="20"/>
          <w:szCs w:val="18"/>
        </w:rPr>
        <w:t xml:space="preserve"> </w:t>
      </w:r>
    </w:p>
    <w:p w14:paraId="6E24BADC" w14:textId="08C0DAB2" w:rsidR="00987B4D" w:rsidRPr="00941909" w:rsidRDefault="002F0C18" w:rsidP="001D3AA6">
      <w:pPr>
        <w:jc w:val="left"/>
        <w:sectPr w:rsidR="00987B4D" w:rsidRPr="00941909" w:rsidSect="00941909">
          <w:pgSz w:w="16840" w:h="11900" w:orient="landscape"/>
          <w:pgMar w:top="720" w:right="720" w:bottom="720" w:left="720" w:header="708" w:footer="708" w:gutter="0"/>
          <w:cols w:space="708"/>
          <w:docGrid w:linePitch="360"/>
        </w:sectPr>
      </w:pPr>
      <w:r>
        <w:t xml:space="preserve"> </w:t>
      </w:r>
    </w:p>
    <w:p w14:paraId="1B7F124F" w14:textId="6A6A0B33" w:rsidR="00761E60" w:rsidRPr="0002518E" w:rsidRDefault="00761E60">
      <w:pPr>
        <w:pStyle w:val="Heading1"/>
        <w:rPr>
          <w:sz w:val="24"/>
          <w:lang w:val="en-US"/>
        </w:rPr>
      </w:pPr>
      <w:bookmarkStart w:id="2" w:name="_Hlk157007789"/>
      <w:r w:rsidRPr="00D50285">
        <w:rPr>
          <w:sz w:val="24"/>
          <w:lang w:val="en-US"/>
        </w:rPr>
        <w:lastRenderedPageBreak/>
        <w:t xml:space="preserve">Erev et al. </w:t>
      </w:r>
      <w:r w:rsidRPr="00FF5D4B">
        <w:rPr>
          <w:sz w:val="24"/>
          <w:lang w:val="en-US"/>
        </w:rPr>
        <w:t>(2017) re-anal</w:t>
      </w:r>
      <w:r w:rsidRPr="0002518E">
        <w:rPr>
          <w:sz w:val="24"/>
          <w:lang w:val="en-US"/>
        </w:rPr>
        <w:t xml:space="preserve">ysis </w:t>
      </w:r>
    </w:p>
    <w:bookmarkEnd w:id="2"/>
    <w:p w14:paraId="13C809BF" w14:textId="4B0E1B4A" w:rsidR="00FF5D4B" w:rsidRPr="0015561A" w:rsidRDefault="00FF5D4B" w:rsidP="003A2B40">
      <w:pPr>
        <w:pStyle w:val="BodyText"/>
      </w:pPr>
      <w:r w:rsidRPr="0015561A">
        <w:t xml:space="preserve">This is by far the most extensive study that includes description-only and </w:t>
      </w:r>
      <w:proofErr w:type="spellStart"/>
      <w:r w:rsidRPr="0015561A">
        <w:t>description+experience</w:t>
      </w:r>
      <w:proofErr w:type="spellEnd"/>
      <w:r w:rsidRPr="0015561A">
        <w:t xml:space="preserve"> choices, consisting of 150 decision problems</w:t>
      </w:r>
      <w:r w:rsidR="0002518E">
        <w:t xml:space="preserve"> and 446 participants</w:t>
      </w:r>
      <w:r w:rsidRPr="0015561A">
        <w:t xml:space="preserve">. However, the main goal of the </w:t>
      </w:r>
      <w:r w:rsidR="0002518E">
        <w:t>Erev et al.</w:t>
      </w:r>
      <w:r w:rsidR="003A2B40">
        <w:t xml:space="preserve"> 2017</w:t>
      </w:r>
      <w:r w:rsidR="0002518E">
        <w:t xml:space="preserve"> </w:t>
      </w:r>
      <w:r w:rsidRPr="0015561A">
        <w:t xml:space="preserve">paper </w:t>
      </w:r>
      <w:r w:rsidR="0002518E">
        <w:t>was</w:t>
      </w:r>
      <w:r w:rsidRPr="0015561A">
        <w:t xml:space="preserve"> not to compare these two paradigms. </w:t>
      </w:r>
      <w:r w:rsidR="003A2B40">
        <w:t>I</w:t>
      </w:r>
      <w:r w:rsidR="003A2B40" w:rsidRPr="0015561A">
        <w:t>n an attempt to facilitate this comparison</w:t>
      </w:r>
      <w:r w:rsidR="003A2B40">
        <w:t xml:space="preserve">, we processed </w:t>
      </w:r>
      <w:r w:rsidRPr="0015561A">
        <w:t xml:space="preserve">the raw data of </w:t>
      </w:r>
      <w:r w:rsidR="003A2B40">
        <w:t xml:space="preserve">the aforementioned paper and we examined whether we can replicate with their data our main results. In doing so, we focused on a subset of their decision problems, that enables us to answer the most important questions of our investigation. </w:t>
      </w:r>
      <w:r w:rsidR="003A2B40" w:rsidRPr="003A2B40">
        <w:t xml:space="preserve"> </w:t>
      </w:r>
      <w:r w:rsidR="003A2B40">
        <w:t xml:space="preserve">  </w:t>
      </w:r>
      <w:r w:rsidRPr="0015561A">
        <w:t xml:space="preserve"> </w:t>
      </w:r>
    </w:p>
    <w:p w14:paraId="089D7880" w14:textId="343BDE8D" w:rsidR="00785D21" w:rsidRDefault="00FF5D4B" w:rsidP="00FF5D4B">
      <w:pPr>
        <w:pStyle w:val="BodyText"/>
      </w:pPr>
      <w:r w:rsidRPr="0015561A">
        <w:t xml:space="preserve">First of all, we excluded from our analysis problems that involve ambiguity, more than two outcomes for one option, </w:t>
      </w:r>
      <w:r w:rsidR="0002518E">
        <w:t xml:space="preserve">a </w:t>
      </w:r>
      <w:r w:rsidRPr="0015561A">
        <w:t>correlation between the outcomes of the two lotteries, and decisions without lotteries (</w:t>
      </w:r>
      <w:proofErr w:type="spellStart"/>
      <w:r w:rsidRPr="0015561A">
        <w:t>eg</w:t>
      </w:r>
      <w:proofErr w:type="spellEnd"/>
      <w:r w:rsidRPr="0015561A">
        <w:t xml:space="preserve"> coin-toss). </w:t>
      </w:r>
      <w:r w:rsidR="00785D21">
        <w:t>Additionally, t</w:t>
      </w:r>
      <w:r w:rsidRPr="0015561A">
        <w:t>o</w:t>
      </w:r>
      <w:r w:rsidR="003A2B40">
        <w:t xml:space="preserve"> be able to</w:t>
      </w:r>
      <w:r w:rsidRPr="0015561A">
        <w:t xml:space="preserve"> assess the effect of feedback on EV-maximization</w:t>
      </w:r>
      <w:r w:rsidR="00785D21">
        <w:t xml:space="preserve"> and on risk propensity</w:t>
      </w:r>
      <w:r w:rsidRPr="0015561A">
        <w:t xml:space="preserve">, we further excluded </w:t>
      </w:r>
      <w:r w:rsidR="003A2B40">
        <w:t>decision</w:t>
      </w:r>
      <w:r w:rsidRPr="0015561A">
        <w:t xml:space="preserve"> problems in which the two options had equal EVs</w:t>
      </w:r>
      <w:r w:rsidR="00785D21">
        <w:t xml:space="preserve">, problems that did not have the form of a sure vs a risky lottery, trivial problems (problems in which one option dominates the other) and problems with extreme </w:t>
      </w:r>
      <w:r w:rsidR="00785D21" w:rsidRPr="00785D21">
        <w:t>probabilities</w:t>
      </w:r>
      <w:r w:rsidR="00785D21">
        <w:t xml:space="preserve"> for the risky option (1% or 99%)</w:t>
      </w:r>
      <w:r w:rsidRPr="0015561A">
        <w:t xml:space="preserve">; this left us with </w:t>
      </w:r>
      <w:r w:rsidR="005A599E">
        <w:t>3</w:t>
      </w:r>
      <w:r w:rsidRPr="0015561A">
        <w:t>1 decision problems</w:t>
      </w:r>
      <w:r w:rsidR="005A599E">
        <w:t>, which constitute the pool for the following discussion.</w:t>
      </w:r>
      <w:r w:rsidRPr="0015561A">
        <w:t xml:space="preserve"> </w:t>
      </w:r>
    </w:p>
    <w:p w14:paraId="17448A2F" w14:textId="437650AF" w:rsidR="000E5F77" w:rsidRDefault="000E5F77" w:rsidP="00FF5D4B">
      <w:pPr>
        <w:pStyle w:val="BodyText"/>
      </w:pPr>
      <w:r>
        <w:t>In the aforementioned pool of decision problems of Erev et al. 2017,</w:t>
      </w:r>
      <w:r w:rsidR="00350F68">
        <w:t xml:space="preserve"> as mentioned in the main text,</w:t>
      </w:r>
      <w:r>
        <w:t xml:space="preserve"> there is an absence of an effect of feedback on the optimal choice, a significant effect of feedback on increasing risky choice rates</w:t>
      </w:r>
      <w:r w:rsidR="00350F68">
        <w:t>,</w:t>
      </w:r>
      <w:r w:rsidR="00A37712">
        <w:t xml:space="preserve"> </w:t>
      </w:r>
      <w:r w:rsidR="00350F68">
        <w:t xml:space="preserve">and a gambler’s fallacy pattern. </w:t>
      </w:r>
      <w:r w:rsidR="00FA7A93">
        <w:t xml:space="preserve">Additionally, Erev, which features complete feedback, replicates the monotonic relationship between the effect of feedback on R-rates and the probability level of the </w:t>
      </w:r>
      <w:r w:rsidR="004B7B8B">
        <w:t>best</w:t>
      </w:r>
      <w:r w:rsidR="00FA7A93">
        <w:t xml:space="preserve"> outcome of the risky option, which is also present in our complete feedback experiments. So</w:t>
      </w:r>
      <w:r w:rsidR="00350F68">
        <w:t xml:space="preserve">, Erev et al. 2017 </w:t>
      </w:r>
      <w:r w:rsidR="00FA7A93">
        <w:t xml:space="preserve">verifies and thus </w:t>
      </w:r>
      <w:r w:rsidR="00350F68" w:rsidRPr="00350F68">
        <w:t>solidifies</w:t>
      </w:r>
      <w:r w:rsidR="00350F68">
        <w:t xml:space="preserve"> </w:t>
      </w:r>
      <w:r w:rsidR="00A37712">
        <w:t>most</w:t>
      </w:r>
      <w:r w:rsidR="00350F68">
        <w:t xml:space="preserve"> of our main findings</w:t>
      </w:r>
      <w:r w:rsidR="001A51E9" w:rsidRPr="00B664BD">
        <w:t xml:space="preserve"> -</w:t>
      </w:r>
      <w:r w:rsidR="001A51E9">
        <w:t>with the first-trial effect being the only one remaining to be examined</w:t>
      </w:r>
      <w:r w:rsidR="00350F68">
        <w:t>.</w:t>
      </w:r>
    </w:p>
    <w:p w14:paraId="1A6928AD" w14:textId="579EA3A3" w:rsidR="0007146B" w:rsidRDefault="00721248" w:rsidP="0084454A">
      <w:pPr>
        <w:pStyle w:val="BodyText"/>
      </w:pPr>
      <w:r>
        <w:t xml:space="preserve">To do so, we first have to </w:t>
      </w:r>
      <w:r w:rsidR="004669AA">
        <w:t>look into</w:t>
      </w:r>
      <w:r>
        <w:t xml:space="preserve"> the ordering of the blocks/problems in Erev et al 2017. Erev used two order conditions tested between-subjects. In the “by</w:t>
      </w:r>
      <w:r w:rsidR="00135DDF">
        <w:t>-</w:t>
      </w:r>
      <w:r>
        <w:t>problem” order, all trials related to a decision problem were presented in a row</w:t>
      </w:r>
      <w:r w:rsidR="003730F1">
        <w:t>, in a block of twenty-five trials</w:t>
      </w:r>
      <w:r>
        <w:t>, with five no-feedback trials in the beginning and twenty feedback trials following (</w:t>
      </w:r>
      <w:r w:rsidRPr="00721248">
        <w:rPr>
          <w:b/>
        </w:rPr>
        <w:t>Figure S1A</w:t>
      </w:r>
      <w:r>
        <w:t>). In the “by</w:t>
      </w:r>
      <w:r w:rsidR="00135DDF">
        <w:t>-</w:t>
      </w:r>
      <w:r>
        <w:t xml:space="preserve">feedback” order, subjects first faced all the no-feedback trials for all the problems (with </w:t>
      </w:r>
      <w:r w:rsidR="004669AA">
        <w:t xml:space="preserve">the five no-feedback </w:t>
      </w:r>
      <w:r>
        <w:t>trials of each problem being</w:t>
      </w:r>
      <w:r w:rsidR="004A13D8">
        <w:t xml:space="preserve"> consecutive, i.e.</w:t>
      </w:r>
      <w:r>
        <w:t xml:space="preserve"> grouped in mini-blocks)</w:t>
      </w:r>
      <w:r w:rsidR="00BB6B1A">
        <w:t>, and then they faced all the feedback trials for all the problems (again, grouped in mini-blocks</w:t>
      </w:r>
      <w:r w:rsidR="004669AA">
        <w:t xml:space="preserve"> of twenty trials each</w:t>
      </w:r>
      <w:r w:rsidR="00BB6B1A">
        <w:t>)</w:t>
      </w:r>
      <w:r w:rsidR="004A13D8">
        <w:t xml:space="preserve"> (</w:t>
      </w:r>
      <w:r w:rsidR="004A13D8" w:rsidRPr="00721248">
        <w:rPr>
          <w:b/>
        </w:rPr>
        <w:t>Figure S1</w:t>
      </w:r>
      <w:r w:rsidR="004A13D8">
        <w:rPr>
          <w:b/>
        </w:rPr>
        <w:t>B</w:t>
      </w:r>
      <w:r w:rsidR="004A13D8">
        <w:t>)</w:t>
      </w:r>
      <w:r w:rsidR="00135DDF">
        <w:t xml:space="preserve">. Notably, between the two parts of the by-feedback order, namely the </w:t>
      </w:r>
      <w:r w:rsidR="00135DDF">
        <w:lastRenderedPageBreak/>
        <w:t xml:space="preserve">no-feedback and the feedback one, there were instructions explicitly informing the participants of the presence of feedback in the </w:t>
      </w:r>
      <w:r w:rsidR="004669AA">
        <w:t>second (</w:t>
      </w:r>
      <w:r w:rsidR="00135DDF">
        <w:t>feedback</w:t>
      </w:r>
      <w:r w:rsidR="004669AA">
        <w:t>)</w:t>
      </w:r>
      <w:r w:rsidR="00135DDF">
        <w:t xml:space="preserve"> part</w:t>
      </w:r>
      <w:r w:rsidR="004A13D8">
        <w:t xml:space="preserve">. </w:t>
      </w:r>
      <w:r w:rsidR="00135DDF">
        <w:t xml:space="preserve">Hence, </w:t>
      </w:r>
      <w:r w:rsidR="00FC16E7">
        <w:t xml:space="preserve">in the by-feedback condition subjects </w:t>
      </w:r>
      <w:r w:rsidR="00135DDF">
        <w:t>knew</w:t>
      </w:r>
      <w:r w:rsidR="00FC16E7">
        <w:t xml:space="preserve"> they </w:t>
      </w:r>
      <w:r w:rsidR="00135DDF">
        <w:t>would</w:t>
      </w:r>
      <w:r w:rsidR="00FC16E7">
        <w:t xml:space="preserve"> receive feedback before even receiving </w:t>
      </w:r>
      <w:r w:rsidR="00135DDF">
        <w:t>it -resembling the case in which our experiments feature block instructions</w:t>
      </w:r>
      <w:r w:rsidR="00135DDF" w:rsidRPr="00F82BA6">
        <w:rPr>
          <w:rStyle w:val="FootnoteReference"/>
        </w:rPr>
        <w:footnoteReference w:id="1"/>
      </w:r>
      <w:r w:rsidR="00135DDF">
        <w:t>. In contrast, in the by-problem order, not only the instructions were vaguer not revealing the exact structure of each block</w:t>
      </w:r>
      <w:r w:rsidR="00135DDF" w:rsidRPr="00F82BA6">
        <w:rPr>
          <w:rStyle w:val="FootnoteReference"/>
        </w:rPr>
        <w:footnoteReference w:id="2"/>
      </w:r>
      <w:r w:rsidR="00135DDF">
        <w:t>, but even if the subjects knew (or managed to discover throughout the task) the exact structure, they would still have to count precisely in each block the number of no-feedback trials, to know</w:t>
      </w:r>
      <w:r w:rsidR="004669AA">
        <w:t xml:space="preserve"> exactly</w:t>
      </w:r>
      <w:r w:rsidR="00135DDF">
        <w:t xml:space="preserve"> when the feedback ones begin.</w:t>
      </w:r>
      <w:r w:rsidR="004669AA">
        <w:t xml:space="preserve"> While we cannot be sure about whether participants were dedicated enough to determine precisely the beginning of each feedback mini-block in the by-problem condition, we can probably speculate that many of them did not. If the latter </w:t>
      </w:r>
      <w:r w:rsidR="003730F1">
        <w:t>is</w:t>
      </w:r>
      <w:r w:rsidR="004669AA">
        <w:t xml:space="preserve"> the case, then the by-problem condition resembles </w:t>
      </w:r>
      <w:r w:rsidR="003730F1">
        <w:t xml:space="preserve">our experiments that did not feature block instructions: at the beginning of the first feedback trial (trial 6) subjects did not know whether they would receive feedback or not, and after receiving feedback in trial 6, they would know from trial 7 onwards that the rest of the block comprises of feedback trials. </w:t>
      </w:r>
    </w:p>
    <w:p w14:paraId="7BF87CDA" w14:textId="06642EF7" w:rsidR="003730F1" w:rsidRDefault="003730F1" w:rsidP="0084454A">
      <w:pPr>
        <w:pStyle w:val="BodyText"/>
      </w:pPr>
      <w:r>
        <w:t>According to our findings and interpretations, we thus expected that in the by-problem condition (resembling the case without block instructions), we would not see a difference in the R-rates between trial 5 and trial 6, and we would see a difference in the R-rates between trial 6 and trial 7. In contrast, in the by-feedback condition (resembling the case with block instructions), we would expect the increase of R-rates to appear immediately in the presence of feedback, namely between trial 5 and trial 6 (again, grouping all the twenty-five trials of each decision problem in one block, just for the sake of the analysis).</w:t>
      </w:r>
      <w:r w:rsidR="004D7E7B">
        <w:t xml:space="preserve"> This is exactly the pattern we observe in the behavioral results of Erev et al 2017 (</w:t>
      </w:r>
      <w:r w:rsidR="004D7E7B" w:rsidRPr="00721248">
        <w:rPr>
          <w:b/>
        </w:rPr>
        <w:t>Figure S1</w:t>
      </w:r>
      <w:r w:rsidR="004D7E7B">
        <w:rPr>
          <w:b/>
        </w:rPr>
        <w:t>C &amp; D</w:t>
      </w:r>
      <w:r w:rsidR="004D7E7B">
        <w:t>).</w:t>
      </w:r>
    </w:p>
    <w:p w14:paraId="2F4DEBBB" w14:textId="77777777" w:rsidR="0084454A" w:rsidRPr="0002518E" w:rsidRDefault="0084454A" w:rsidP="0084454A">
      <w:pPr>
        <w:pStyle w:val="BodyText"/>
      </w:pPr>
    </w:p>
    <w:p w14:paraId="6B9222F8" w14:textId="31AEA0E0" w:rsidR="0007146B" w:rsidRDefault="0031040B" w:rsidP="0002518E">
      <w:pPr>
        <w:rPr>
          <w:lang w:val="fr-FR"/>
        </w:rPr>
      </w:pPr>
      <w:r w:rsidRPr="0031040B">
        <w:rPr>
          <w:noProof/>
          <w:lang w:val="fr-FR"/>
        </w:rPr>
        <w:lastRenderedPageBreak/>
        <w:drawing>
          <wp:inline distT="0" distB="0" distL="0" distR="0" wp14:anchorId="135E9170" wp14:editId="4B0CEB3A">
            <wp:extent cx="5756910" cy="30270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6910" cy="3027045"/>
                    </a:xfrm>
                    <a:prstGeom prst="rect">
                      <a:avLst/>
                    </a:prstGeom>
                  </pic:spPr>
                </pic:pic>
              </a:graphicData>
            </a:graphic>
          </wp:inline>
        </w:drawing>
      </w:r>
    </w:p>
    <w:p w14:paraId="261E00CF" w14:textId="4444D88D" w:rsidR="00721248" w:rsidRPr="009E1FFB" w:rsidRDefault="00721248" w:rsidP="0002518E">
      <w:r w:rsidRPr="00EB7926">
        <w:rPr>
          <w:b/>
          <w:bCs/>
          <w:sz w:val="20"/>
          <w:szCs w:val="20"/>
        </w:rPr>
        <w:t xml:space="preserve">Figure </w:t>
      </w:r>
      <w:r>
        <w:rPr>
          <w:b/>
          <w:bCs/>
          <w:sz w:val="20"/>
          <w:szCs w:val="20"/>
        </w:rPr>
        <w:t>S1</w:t>
      </w:r>
      <w:r w:rsidRPr="00EB7926">
        <w:rPr>
          <w:b/>
          <w:bCs/>
          <w:sz w:val="20"/>
          <w:szCs w:val="20"/>
        </w:rPr>
        <w:t xml:space="preserve">: </w:t>
      </w:r>
      <w:r w:rsidR="00CF02F6" w:rsidRPr="00CF1022">
        <w:rPr>
          <w:b/>
          <w:sz w:val="20"/>
          <w:szCs w:val="20"/>
        </w:rPr>
        <w:t>re-analysis of Erev et al. (2017)</w:t>
      </w:r>
      <w:r w:rsidR="00CF02F6">
        <w:rPr>
          <w:b/>
          <w:sz w:val="20"/>
          <w:szCs w:val="20"/>
        </w:rPr>
        <w:t xml:space="preserve">. </w:t>
      </w:r>
      <w:r>
        <w:rPr>
          <w:sz w:val="20"/>
          <w:szCs w:val="20"/>
        </w:rPr>
        <w:t>(</w:t>
      </w:r>
      <w:r>
        <w:rPr>
          <w:b/>
          <w:bCs/>
          <w:sz w:val="20"/>
          <w:szCs w:val="20"/>
        </w:rPr>
        <w:t>A</w:t>
      </w:r>
      <w:r>
        <w:rPr>
          <w:sz w:val="20"/>
          <w:szCs w:val="20"/>
        </w:rPr>
        <w:t xml:space="preserve">) </w:t>
      </w:r>
      <w:r w:rsidR="00CF02F6">
        <w:rPr>
          <w:sz w:val="20"/>
          <w:szCs w:val="20"/>
        </w:rPr>
        <w:t>Illustration of the ordering of the decision problems (P</w:t>
      </w:r>
      <w:proofErr w:type="gramStart"/>
      <w:r w:rsidR="00CF02F6">
        <w:rPr>
          <w:sz w:val="20"/>
          <w:szCs w:val="20"/>
        </w:rPr>
        <w:t>1,…</w:t>
      </w:r>
      <w:proofErr w:type="gramEnd"/>
      <w:r w:rsidR="00CF02F6">
        <w:rPr>
          <w:sz w:val="20"/>
          <w:szCs w:val="20"/>
        </w:rPr>
        <w:t>,</w:t>
      </w:r>
      <w:r w:rsidR="00BC5E63">
        <w:rPr>
          <w:sz w:val="20"/>
          <w:szCs w:val="20"/>
        </w:rPr>
        <w:t xml:space="preserve"> </w:t>
      </w:r>
      <w:proofErr w:type="spellStart"/>
      <w:r w:rsidR="00CF02F6">
        <w:rPr>
          <w:sz w:val="20"/>
          <w:szCs w:val="20"/>
        </w:rPr>
        <w:t>Pn</w:t>
      </w:r>
      <w:proofErr w:type="spellEnd"/>
      <w:r w:rsidR="00CF02F6">
        <w:rPr>
          <w:sz w:val="20"/>
          <w:szCs w:val="20"/>
        </w:rPr>
        <w:t xml:space="preserve">) and </w:t>
      </w:r>
      <w:r w:rsidR="00BC5E63">
        <w:rPr>
          <w:sz w:val="20"/>
          <w:szCs w:val="20"/>
        </w:rPr>
        <w:t>no-feedback/</w:t>
      </w:r>
      <w:r w:rsidR="00CF02F6">
        <w:rPr>
          <w:sz w:val="20"/>
          <w:szCs w:val="20"/>
        </w:rPr>
        <w:t>feedback trials</w:t>
      </w:r>
      <w:r w:rsidR="00BC5E63">
        <w:rPr>
          <w:sz w:val="20"/>
          <w:szCs w:val="20"/>
        </w:rPr>
        <w:t xml:space="preserve"> (blue/green, respectively)</w:t>
      </w:r>
      <w:r w:rsidR="00CF02F6">
        <w:rPr>
          <w:sz w:val="20"/>
          <w:szCs w:val="20"/>
        </w:rPr>
        <w:t xml:space="preserve"> in the “by-decision” condition.</w:t>
      </w:r>
      <w:r w:rsidR="00BC5E63">
        <w:rPr>
          <w:sz w:val="20"/>
          <w:szCs w:val="20"/>
        </w:rPr>
        <w:t xml:space="preserve"> All trials of a decision problem are grouped together in a block, with no-feedback trials always preceding the feedback ones in all blocks. The subtitle refers to the analogous condition in our experiments -here, the by-problem condition of Erev et al. 2017 corresponds to the case w</w:t>
      </w:r>
      <w:r w:rsidR="00284307">
        <w:rPr>
          <w:sz w:val="20"/>
          <w:szCs w:val="20"/>
        </w:rPr>
        <w:t>h</w:t>
      </w:r>
      <w:r w:rsidR="00BC5E63">
        <w:rPr>
          <w:sz w:val="20"/>
          <w:szCs w:val="20"/>
        </w:rPr>
        <w:t xml:space="preserve">ere we do not have block instructions in our experiments. </w:t>
      </w:r>
      <w:r w:rsidR="00CF02F6">
        <w:rPr>
          <w:sz w:val="20"/>
          <w:szCs w:val="20"/>
        </w:rPr>
        <w:t xml:space="preserve"> </w:t>
      </w:r>
      <w:r w:rsidR="00BC5E63">
        <w:rPr>
          <w:sz w:val="20"/>
          <w:szCs w:val="20"/>
        </w:rPr>
        <w:t>(</w:t>
      </w:r>
      <w:r w:rsidR="00BC5E63">
        <w:rPr>
          <w:b/>
          <w:bCs/>
          <w:sz w:val="20"/>
          <w:szCs w:val="20"/>
        </w:rPr>
        <w:t>B</w:t>
      </w:r>
      <w:r w:rsidR="00BC5E63">
        <w:rPr>
          <w:sz w:val="20"/>
          <w:szCs w:val="20"/>
        </w:rPr>
        <w:t>) same as (A), but for the “by-feedback” condition. (</w:t>
      </w:r>
      <w:r w:rsidR="00BC5E63">
        <w:rPr>
          <w:b/>
          <w:bCs/>
          <w:sz w:val="20"/>
          <w:szCs w:val="20"/>
        </w:rPr>
        <w:t>C</w:t>
      </w:r>
      <w:r w:rsidR="00BC5E63">
        <w:rPr>
          <w:sz w:val="20"/>
          <w:szCs w:val="20"/>
        </w:rPr>
        <w:t xml:space="preserve">) </w:t>
      </w:r>
      <w:r w:rsidR="00BC5E63" w:rsidRPr="00BC5E63">
        <w:rPr>
          <w:sz w:val="20"/>
          <w:szCs w:val="20"/>
        </w:rPr>
        <w:t>The colored lines represent the risky choice rate as a function of the feedback condition and the trial number within a block.</w:t>
      </w:r>
      <w:r w:rsidR="00BC5E63">
        <w:rPr>
          <w:sz w:val="20"/>
          <w:szCs w:val="20"/>
        </w:rPr>
        <w:t xml:space="preserve"> (</w:t>
      </w:r>
      <w:r w:rsidR="00BC5E63">
        <w:rPr>
          <w:b/>
          <w:bCs/>
          <w:sz w:val="20"/>
          <w:szCs w:val="20"/>
        </w:rPr>
        <w:t>D</w:t>
      </w:r>
      <w:r w:rsidR="00BC5E63">
        <w:rPr>
          <w:sz w:val="20"/>
          <w:szCs w:val="20"/>
        </w:rPr>
        <w:t xml:space="preserve">) same as (C) but for the “by-feedback” condition. </w:t>
      </w:r>
      <w:r w:rsidR="00BC5E63">
        <w:rPr>
          <w:sz w:val="20"/>
          <w:szCs w:val="20"/>
        </w:rPr>
        <w:br/>
      </w:r>
      <w:r w:rsidR="00FC015F">
        <w:rPr>
          <w:sz w:val="20"/>
          <w:szCs w:val="20"/>
        </w:rPr>
        <w:t xml:space="preserve">Wilcoxon signed-rank test: </w:t>
      </w:r>
      <w:r w:rsidR="00BC5E63" w:rsidRPr="00BC5E63">
        <w:rPr>
          <w:sz w:val="20"/>
          <w:szCs w:val="20"/>
        </w:rPr>
        <w:t>**</w:t>
      </w:r>
      <w:r w:rsidR="00BC5E63">
        <w:rPr>
          <w:sz w:val="20"/>
          <w:szCs w:val="20"/>
        </w:rPr>
        <w:t>*</w:t>
      </w:r>
      <w:r w:rsidR="00FC015F">
        <w:rPr>
          <w:sz w:val="20"/>
          <w:szCs w:val="20"/>
        </w:rPr>
        <w:t xml:space="preserve">: </w:t>
      </w:r>
      <w:r w:rsidR="00BC5E63" w:rsidRPr="00BC5E63">
        <w:rPr>
          <w:sz w:val="20"/>
          <w:szCs w:val="20"/>
        </w:rPr>
        <w:t>p&lt;0.0</w:t>
      </w:r>
      <w:r w:rsidR="00BC5E63">
        <w:rPr>
          <w:sz w:val="20"/>
          <w:szCs w:val="20"/>
        </w:rPr>
        <w:t>0</w:t>
      </w:r>
      <w:r w:rsidR="00BC5E63" w:rsidRPr="00BC5E63">
        <w:rPr>
          <w:sz w:val="20"/>
          <w:szCs w:val="20"/>
        </w:rPr>
        <w:t xml:space="preserve">1 </w:t>
      </w:r>
      <w:r w:rsidR="00BC5E63">
        <w:rPr>
          <w:sz w:val="20"/>
          <w:szCs w:val="20"/>
        </w:rPr>
        <w:t xml:space="preserve">| </w:t>
      </w:r>
      <w:proofErr w:type="spellStart"/>
      <w:r w:rsidR="00BC5E63">
        <w:rPr>
          <w:sz w:val="20"/>
          <w:szCs w:val="20"/>
        </w:rPr>
        <w:t>n.s</w:t>
      </w:r>
      <w:proofErr w:type="spellEnd"/>
      <w:r w:rsidR="00BC5E63">
        <w:rPr>
          <w:sz w:val="20"/>
          <w:szCs w:val="20"/>
        </w:rPr>
        <w:t xml:space="preserve">.: p&gt;0.05 </w:t>
      </w:r>
    </w:p>
    <w:p w14:paraId="1570D3A4" w14:textId="77777777" w:rsidR="00586DB1" w:rsidRDefault="00586DB1">
      <w:pPr>
        <w:spacing w:after="0" w:line="240" w:lineRule="auto"/>
        <w:jc w:val="left"/>
        <w:rPr>
          <w:b/>
          <w:bCs/>
          <w:szCs w:val="24"/>
        </w:rPr>
      </w:pPr>
      <w:r>
        <w:br w:type="page"/>
      </w:r>
    </w:p>
    <w:p w14:paraId="19B6A0F3" w14:textId="6580B371" w:rsidR="00A42946" w:rsidRDefault="000D6A48">
      <w:pPr>
        <w:pStyle w:val="Heading1"/>
      </w:pPr>
      <w:r w:rsidRPr="00E158AA">
        <w:rPr>
          <w:sz w:val="24"/>
          <w:lang w:val="en-US"/>
        </w:rPr>
        <w:lastRenderedPageBreak/>
        <w:t xml:space="preserve">Cognitive </w:t>
      </w:r>
      <w:r w:rsidR="00377FB7" w:rsidRPr="00377FB7">
        <w:rPr>
          <w:sz w:val="24"/>
          <w:lang w:val="en-US"/>
        </w:rPr>
        <w:t>modeling</w:t>
      </w:r>
      <w:r w:rsidRPr="00E158AA">
        <w:rPr>
          <w:sz w:val="24"/>
          <w:lang w:val="en-US"/>
        </w:rPr>
        <w:t xml:space="preserve"> </w:t>
      </w:r>
    </w:p>
    <w:p w14:paraId="1AC91886" w14:textId="2473E909" w:rsidR="00135DDF" w:rsidRPr="00586DB1" w:rsidRDefault="00634652" w:rsidP="00586DB1">
      <w:pPr>
        <w:pStyle w:val="Heading2"/>
        <w:rPr>
          <w:lang w:val="en-US"/>
        </w:rPr>
      </w:pPr>
      <w:r>
        <w:rPr>
          <w:lang w:val="en-US"/>
        </w:rPr>
        <w:t>Results</w:t>
      </w:r>
    </w:p>
    <w:p w14:paraId="1E5091B2" w14:textId="0E628F8D" w:rsidR="00566A4D" w:rsidRDefault="00566A4D" w:rsidP="00566A4D">
      <w:pPr>
        <w:pStyle w:val="BodyText"/>
      </w:pPr>
      <w:r>
        <w:t>Finally, we analyzed our main datasets</w:t>
      </w:r>
      <w:r w:rsidR="002F4268">
        <w:t xml:space="preserve"> (experiments 1-6)</w:t>
      </w:r>
      <w:r>
        <w:t xml:space="preserve"> through the lens of descriptive behavioral modeling. More specifically we applied a two-parameters version of Cumulative Prospect Theory (CPT; </w:t>
      </w:r>
      <w:r>
        <w:fldChar w:fldCharType="begin"/>
      </w:r>
      <w:r w:rsidR="00AF61E2">
        <w:instrText xml:space="preserve"> ADDIN ZOTERO_ITEM CSL_CITATION {"citationID":"VO2N7G4T","properties":{"formattedCitation":"(Tversky &amp; Kahneman, 1992)","plainCitation":"(Tversky &amp; Kahneman, 1992)","noteIndex":0},"citationItems":[{"id":"cS3VQJIE/swpUsfzn","uris":["http://zotero.org/users/7973637/items/CU3IR3DV"],"itemData":{"id":46,"type":"article-journal","abstract":"We develop a new version of prospect theory that employs cumulative rather than separable decision weights and extends the theory in several respects. This version, called cumulative prospect theory, applies to uncertain as well as to risky prospects with any number of outcomes, and it allows different weighting functions for gains and for losses. Two principles, diminishing sensitivity and loss aversion, are invoked to explain the characteristic curvature of the value function and the weighting functions. A review of the experimental evidence and the results of a new experiment confirm a distinctive fourfold pattern of risk attitudes: risk aversion for gains and risk seeking for losses of high probability; risk seeking for gains and risk aversion for losses of low probability.","container-title":"Journal of Risk and Uncertainty","DOI":"10.1007/BF00122574","ISSN":"1573-0476","issue":"4","journalAbbreviation":"J Risk Uncertainty","language":"en","page":"297-323","source":"Springer Link","title":"Advances in prospect theory: Cumulative representation of uncertainty","title-short":"Advances in prospect theory","volume":"5","author":[{"family":"Tversky","given":"Amos"},{"family":"Kahneman","given":"Daniel"}],"issued":{"date-parts":[["1992",10,1]]}}}],"schema":"https://github.com/citation-style-language/schema/raw/master/csl-citation.json"} </w:instrText>
      </w:r>
      <w:r>
        <w:fldChar w:fldCharType="separate"/>
      </w:r>
      <w:r>
        <w:rPr>
          <w:noProof/>
        </w:rPr>
        <w:t>(Tversky &amp; Kahneman, 1992)</w:t>
      </w:r>
      <w:r>
        <w:fldChar w:fldCharType="end"/>
      </w:r>
      <w:r>
        <w:t xml:space="preserve">) that we fitted separately per subject and per </w:t>
      </w:r>
      <w:r w:rsidR="00551B75">
        <w:t xml:space="preserve"> </w:t>
      </w:r>
      <w:r w:rsidR="0097755A">
        <w:t xml:space="preserve">feedback </w:t>
      </w:r>
      <w:r>
        <w:t xml:space="preserve">condition (feedback / no feedback) (see also </w:t>
      </w:r>
      <w:r w:rsidRPr="0087482B">
        <w:rPr>
          <w:b/>
        </w:rPr>
        <w:t>Supplementary Materials</w:t>
      </w:r>
      <w:r>
        <w:t>). After checking that they were correctly recoverable in simulated datasets, we found that both the utility curvature parameter and the probability distortion parameter increased with the presence of feedback (both P &lt; 0.001;</w:t>
      </w:r>
      <w:r w:rsidR="005816E1">
        <w:t xml:space="preserve"> </w:t>
      </w:r>
      <w:r w:rsidR="005816E1">
        <w:rPr>
          <w:b/>
          <w:bCs/>
        </w:rPr>
        <w:t>Figure S2A-B</w:t>
      </w:r>
      <w:r w:rsidR="005816E1">
        <w:rPr>
          <w:bCs/>
        </w:rPr>
        <w:t>;</w:t>
      </w:r>
      <w:r>
        <w:t xml:space="preserve"> </w:t>
      </w:r>
      <w:r>
        <w:rPr>
          <w:b/>
          <w:bCs/>
        </w:rPr>
        <w:t>Table S3.E-F</w:t>
      </w:r>
      <w:r>
        <w:t xml:space="preserve">). Of note, these (significant) differences between parameters should be interpreted </w:t>
      </w:r>
      <w:r w:rsidRPr="00022AD8">
        <w:t>in</w:t>
      </w:r>
      <w:r>
        <w:t xml:space="preserve"> the light of their impact on the subjective decision variable that they control (respectively, on the utility value and on the subjective weighting). In fact, the parameter differences translated into radically separable utility curvature (</w:t>
      </w:r>
      <w:r w:rsidRPr="00154A05">
        <w:rPr>
          <w:b/>
        </w:rPr>
        <w:t xml:space="preserve">Figure </w:t>
      </w:r>
      <w:r w:rsidR="005816E1">
        <w:rPr>
          <w:b/>
        </w:rPr>
        <w:t>S2C</w:t>
      </w:r>
      <w:r>
        <w:t>), but only on marginal effects on the probability weighting function (</w:t>
      </w:r>
      <w:r w:rsidRPr="00154A05">
        <w:rPr>
          <w:b/>
        </w:rPr>
        <w:t xml:space="preserve">Figure </w:t>
      </w:r>
      <w:r w:rsidR="005816E1">
        <w:rPr>
          <w:b/>
        </w:rPr>
        <w:t>S2D</w:t>
      </w:r>
      <w:r>
        <w:t>). Thus, overall, these computational results suggest that between-condition differences are better captured by different subjective utilities of the outcomes, rather than by different perception of the involved probabilities.</w:t>
      </w:r>
    </w:p>
    <w:p w14:paraId="3DAF4355" w14:textId="77777777" w:rsidR="00C70501" w:rsidRPr="00AF61E2" w:rsidRDefault="00C70501" w:rsidP="00C70501">
      <w:pPr>
        <w:rPr>
          <w:b/>
        </w:rPr>
      </w:pPr>
      <w:r w:rsidRPr="00AF61E2">
        <w:rPr>
          <w:b/>
        </w:rPr>
        <w:t>Modelling discussion</w:t>
      </w:r>
    </w:p>
    <w:p w14:paraId="07B6F06B" w14:textId="77777777" w:rsidR="00C70501" w:rsidRDefault="00C70501" w:rsidP="00C70501">
      <w:r>
        <w:t xml:space="preserve">Our descriptive modeling results suggest that both the utility parameter and the probability weighting parameters are affected by the feedback manipulations </w:t>
      </w:r>
      <w:r>
        <w:fldChar w:fldCharType="begin"/>
      </w:r>
      <w:r>
        <w:instrText xml:space="preserve"> ADDIN ZOTERO_ITEM CSL_CITATION {"citationID":"3pSjrI2p","properties":{"formattedCitation":"(Prelec, 1998; Tversky &amp; Kahneman, 1992)","plainCitation":"(Prelec, 1998; Tversky &amp; Kahneman, 1992)","noteIndex":0},"citationItems":[{"id":"cS3VQJIE/YBYXTCWk","uris":["http://zotero.org/users/7973637/items/ETTIDAUF"],"itemData":{"id":27,"type":"article-journal","abstract":"A probability weighting function w(p) is a prominent feature of several non-expected utility theories, including prospect theory and rank-dependent models. Empirical estimates indicate that w(p) is regressive (first w(p) &gt; p, then w(p) &lt; p), s-shaped (first concave, then convex), and asymmetrical (intersecting the diagonal at about 1/3). The paper states axioms for several w(p) forms, including the compound invariant, w(p) = &lt;tex-math&gt;${\\rm exp}\\{-\\{-{\\rm ln}\\ p\\}^{\\alpha}\\}$&lt;/tex-math&gt;, 0 &lt; α &lt; 1, which is regressive, s-shaped, and with an invariant fixed point and inflection point at 1/e = .37.","container-title":"Econometrica","DOI":"10.2307/2998573","ISSN":"0012-9682","issue":"3","note":"publisher: [Wiley, Econometric Society]","page":"497-527","source":"JSTOR","title":"The Probability Weighting Function","volume":"66","author":[{"family":"Prelec","given":"Drazen"}],"issued":{"date-parts":[["1998"]]}}},{"id":"cS3VQJIE/swpUsfzn","uris":["http://zotero.org/users/7973637/items/CU3IR3DV"],"itemData":{"id":46,"type":"article-journal","abstract":"We develop a new version of prospect theory that employs cumulative rather than separable decision weights and extends the theory in several respects. This version, called cumulative prospect theory, applies to uncertain as well as to risky prospects with any number of outcomes, and it allows different weighting functions for gains and for losses. Two principles, diminishing sensitivity and loss aversion, are invoked to explain the characteristic curvature of the value function and the weighting functions. A review of the experimental evidence and the results of a new experiment confirm a distinctive fourfold pattern of risk attitudes: risk aversion for gains and risk seeking for losses of high probability; risk seeking for gains and risk aversion for losses of low probability.","container-title":"Journal of Risk and Uncertainty","DOI":"10.1007/BF00122574","ISSN":"1573-0476","issue":"4","journalAbbreviation":"J Risk Uncertainty","language":"en","page":"297-323","source":"Springer Link","title":"Advances in prospect theory: Cumulative representation of uncertainty","title-short":"Advances in prospect theory","volume":"5","author":[{"family":"Tversky","given":"Amos"},{"family":"Kahneman","given":"Daniel"}],"issued":{"date-parts":[["1992",10,1]]}}}],"schema":"https://github.com/citation-style-language/schema/raw/master/csl-citation.json"} </w:instrText>
      </w:r>
      <w:r>
        <w:fldChar w:fldCharType="separate"/>
      </w:r>
      <w:r>
        <w:rPr>
          <w:noProof/>
        </w:rPr>
        <w:t>(Prelec, 1998; Tversky &amp; Kahneman, 1992)</w:t>
      </w:r>
      <w:r>
        <w:fldChar w:fldCharType="end"/>
      </w:r>
      <w:r>
        <w:t xml:space="preserve">. However, despite the fact that the relative difference was comparable for both parameters, only the utility parameter induced sensible differences in the resulting psychometric function. As a matter of fact, we did not find strong evidence of probability weighting, such as overweighting or underweighting or rare events, in our data </w:t>
      </w:r>
      <w:r>
        <w:fldChar w:fldCharType="begin"/>
      </w:r>
      <w:r>
        <w:instrText xml:space="preserve"> ADDIN ZOTERO_ITEM CSL_CITATION {"citationID":"2jUv1nyX","properties":{"formattedCitation":"(Wulff et al., 2017)","plainCitation":"(Wulff et al., 2017)","noteIndex":0},"citationItems":[{"id":"cS3VQJIE/OzzTyzAd","uris":["http://zotero.org/users/7973637/items/UJ8KCDUZ"],"itemData":{"id":6,"type":"article-journal","abstract":"People can learn about the probabilistic consequences of their actions in two ways: One is by consulting descriptions of an action’s consequences and probabilities (e.g., reading up on a medication’s side effects). The other is by personally experiencing the probabilistic consequences of an action (e.g., beta testing software). In principle, people taking each route can reach analogous states of knowledge and consequently make analogous decisions. In the last dozen years, however, research has demonstrated systematic discrepancies between description- and experienced-based choices. This description‒experience gap has been attributed to factors including reliance on a small set of experience, the impact of recency, and different weighting of probability information in the two decision types. In this meta-analysis focusing on studies using the sampling paradigm of decisions from experience, we evaluated these and other determinants of the decision‒experience gap by reference to more than 70,000 choices made by more than 6,000 participants. We found, first, a robust description‒ experience gap but also a key moderator, namely, problem structure. Second, the largest determinant of the gap was reliance on small samples and the associated sampling error: free to terminate search, individuals explored too little to experience all possible outcomes. Third, the gap persisted when sampling error was basically eliminated, suggesting other determinants. Fourth, the occurrence of recency was contingent on decision makers’ autonomy to terminate search, consistent with the notion of optional stopping. Finally, we found indications of different probability weighting in decisions from experience versus decisions from description when the problem structure involved a risky and a safe option.","container-title":"Psychological Bulletin","DOI":"10.1037/bul0000115","journalAbbreviation":"Psychological Bulletin","source":"ResearchGate","title":"A Meta-Analytic Review of Two Modes of Learning and the Description‒Experience Gap","volume":"144","author":[{"family":"Wulff","given":"Dirk"},{"family":"Mergenthaler-Canseco","given":"Max"},{"family":"Hertwig","given":"Ralph"}],"issued":{"date-parts":[["2017",5,8]]}}}],"schema":"https://github.com/citation-style-language/schema/raw/master/csl-citation.json"} </w:instrText>
      </w:r>
      <w:r>
        <w:fldChar w:fldCharType="separate"/>
      </w:r>
      <w:r>
        <w:rPr>
          <w:noProof/>
        </w:rPr>
        <w:t>(Wulff et al., 2017)</w:t>
      </w:r>
      <w:r>
        <w:fldChar w:fldCharType="end"/>
      </w:r>
      <w:r>
        <w:t xml:space="preserve">. This is probably in part due to the fact that we did not use the very extreme probabilities supposed to elicit the possibility and certainty effects </w:t>
      </w:r>
      <w:r>
        <w:fldChar w:fldCharType="begin"/>
      </w:r>
      <w:r>
        <w:instrText xml:space="preserve"> ADDIN ZOTERO_ITEM CSL_CITATION {"citationID":"npxJOE7c","properties":{"formattedCitation":"(Kahneman &amp; Tversky, 1979)","plainCitation":"(Kahneman &amp; Tversky, 1979)","noteIndex":0},"citationItems":[{"id":"cS3VQJIE/dQD9hIdn","uris":["http://zotero.org/users/7973637/items/3NNJYC7Q"],"itemData":{"id":50,"type":"article-journal","abstract":"This paper presents a critique of expected utility theory as a descriptive model of decision making under risk, and develops an alternative model, called prospect theory. Choices among risky prospects exhibit several pervasive effects that are inconsistent with the basic tenets of utility theory. In particular, people underweight outcomes that are merely probable in comparison with outcomes that are obtained with certainty. This tendency, called the certainty effect, contributes to risk aversion in choices involving sure gains and to risk seeking in choices involving sure losses. In addition, people generally discard components that are shared by all prospects under consideration. This tendency, called the isolation effect, leads to inconsistent preferences when the same choice is presented in different forms. An alternative theory of choice is developed, in which value is assigned to gains and losses rather than to final assets and in which probabilities are replaced by decision weights. The value function is normally concave for gains, commonly convex for losses, and is generally steeper for losses than for gains. Decision weights are generally lower than the corresponding probabilities, except in the range of low probabilities. Overweighting of low probabilities may contribute to the attractiveness of both insurance and gambling.","container-title":"Econometrica","DOI":"10.2307/1914185","ISSN":"0012-9682","issue":"2","note":"publisher: [Wiley, Econometric Society]","page":"263-291","source":"JSTOR","title":"Prospect Theory: An Analysis of Decision under Risk","title-short":"Prospect Theory","volume":"47","author":[{"family":"Kahneman","given":"Daniel"},{"family":"Tversky","given":"Amos"}],"issued":{"date-parts":[["1979"]]}}}],"schema":"https://github.com/citation-style-language/schema/raw/master/csl-citation.json"} </w:instrText>
      </w:r>
      <w:r>
        <w:fldChar w:fldCharType="separate"/>
      </w:r>
      <w:r>
        <w:rPr>
          <w:noProof/>
        </w:rPr>
        <w:t>(Kahneman &amp; Tversky, 1979)</w:t>
      </w:r>
      <w:r>
        <w:fldChar w:fldCharType="end"/>
      </w:r>
      <w:r>
        <w:t xml:space="preserve">, and future research should establish whether or not our results (both behavioral and computational) hold across a broader probability range (including both very low, 1%, and very high, 99%, probabilities). Nonetheless, our findings illustrate once again that a set of well-established decision anomalies (such as the possibility and certainly effect) may only arise in very narrow sub-spaces of decision problems, such that their role in building generally valid decision model should be reconsidered </w:t>
      </w:r>
      <w:r>
        <w:fldChar w:fldCharType="begin"/>
      </w:r>
      <w:r>
        <w:instrText xml:space="preserve"> ADDIN ZOTERO_ITEM CSL_CITATION {"citationID":"KBkv6GXx","properties":{"formattedCitation":"(Erev et al., 2010, 2017)","plainCitation":"(Erev et al., 2010, 2017)","dontUpdate":true,"noteIndex":0},"citationItems":[{"id":"cS3VQJIE/OOzwTYJd","uris":["http://zotero.org/users/7973637/items/E9JNLTTM"],"itemData":{"id":36,"type":"article-journal","abstract":"Erev, Ert, and Roth organized three choice prediction competitions focused on three related choice tasks: One shot decisions from description (decisions under risk), one shot decisions from experience, and repeated decisions from experience. Each competition was based on two experimental datasets: An estimation dataset, and a competition dataset. The studies that generated the two datasets used the same methods and subject pool, and examined decision problems randomly selected from the same distribution. After collecting the experimental data to be used for estimation, the organizers posted them on the Web, together with their fit with several baseline models, and challenged other researchers to compete to predict the results of the second (competition) set of experimental sessions. Fourteen teams responded to the challenge: The last seven authors of this paper are members of the winning teams. The results highlight the robustness of the difference between decisions from description and decisions from experience. The best predictions of decisions from descriptions were obtained with a stochastic variant of prospect theory assuming that the sensitivity to the weighted values decreases with the distance between the cumulative payoff functions. The best predictions of decisions from experience were obtained with models that assume reliance on small samples. Merits and limitations of the competition method are discussed. Copyright © 2009 John Wiley &amp; Sons, Ltd.","container-title":"Journal of Behavioral Decision Making","DOI":"https://doi.org/10.1002/bdm.683","ISSN":"1099-0771","issue":"1","language":"en","license":"Copyright © 2009 John Wiley &amp; Sons, Ltd.","note":"_eprint: https://onlinelibrary.wiley.com/doi/pdf/10.1002/bdm.683","page":"15-47","source":"Wiley Online Library","title":"A choice prediction competition: Choices from experience and from description","title-short":"A choice prediction competition","volume":"23","author":[{"family":"Erev","given":"Ido"},{"family":"Ert","given":"Eyal"},{"family":"Roth","given":"Alvin E."},{"family":"Haruvy","given":"Ernan"},{"family":"Herzog","given":"Stefan M."},{"family":"Hau","given":"Robin"},{"family":"Hertwig","given":"Ralph"},{"family":"Stewart","given":"Terrence"},{"family":"West","given":"Robert"},{"family":"Lebiere","given":"Christian"}],"issued":{"date-parts":[["2010"]]}}},{"id":53,"uris":["http://zotero.org/users/local/R09W8VcO/items/2RQVGZPH"],"itemData":{"id":53,"type":"article-journal","abstract":"Experimental studies of choice behavior document distinct, and sometimes contradictory, deviations from maximization. For example, people tend to overweight rare events in 1-shot decisions under risk, and to exhibit the opposite bias when they rely on past experience. The common explanations of these results assume that the contradicting anomalies reflect situation-specific processes that involve the weighting of subjective values and the use of simple heuristics. The current article analyzes 14 choice anomalies that have been described by different models, including the Allais, St. Petersburg, and Ellsberg paradoxes, and the reflection effect. Next, it uses a choice prediction competition methodology to clarify the interaction between the different anomalies. It focuses on decisions under risk (known payoff distributions) and under ambiguity (unknown probabilities), with and without feedback concerning the outcomes of past choices. The results demonstrate that it is not necessary to assume situation-specific processes. The distinct anomalies can be captured by assuming high sensitivity to the expected return and 4 additional tendencies: pessimism, bias toward equal weighting, sensitivity to payoff sign, and an effort to minimize the probability of immediate regret. Importantly, feedback increases sensitivity to probability of regret. Simple abstractions of these assumptions, variants of the model Best Estimate and Sampling Tools (BEAST), allow surprisingly accurate ex ante predictions of behavior. Unlike the popular models, BEAST does not assume subjective weighting functions or cognitive shortcuts. Rather, it assumes the use of sampling tools and reliance on small samples, in addition to the estimation of the expected values. (PsycINFO Database Record","container-title":"Psychological Review","DOI":"10.1037/rev0000062","ISSN":"1939-1471","issue":"4","journalAbbreviation":"Psychol Rev","language":"eng","note":"PMID: 28277716","page":"369-409","source":"PubMed","title":"From anomalies to forecasts: Toward a descriptive model of decisions under risk, under ambiguity, and from experience","title-short":"From anomalies to forecasts","volume":"124","author":[{"family":"Erev","given":"Ido"},{"family":"Ert","given":"Eyal"},{"family":"Plonsky","given":"Ori"},{"family":"Cohen","given":"Doron"},{"family":"Cohen","given":"Oded"}],"issued":{"date-parts":[["2017",7]]}}}],"schema":"https://github.com/citation-style-language/schema/raw/master/csl-citation.json"} </w:instrText>
      </w:r>
      <w:r>
        <w:fldChar w:fldCharType="separate"/>
      </w:r>
      <w:r>
        <w:rPr>
          <w:noProof/>
        </w:rPr>
        <w:t>(see Erev et al., 2010, 2017 for similar considerations)</w:t>
      </w:r>
      <w:r>
        <w:fldChar w:fldCharType="end"/>
      </w:r>
      <w:r>
        <w:t xml:space="preserve">. </w:t>
      </w:r>
    </w:p>
    <w:p w14:paraId="570032F2" w14:textId="77777777" w:rsidR="00C70501" w:rsidRPr="00EE4120" w:rsidRDefault="00C70501" w:rsidP="00566A4D">
      <w:pPr>
        <w:pStyle w:val="BodyText"/>
      </w:pPr>
    </w:p>
    <w:p w14:paraId="787ECDF3" w14:textId="7629DF39" w:rsidR="00566A4D" w:rsidRDefault="00C70501" w:rsidP="00C70501">
      <w:pPr>
        <w:spacing w:line="240" w:lineRule="auto"/>
        <w:rPr>
          <w:sz w:val="20"/>
          <w:szCs w:val="20"/>
        </w:rPr>
      </w:pPr>
      <w:r>
        <w:rPr>
          <w:noProof/>
        </w:rPr>
        <w:lastRenderedPageBreak/>
        <w:drawing>
          <wp:anchor distT="0" distB="0" distL="114300" distR="114300" simplePos="0" relativeHeight="251673600" behindDoc="0" locked="0" layoutInCell="1" allowOverlap="1" wp14:anchorId="3F658717" wp14:editId="1492B934">
            <wp:simplePos x="0" y="0"/>
            <wp:positionH relativeFrom="margin">
              <wp:posOffset>31972</wp:posOffset>
            </wp:positionH>
            <wp:positionV relativeFrom="paragraph">
              <wp:posOffset>143510</wp:posOffset>
            </wp:positionV>
            <wp:extent cx="3848100" cy="3894455"/>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48100" cy="3894455"/>
                    </a:xfrm>
                    <a:prstGeom prst="rect">
                      <a:avLst/>
                    </a:prstGeom>
                  </pic:spPr>
                </pic:pic>
              </a:graphicData>
            </a:graphic>
            <wp14:sizeRelH relativeFrom="page">
              <wp14:pctWidth>0</wp14:pctWidth>
            </wp14:sizeRelH>
            <wp14:sizeRelV relativeFrom="page">
              <wp14:pctHeight>0</wp14:pctHeight>
            </wp14:sizeRelV>
          </wp:anchor>
        </w:drawing>
      </w:r>
      <w:r w:rsidR="00566A4D" w:rsidRPr="00B46EC1">
        <w:rPr>
          <w:b/>
          <w:bCs/>
          <w:sz w:val="20"/>
          <w:szCs w:val="20"/>
        </w:rPr>
        <w:t xml:space="preserve">Figure </w:t>
      </w:r>
      <w:r w:rsidR="0097755A">
        <w:rPr>
          <w:b/>
          <w:bCs/>
          <w:sz w:val="20"/>
          <w:szCs w:val="20"/>
        </w:rPr>
        <w:t>S2</w:t>
      </w:r>
      <w:r w:rsidR="00566A4D" w:rsidRPr="00B46EC1">
        <w:rPr>
          <w:b/>
          <w:bCs/>
          <w:sz w:val="20"/>
          <w:szCs w:val="20"/>
        </w:rPr>
        <w:t>: model-fitting results of Experiments 1-6.</w:t>
      </w:r>
      <w:r w:rsidR="00566A4D" w:rsidRPr="00B46EC1">
        <w:rPr>
          <w:sz w:val="20"/>
          <w:szCs w:val="20"/>
        </w:rPr>
        <w:t xml:space="preserve"> </w:t>
      </w:r>
      <w:r w:rsidR="00566A4D" w:rsidRPr="00EE4120">
        <w:rPr>
          <w:sz w:val="20"/>
          <w:szCs w:val="20"/>
        </w:rPr>
        <w:t>(</w:t>
      </w:r>
      <w:r w:rsidR="00566A4D" w:rsidRPr="00EE4120">
        <w:rPr>
          <w:b/>
          <w:bCs/>
          <w:sz w:val="20"/>
          <w:szCs w:val="20"/>
        </w:rPr>
        <w:t>A</w:t>
      </w:r>
      <w:r w:rsidR="00566A4D" w:rsidRPr="00EE4120">
        <w:rPr>
          <w:sz w:val="20"/>
          <w:szCs w:val="20"/>
        </w:rPr>
        <w:t>) Fitted values of the utility parameter (alpha) as a function of the feedback condition in Experiments 1-6. The numbers above the mean/error bars indicate the experiment being displayed.</w:t>
      </w:r>
      <w:r w:rsidR="00566A4D">
        <w:rPr>
          <w:sz w:val="20"/>
          <w:szCs w:val="20"/>
        </w:rPr>
        <w:t xml:space="preserve"> (</w:t>
      </w:r>
      <w:r w:rsidR="00566A4D">
        <w:rPr>
          <w:b/>
          <w:bCs/>
          <w:sz w:val="20"/>
          <w:szCs w:val="20"/>
        </w:rPr>
        <w:t>B</w:t>
      </w:r>
      <w:r w:rsidR="00566A4D" w:rsidRPr="0006003F">
        <w:rPr>
          <w:sz w:val="20"/>
          <w:szCs w:val="20"/>
        </w:rPr>
        <w:t>)</w:t>
      </w:r>
      <w:r w:rsidR="00566A4D">
        <w:rPr>
          <w:sz w:val="20"/>
          <w:szCs w:val="20"/>
        </w:rPr>
        <w:t xml:space="preserve"> Fitted values of the probability weighting function parameter (gamma) as a function of the feedback condition in Experiments 1-6. (</w:t>
      </w:r>
      <w:r w:rsidR="00566A4D">
        <w:rPr>
          <w:b/>
          <w:bCs/>
          <w:sz w:val="20"/>
          <w:szCs w:val="20"/>
        </w:rPr>
        <w:t>C</w:t>
      </w:r>
      <w:r w:rsidR="00566A4D" w:rsidRPr="0006003F">
        <w:rPr>
          <w:sz w:val="20"/>
          <w:szCs w:val="20"/>
        </w:rPr>
        <w:t>)</w:t>
      </w:r>
      <w:r w:rsidR="00566A4D">
        <w:rPr>
          <w:sz w:val="20"/>
          <w:szCs w:val="20"/>
        </w:rPr>
        <w:t xml:space="preserve"> The utility function in the two feedback conditions, using the mean value of parameter alpha in each case. (</w:t>
      </w:r>
      <w:r w:rsidR="00566A4D">
        <w:rPr>
          <w:b/>
          <w:bCs/>
          <w:sz w:val="20"/>
          <w:szCs w:val="20"/>
        </w:rPr>
        <w:t>D</w:t>
      </w:r>
      <w:r w:rsidR="00566A4D" w:rsidRPr="0006003F">
        <w:rPr>
          <w:sz w:val="20"/>
          <w:szCs w:val="20"/>
        </w:rPr>
        <w:t>)</w:t>
      </w:r>
      <w:r w:rsidR="00566A4D">
        <w:rPr>
          <w:sz w:val="20"/>
          <w:szCs w:val="20"/>
        </w:rPr>
        <w:t xml:space="preserve"> The probability weighting function in the two feedback conditions, using the mean value of parameter gamma in each case.</w:t>
      </w:r>
      <w:r w:rsidR="002F4268">
        <w:rPr>
          <w:sz w:val="20"/>
          <w:szCs w:val="20"/>
        </w:rPr>
        <w:t xml:space="preserve"> </w:t>
      </w:r>
      <w:r w:rsidR="002F4268">
        <w:rPr>
          <w:sz w:val="20"/>
          <w:szCs w:val="20"/>
        </w:rPr>
        <w:br/>
      </w:r>
      <w:r w:rsidR="002F4268" w:rsidRPr="002F4268">
        <w:rPr>
          <w:sz w:val="20"/>
          <w:szCs w:val="20"/>
        </w:rPr>
        <w:t>In (A), and (</w:t>
      </w:r>
      <w:r w:rsidR="002F4268">
        <w:rPr>
          <w:sz w:val="20"/>
          <w:szCs w:val="20"/>
        </w:rPr>
        <w:t>B</w:t>
      </w:r>
      <w:r w:rsidR="002F4268" w:rsidRPr="002F4268">
        <w:rPr>
          <w:sz w:val="20"/>
          <w:szCs w:val="20"/>
        </w:rPr>
        <w:t xml:space="preserve">) points indicate individual average, violin plots indicate probability density function, line segments connect the values of the participants in different conditions, orange lines have the direction of the means; black the opposite, </w:t>
      </w:r>
      <w:r w:rsidR="002F4268">
        <w:rPr>
          <w:sz w:val="20"/>
          <w:szCs w:val="20"/>
        </w:rPr>
        <w:t xml:space="preserve">shaded area </w:t>
      </w:r>
      <w:r w:rsidR="002F4268" w:rsidRPr="002F4268">
        <w:rPr>
          <w:sz w:val="20"/>
          <w:szCs w:val="20"/>
        </w:rPr>
        <w:t xml:space="preserve">indicate 95% confidence interval </w:t>
      </w:r>
      <w:r w:rsidR="002F4268">
        <w:rPr>
          <w:sz w:val="20"/>
          <w:szCs w:val="20"/>
        </w:rPr>
        <w:t>of the aggregate data, mean</w:t>
      </w:r>
      <m:oMath>
        <m:r>
          <w:rPr>
            <w:rFonts w:ascii="Cambria Math" w:hAnsi="Cambria Math"/>
            <w:sz w:val="20"/>
            <w:szCs w:val="20"/>
          </w:rPr>
          <m:t>±</m:t>
        </m:r>
      </m:oMath>
      <w:r w:rsidR="002F4268" w:rsidRPr="002F4268">
        <w:rPr>
          <w:sz w:val="20"/>
          <w:szCs w:val="20"/>
        </w:rPr>
        <w:t xml:space="preserve">errors bars </w:t>
      </w:r>
      <w:r w:rsidR="002F4268">
        <w:rPr>
          <w:sz w:val="20"/>
          <w:szCs w:val="20"/>
        </w:rPr>
        <w:t>(</w:t>
      </w:r>
      <w:proofErr w:type="spellStart"/>
      <w:r w:rsidR="002F4268" w:rsidRPr="002F4268">
        <w:rPr>
          <w:sz w:val="20"/>
          <w:szCs w:val="20"/>
        </w:rPr>
        <w:t>s.e.m.</w:t>
      </w:r>
      <w:proofErr w:type="spellEnd"/>
      <w:r w:rsidR="002F4268">
        <w:rPr>
          <w:sz w:val="20"/>
          <w:szCs w:val="20"/>
        </w:rPr>
        <w:t>) correspond to single experiments with the small numbers at the top of it indicating the numbering of the experiment.</w:t>
      </w:r>
    </w:p>
    <w:p w14:paraId="08846B6E" w14:textId="77777777" w:rsidR="00566A4D" w:rsidRPr="0002518E" w:rsidRDefault="00566A4D" w:rsidP="00566A4D">
      <w:pPr>
        <w:rPr>
          <w:b/>
          <w:bCs/>
        </w:rPr>
      </w:pPr>
      <w:r w:rsidRPr="0002518E">
        <w:rPr>
          <w:b/>
          <w:bCs/>
        </w:rPr>
        <w:t xml:space="preserve">Modeling details </w:t>
      </w:r>
    </w:p>
    <w:p w14:paraId="63956887" w14:textId="578E11DE" w:rsidR="00041506" w:rsidRDefault="00A42946" w:rsidP="00566A4D">
      <w:r>
        <w:t>In this section, we</w:t>
      </w:r>
      <w:r w:rsidRPr="00A42946">
        <w:t xml:space="preserve"> present the </w:t>
      </w:r>
      <w:r w:rsidR="007843C9">
        <w:t xml:space="preserve">details </w:t>
      </w:r>
      <w:r w:rsidRPr="00A42946">
        <w:t>of the model-fitting analysis</w:t>
      </w:r>
      <w:r w:rsidR="007843C9">
        <w:t xml:space="preserve">. </w:t>
      </w:r>
      <w:r w:rsidR="00041506" w:rsidRPr="007843C9">
        <w:t xml:space="preserve">The model we used </w:t>
      </w:r>
      <w:r w:rsidR="00041506">
        <w:t xml:space="preserve">is a </w:t>
      </w:r>
      <w:r w:rsidR="007843C9">
        <w:t xml:space="preserve">two-parameter </w:t>
      </w:r>
      <w:r w:rsidR="00041506">
        <w:t>version</w:t>
      </w:r>
      <w:r w:rsidR="007843C9">
        <w:t xml:space="preserve"> of the Cumulative Prospect Theory model </w:t>
      </w:r>
      <w:r w:rsidR="00041506" w:rsidRPr="007843C9">
        <w:t>[Tversky and Kahneman, 1992]</w:t>
      </w:r>
      <w:r w:rsidR="00041506">
        <w:t>.</w:t>
      </w:r>
      <w:r w:rsidR="00041506" w:rsidRPr="007843C9">
        <w:t xml:space="preserve"> </w:t>
      </w:r>
      <w:r w:rsidR="007843C9">
        <w:t>Parameter</w:t>
      </w:r>
      <w:r w:rsidR="007843C9" w:rsidRPr="007843C9">
        <w:t xml:space="preserve"> </w:t>
      </w:r>
      <w:r w:rsidR="00041506">
        <w:t>alpha</w:t>
      </w:r>
      <w:r w:rsidR="008F1C50" w:rsidRPr="00EF4DCB">
        <w:t>(</w:t>
      </w:r>
      <w:r w:rsidR="008F1C50">
        <w:rPr>
          <w:lang w:val="el-GR"/>
        </w:rPr>
        <w:t>α</w:t>
      </w:r>
      <w:r w:rsidR="008F1C50" w:rsidRPr="00EF4DCB">
        <w:t>)</w:t>
      </w:r>
      <w:r w:rsidR="00041506">
        <w:t xml:space="preserve"> </w:t>
      </w:r>
      <w:r w:rsidR="007843C9" w:rsidRPr="007843C9">
        <w:t>controls for the curvature of the utility function</w:t>
      </w:r>
      <w:r w:rsidR="007843C9">
        <w:t xml:space="preserve"> </w:t>
      </w:r>
      <w:r w:rsidR="007843C9" w:rsidRPr="007843C9">
        <w:t xml:space="preserve">and </w:t>
      </w:r>
      <w:r w:rsidR="007843C9">
        <w:t>parameter gamma</w:t>
      </w:r>
      <w:r w:rsidR="008F1C50" w:rsidRPr="00EF4DCB">
        <w:t>(</w:t>
      </w:r>
      <w:r w:rsidR="008F1C50">
        <w:rPr>
          <w:lang w:val="el-GR"/>
        </w:rPr>
        <w:t>γ</w:t>
      </w:r>
      <w:r w:rsidR="008F1C50" w:rsidRPr="00EF4DCB">
        <w:t>)</w:t>
      </w:r>
      <w:r w:rsidR="007843C9" w:rsidRPr="007843C9">
        <w:t xml:space="preserve"> for the deformation of the probability weighting function -we exclude</w:t>
      </w:r>
      <w:r w:rsidR="00041506">
        <w:t>d</w:t>
      </w:r>
      <w:r w:rsidR="007843C9" w:rsidRPr="007843C9">
        <w:t xml:space="preserve"> the rest</w:t>
      </w:r>
      <w:r w:rsidR="007843C9">
        <w:t xml:space="preserve"> </w:t>
      </w:r>
      <w:r w:rsidR="007843C9" w:rsidRPr="007843C9">
        <w:t xml:space="preserve">parameters of the initial model as they concern the loss domain which we </w:t>
      </w:r>
      <w:r w:rsidR="007843C9">
        <w:t>did</w:t>
      </w:r>
      <w:r w:rsidR="007843C9" w:rsidRPr="007843C9">
        <w:t xml:space="preserve"> not study</w:t>
      </w:r>
      <w:r w:rsidR="007843C9">
        <w:t xml:space="preserve"> in Experiments 1-6</w:t>
      </w:r>
      <w:r w:rsidR="007843C9" w:rsidRPr="007843C9">
        <w:t>.</w:t>
      </w:r>
      <w:r w:rsidR="007843C9">
        <w:t xml:space="preserve"> </w:t>
      </w:r>
      <w:r w:rsidR="00041506" w:rsidRPr="007843C9">
        <w:t xml:space="preserve">The utility function </w:t>
      </w:r>
      <w:r w:rsidR="003A4799">
        <w:t>was</w:t>
      </w:r>
      <w:r w:rsidR="00041506" w:rsidRPr="007843C9">
        <w:t xml:space="preserve"> </w:t>
      </w:r>
      <m:oMath>
        <m:r>
          <w:rPr>
            <w:rFonts w:ascii="Cambria Math" w:hAnsi="Cambria Math"/>
          </w:rPr>
          <m:t xml:space="preserve">u(x) = </m:t>
        </m:r>
        <m:sSup>
          <m:sSupPr>
            <m:ctrlPr>
              <w:rPr>
                <w:rFonts w:ascii="Cambria Math" w:hAnsi="Cambria Math"/>
                <w:i/>
              </w:rPr>
            </m:ctrlPr>
          </m:sSupPr>
          <m:e>
            <m:r>
              <w:rPr>
                <w:rFonts w:ascii="Cambria Math" w:hAnsi="Cambria Math"/>
              </w:rPr>
              <m:t>x</m:t>
            </m:r>
          </m:e>
          <m:sup>
            <m:r>
              <w:rPr>
                <w:rFonts w:ascii="Cambria Math" w:hAnsi="Cambria Math"/>
                <w:lang w:val="fr-FR"/>
              </w:rPr>
              <m:t>α</m:t>
            </m:r>
          </m:sup>
        </m:sSup>
      </m:oMath>
      <w:r w:rsidR="00041506" w:rsidRPr="007843C9">
        <w:t>.</w:t>
      </w:r>
      <w:r w:rsidR="00041506" w:rsidRPr="00EF4DCB">
        <w:t xml:space="preserve"> </w:t>
      </w:r>
      <w:r w:rsidR="00041506" w:rsidRPr="007843C9">
        <w:t>Regarding</w:t>
      </w:r>
      <w:r w:rsidR="00041506">
        <w:t xml:space="preserve"> </w:t>
      </w:r>
      <w:r w:rsidR="00041506" w:rsidRPr="007843C9">
        <w:t xml:space="preserve">the probability weighting function, we used an elegant version proposed by </w:t>
      </w:r>
      <w:proofErr w:type="spellStart"/>
      <w:r w:rsidR="00041506" w:rsidRPr="007843C9">
        <w:t>Prelec</w:t>
      </w:r>
      <w:proofErr w:type="spellEnd"/>
      <w:r w:rsidR="00041506" w:rsidRPr="007843C9">
        <w:t>, namely</w:t>
      </w:r>
      <w:r w:rsidR="00041506">
        <w:t xml:space="preserve"> </w:t>
      </w:r>
      <m:oMath>
        <m:r>
          <w:rPr>
            <w:rFonts w:ascii="Cambria Math" w:hAnsi="Cambria Math"/>
          </w:rPr>
          <m:t>w(p) = exp(</m:t>
        </m:r>
        <m:r>
          <w:rPr>
            <w:rFonts w:ascii="Cambria Math" w:eastAsia="Cambria Math" w:hAnsi="Cambria Math" w:cs="Cambria Math"/>
          </w:rPr>
          <m:t>-</m:t>
        </m:r>
        <m:sSup>
          <m:sSupPr>
            <m:ctrlPr>
              <w:rPr>
                <w:rFonts w:ascii="Cambria Math" w:hAnsi="Cambria Math"/>
                <w:i/>
              </w:rPr>
            </m:ctrlPr>
          </m:sSupPr>
          <m:e>
            <m:r>
              <w:rPr>
                <w:rFonts w:ascii="Cambria Math" w:hAnsi="Cambria Math"/>
              </w:rPr>
              <m:t>(</m:t>
            </m:r>
            <m:r>
              <w:rPr>
                <w:rFonts w:ascii="Cambria Math" w:eastAsia="Cambria Math" w:hAnsi="Cambria Math" w:cs="Cambria Math"/>
              </w:rPr>
              <m:t>-</m:t>
            </m:r>
            <m:r>
              <w:rPr>
                <w:rFonts w:ascii="Cambria Math" w:hAnsi="Cambria Math"/>
              </w:rPr>
              <m:t>lnp)</m:t>
            </m:r>
          </m:e>
          <m:sup>
            <m:r>
              <w:rPr>
                <w:rFonts w:ascii="Cambria Math" w:hAnsi="Cambria Math"/>
                <w:lang w:val="el-GR"/>
              </w:rPr>
              <m:t>γ</m:t>
            </m:r>
          </m:sup>
        </m:sSup>
        <m:r>
          <w:rPr>
            <w:rFonts w:ascii="Cambria Math" w:hAnsi="Cambria Math"/>
          </w:rPr>
          <m:t>)</m:t>
        </m:r>
      </m:oMath>
      <w:r w:rsidR="00041506" w:rsidRPr="007843C9">
        <w:t xml:space="preserve"> [Prelec, 1998].</w:t>
      </w:r>
      <w:r w:rsidR="008F1C50">
        <w:t xml:space="preserve"> </w:t>
      </w:r>
      <w:proofErr w:type="spellStart"/>
      <w:r w:rsidR="008F1C50" w:rsidRPr="007843C9">
        <w:t>Prelec</w:t>
      </w:r>
      <w:proofErr w:type="spellEnd"/>
      <w:r w:rsidR="008F1C50" w:rsidRPr="007843C9">
        <w:t xml:space="preserve"> proved that this function satisfies all the properties</w:t>
      </w:r>
      <w:r w:rsidR="008F1C50">
        <w:t xml:space="preserve"> </w:t>
      </w:r>
      <w:r w:rsidR="008F1C50" w:rsidRPr="007843C9">
        <w:t>of the one proposed by Kahneman and Tversky. In the paradigm of one-shot description</w:t>
      </w:r>
      <w:r w:rsidR="008F1C50" w:rsidRPr="00120F81">
        <w:t>-</w:t>
      </w:r>
      <w:r w:rsidR="008F1C50" w:rsidRPr="007843C9">
        <w:t>based</w:t>
      </w:r>
      <w:r w:rsidR="008F1C50">
        <w:t xml:space="preserve"> </w:t>
      </w:r>
      <w:r w:rsidR="008F1C50" w:rsidRPr="007843C9">
        <w:t xml:space="preserve">decisions (the one that Prospect Theory and </w:t>
      </w:r>
      <w:proofErr w:type="spellStart"/>
      <w:r w:rsidR="008F1C50" w:rsidRPr="007843C9">
        <w:t>Prelec</w:t>
      </w:r>
      <w:proofErr w:type="spellEnd"/>
      <w:r w:rsidR="008F1C50" w:rsidRPr="007843C9">
        <w:t xml:space="preserve"> used), both parameters are allowed to</w:t>
      </w:r>
      <w:r w:rsidR="008F1C50">
        <w:t xml:space="preserve"> </w:t>
      </w:r>
      <w:r w:rsidR="008F1C50" w:rsidRPr="007843C9">
        <w:t xml:space="preserve">vary between 0 and 1 so that the utility function </w:t>
      </w:r>
      <w:r w:rsidR="008F1C50" w:rsidRPr="007843C9">
        <w:lastRenderedPageBreak/>
        <w:t>is increasing and concave and the probability</w:t>
      </w:r>
      <w:r w:rsidR="008F1C50">
        <w:t xml:space="preserve"> </w:t>
      </w:r>
      <w:r w:rsidR="008F1C50" w:rsidRPr="007843C9">
        <w:t xml:space="preserve">weighting function has the characteristic </w:t>
      </w:r>
      <w:r w:rsidR="008F1C50">
        <w:t xml:space="preserve">inverse </w:t>
      </w:r>
      <w:r w:rsidR="008F1C50" w:rsidRPr="007843C9">
        <w:t>“s” shape, overweighting small and underweighting</w:t>
      </w:r>
      <w:r w:rsidR="008F1C50">
        <w:t xml:space="preserve"> </w:t>
      </w:r>
      <w:r w:rsidR="008F1C50" w:rsidRPr="007843C9">
        <w:t xml:space="preserve">large probabilities. </w:t>
      </w:r>
      <w:r w:rsidR="00EF4DCB">
        <w:t>P</w:t>
      </w:r>
      <w:r w:rsidR="008F1C50" w:rsidRPr="007843C9">
        <w:t>revious research has</w:t>
      </w:r>
      <w:r w:rsidR="008F1C50">
        <w:t xml:space="preserve"> </w:t>
      </w:r>
      <w:r w:rsidR="008F1C50" w:rsidRPr="007843C9">
        <w:t>shown different and even reversed behavior patterns when we use other paradigms. To allow the</w:t>
      </w:r>
      <w:r w:rsidR="008F1C50">
        <w:t xml:space="preserve"> </w:t>
      </w:r>
      <w:r w:rsidR="008F1C50" w:rsidRPr="007843C9">
        <w:t xml:space="preserve">utility function to be convex (and still increasing), we let the parameter </w:t>
      </w:r>
      <w:r w:rsidR="008F1C50">
        <w:rPr>
          <w:lang w:val="el-GR"/>
        </w:rPr>
        <w:t>α</w:t>
      </w:r>
      <w:r w:rsidR="008F1C50" w:rsidRPr="007843C9">
        <w:t xml:space="preserve"> vary between 0 and 2.</w:t>
      </w:r>
      <w:r w:rsidR="008F1C50">
        <w:t xml:space="preserve"> </w:t>
      </w:r>
      <w:r w:rsidR="008F1C50" w:rsidRPr="007843C9">
        <w:t>Additionally, to allow the probability weighting function to capture reversed behavioral patterns</w:t>
      </w:r>
      <w:r w:rsidR="008F1C50">
        <w:t xml:space="preserve"> </w:t>
      </w:r>
      <w:r w:rsidR="008F1C50" w:rsidRPr="007843C9">
        <w:t xml:space="preserve">(underweighting of small and overweighting of large probabilities), we let the parameter </w:t>
      </w:r>
      <w:r w:rsidR="008F1C50">
        <w:rPr>
          <w:lang w:val="el-GR"/>
        </w:rPr>
        <w:t>γ</w:t>
      </w:r>
      <w:r w:rsidR="008F1C50" w:rsidRPr="007843C9">
        <w:t xml:space="preserve"> vary</w:t>
      </w:r>
      <w:r w:rsidR="008F1C50">
        <w:t xml:space="preserve"> </w:t>
      </w:r>
      <w:r w:rsidR="008F1C50" w:rsidRPr="007843C9">
        <w:t>between 0 and 2.</w:t>
      </w:r>
    </w:p>
    <w:p w14:paraId="2323FC3B" w14:textId="1D2BF352" w:rsidR="00A70747" w:rsidRDefault="008F1C50" w:rsidP="008F1C50">
      <w:r w:rsidRPr="008F1C50">
        <w:t>The model-fitting was done by maximizing the fraction of correctly predicted choices</w:t>
      </w:r>
      <w:r w:rsidR="00353B33">
        <w:t xml:space="preserve"> </w:t>
      </w:r>
      <w:r w:rsidR="00353B33">
        <w:fldChar w:fldCharType="begin"/>
      </w:r>
      <w:r w:rsidR="00353B33">
        <w:instrText xml:space="preserve"> ADDIN ZOTERO_ITEM CSL_CITATION {"citationID":"DO2QvBpx","properties":{"formattedCitation":"(Stock &amp; Watson, 2003)","plainCitation":"(Stock &amp; Watson, 2003)","noteIndex":0},"citationItems":[{"id":96,"uris":["http://zotero.org/users/local/R09W8VcO/items/FRMAAZYQ"],"itemData":{"id":96,"type":"book","event-place":"New York","publisher":"Prentice Hall","publisher-place":"New York","title":"Introduction to Econometrics","author":[{"family":"Stock","given":"James"},{"family":"Watson","given":"Mark"}],"issued":{"date-parts":[["2003"]]}}}],"schema":"https://github.com/citation-style-language/schema/raw/master/csl-citation.json"} </w:instrText>
      </w:r>
      <w:r w:rsidR="00353B33">
        <w:fldChar w:fldCharType="separate"/>
      </w:r>
      <w:r w:rsidR="00353B33" w:rsidRPr="00353B33">
        <w:rPr>
          <w:rFonts w:cs="Times New Roman"/>
        </w:rPr>
        <w:t>(Stock &amp; Watson, 2003)</w:t>
      </w:r>
      <w:r w:rsidR="00353B33">
        <w:fldChar w:fldCharType="end"/>
      </w:r>
      <w:r w:rsidR="00353B33">
        <w:t xml:space="preserve">. </w:t>
      </w:r>
      <w:r w:rsidRPr="008F1C50">
        <w:t xml:space="preserve">The function </w:t>
      </w:r>
      <w:proofErr w:type="spellStart"/>
      <w:r w:rsidRPr="008F1C50">
        <w:t>patternsearch</w:t>
      </w:r>
      <w:proofErr w:type="spellEnd"/>
      <w:r w:rsidRPr="008F1C50">
        <w:t xml:space="preserve"> of </w:t>
      </w:r>
      <w:proofErr w:type="spellStart"/>
      <w:r w:rsidRPr="008F1C50">
        <w:t>Matlab</w:t>
      </w:r>
      <w:proofErr w:type="spellEnd"/>
      <w:r w:rsidRPr="008F1C50">
        <w:t xml:space="preserve"> and specifically the version that</w:t>
      </w:r>
      <w:r>
        <w:t xml:space="preserve"> </w:t>
      </w:r>
      <w:r w:rsidRPr="008F1C50">
        <w:t>implements</w:t>
      </w:r>
      <w:r>
        <w:t xml:space="preserve"> </w:t>
      </w:r>
      <w:r w:rsidRPr="008F1C50">
        <w:t>the Mesh Adaptive Direct Search (MADS) algorithm combined with multiple random</w:t>
      </w:r>
      <w:r>
        <w:t xml:space="preserve"> </w:t>
      </w:r>
      <w:r w:rsidRPr="008F1C50">
        <w:t xml:space="preserve">starting points were used to account for the fact that the search space is discontinuous. </w:t>
      </w:r>
    </w:p>
    <w:p w14:paraId="39172F72" w14:textId="24794AF6" w:rsidR="00A70747" w:rsidRDefault="008F1C50" w:rsidP="00A70747">
      <w:r w:rsidRPr="008F1C50">
        <w:t>We</w:t>
      </w:r>
      <w:r>
        <w:t xml:space="preserve"> </w:t>
      </w:r>
      <w:r w:rsidRPr="008F1C50">
        <w:t>estimated four parameters for each participant, two for the feedback (</w:t>
      </w:r>
      <m:oMath>
        <m:sSub>
          <m:sSubPr>
            <m:ctrlPr>
              <w:rPr>
                <w:rFonts w:ascii="Cambria Math" w:hAnsi="Cambria Math"/>
                <w:i/>
              </w:rPr>
            </m:ctrlPr>
          </m:sSubPr>
          <m:e>
            <m:r>
              <w:rPr>
                <w:rFonts w:ascii="Cambria Math" w:hAnsi="Cambria Math"/>
              </w:rPr>
              <m:t>α</m:t>
            </m:r>
          </m:e>
          <m:sub>
            <m:r>
              <w:rPr>
                <w:rFonts w:ascii="Cambria Math" w:hAnsi="Cambria Math"/>
              </w:rPr>
              <m:t>f</m:t>
            </m:r>
          </m:sub>
        </m:sSub>
      </m:oMath>
      <w:r w:rsidRPr="008F1C50">
        <w:t xml:space="preserve"> and </w:t>
      </w:r>
      <m:oMath>
        <m:sSub>
          <m:sSubPr>
            <m:ctrlPr>
              <w:rPr>
                <w:rFonts w:ascii="Cambria Math" w:hAnsi="Cambria Math"/>
                <w:i/>
              </w:rPr>
            </m:ctrlPr>
          </m:sSubPr>
          <m:e>
            <m:r>
              <w:rPr>
                <w:rFonts w:ascii="Cambria Math" w:hAnsi="Cambria Math"/>
                <w:lang w:val="el-GR"/>
              </w:rPr>
              <m:t>γ</m:t>
            </m:r>
          </m:e>
          <m:sub>
            <m:r>
              <w:rPr>
                <w:rFonts w:ascii="Cambria Math" w:hAnsi="Cambria Math"/>
              </w:rPr>
              <m:t>f</m:t>
            </m:r>
          </m:sub>
        </m:sSub>
      </m:oMath>
      <w:r w:rsidRPr="008F1C50">
        <w:t>) and two for the</w:t>
      </w:r>
      <w:r w:rsidRPr="00EF4DCB">
        <w:t xml:space="preserve"> </w:t>
      </w:r>
      <w:r w:rsidRPr="008F1C50">
        <w:t>no-feedback (</w:t>
      </w:r>
      <m:oMath>
        <m:sSub>
          <m:sSubPr>
            <m:ctrlPr>
              <w:rPr>
                <w:rFonts w:ascii="Cambria Math" w:hAnsi="Cambria Math"/>
                <w:i/>
              </w:rPr>
            </m:ctrlPr>
          </m:sSubPr>
          <m:e>
            <m:r>
              <w:rPr>
                <w:rFonts w:ascii="Cambria Math" w:hAnsi="Cambria Math"/>
              </w:rPr>
              <m:t>α</m:t>
            </m:r>
          </m:e>
          <m:sub>
            <m:r>
              <w:rPr>
                <w:rFonts w:ascii="Cambria Math" w:hAnsi="Cambria Math"/>
              </w:rPr>
              <m:t>nf</m:t>
            </m:r>
          </m:sub>
        </m:sSub>
      </m:oMath>
      <w:r w:rsidRPr="008F1C50">
        <w:t xml:space="preserve"> and </w:t>
      </w:r>
      <m:oMath>
        <m:sSub>
          <m:sSubPr>
            <m:ctrlPr>
              <w:rPr>
                <w:rFonts w:ascii="Cambria Math" w:hAnsi="Cambria Math"/>
                <w:i/>
              </w:rPr>
            </m:ctrlPr>
          </m:sSubPr>
          <m:e>
            <m:r>
              <w:rPr>
                <w:rFonts w:ascii="Cambria Math" w:hAnsi="Cambria Math"/>
                <w:lang w:val="el-GR"/>
              </w:rPr>
              <m:t>γ</m:t>
            </m:r>
          </m:e>
          <m:sub>
            <m:r>
              <w:rPr>
                <w:rFonts w:ascii="Cambria Math" w:hAnsi="Cambria Math"/>
              </w:rPr>
              <m:t>nf</m:t>
            </m:r>
          </m:sub>
        </m:sSub>
      </m:oMath>
      <w:r w:rsidRPr="008F1C50">
        <w:t>)</w:t>
      </w:r>
      <w:r w:rsidR="00A70747">
        <w:t xml:space="preserve"> </w:t>
      </w:r>
      <w:r w:rsidRPr="008F1C50">
        <w:t>blocks. We then used the Wilcoxon signed-rank test (hence, WSRT)</w:t>
      </w:r>
      <w:r>
        <w:t xml:space="preserve"> </w:t>
      </w:r>
      <w:r w:rsidRPr="008F1C50">
        <w:t>to compare the corresponding parameters (</w:t>
      </w:r>
      <m:oMath>
        <m:sSub>
          <m:sSubPr>
            <m:ctrlPr>
              <w:rPr>
                <w:rFonts w:ascii="Cambria Math" w:hAnsi="Cambria Math"/>
                <w:i/>
              </w:rPr>
            </m:ctrlPr>
          </m:sSubPr>
          <m:e>
            <m:r>
              <w:rPr>
                <w:rFonts w:ascii="Cambria Math" w:hAnsi="Cambria Math"/>
              </w:rPr>
              <m:t>α</m:t>
            </m:r>
          </m:e>
          <m:sub>
            <m:r>
              <w:rPr>
                <w:rFonts w:ascii="Cambria Math" w:hAnsi="Cambria Math"/>
              </w:rPr>
              <m:t>f</m:t>
            </m:r>
          </m:sub>
        </m:sSub>
      </m:oMath>
      <w:r w:rsidRPr="008F1C50">
        <w:t xml:space="preserve"> vs </w:t>
      </w:r>
      <m:oMath>
        <m:sSub>
          <m:sSubPr>
            <m:ctrlPr>
              <w:rPr>
                <w:rFonts w:ascii="Cambria Math" w:hAnsi="Cambria Math"/>
                <w:i/>
              </w:rPr>
            </m:ctrlPr>
          </m:sSubPr>
          <m:e>
            <m:r>
              <w:rPr>
                <w:rFonts w:ascii="Cambria Math" w:hAnsi="Cambria Math"/>
              </w:rPr>
              <m:t>α</m:t>
            </m:r>
          </m:e>
          <m:sub>
            <m:r>
              <w:rPr>
                <w:rFonts w:ascii="Cambria Math" w:hAnsi="Cambria Math"/>
              </w:rPr>
              <m:t>nf</m:t>
            </m:r>
          </m:sub>
        </m:sSub>
      </m:oMath>
      <w:r w:rsidRPr="008F1C50">
        <w:t xml:space="preserve">, </w:t>
      </w:r>
      <m:oMath>
        <m:sSub>
          <m:sSubPr>
            <m:ctrlPr>
              <w:rPr>
                <w:rFonts w:ascii="Cambria Math" w:hAnsi="Cambria Math"/>
                <w:i/>
              </w:rPr>
            </m:ctrlPr>
          </m:sSubPr>
          <m:e>
            <m:r>
              <w:rPr>
                <w:rFonts w:ascii="Cambria Math" w:hAnsi="Cambria Math"/>
                <w:lang w:val="el-GR"/>
              </w:rPr>
              <m:t>γ</m:t>
            </m:r>
          </m:e>
          <m:sub>
            <m:r>
              <w:rPr>
                <w:rFonts w:ascii="Cambria Math" w:hAnsi="Cambria Math"/>
              </w:rPr>
              <m:t>f</m:t>
            </m:r>
          </m:sub>
        </m:sSub>
      </m:oMath>
      <w:r w:rsidRPr="008F1C50">
        <w:t xml:space="preserve"> vs </w:t>
      </w:r>
      <m:oMath>
        <m:sSub>
          <m:sSubPr>
            <m:ctrlPr>
              <w:rPr>
                <w:rFonts w:ascii="Cambria Math" w:hAnsi="Cambria Math"/>
                <w:i/>
              </w:rPr>
            </m:ctrlPr>
          </m:sSubPr>
          <m:e>
            <m:r>
              <w:rPr>
                <w:rFonts w:ascii="Cambria Math" w:hAnsi="Cambria Math"/>
                <w:lang w:val="el-GR"/>
              </w:rPr>
              <m:t>γ</m:t>
            </m:r>
          </m:e>
          <m:sub>
            <m:r>
              <w:rPr>
                <w:rFonts w:ascii="Cambria Math" w:hAnsi="Cambria Math"/>
              </w:rPr>
              <m:t>nf</m:t>
            </m:r>
          </m:sub>
        </m:sSub>
      </m:oMath>
      <w:r w:rsidRPr="008F1C50">
        <w:t xml:space="preserve"> ). To ensure that the results of</w:t>
      </w:r>
      <w:r>
        <w:t xml:space="preserve"> </w:t>
      </w:r>
      <w:r w:rsidRPr="008F1C50">
        <w:t>the model-fitting analyses are meaningful, we ran simulations to verify that parameter recovery</w:t>
      </w:r>
      <w:r>
        <w:t xml:space="preserve"> </w:t>
      </w:r>
      <w:r w:rsidRPr="008F1C50">
        <w:t>is of high quality. Specifically, we ran 2000 simulations with parameters randomly drawn as</w:t>
      </w:r>
      <w:r>
        <w:t xml:space="preserve"> </w:t>
      </w:r>
      <w:r w:rsidRPr="008F1C50">
        <w:t xml:space="preserve">follows: </w:t>
      </w:r>
      <m:oMath>
        <m:r>
          <w:rPr>
            <w:rFonts w:ascii="Cambria Math" w:hAnsi="Cambria Math"/>
          </w:rPr>
          <m:t>α∈</m:t>
        </m:r>
        <m:d>
          <m:dPr>
            <m:begChr m:val="["/>
            <m:endChr m:val="]"/>
            <m:ctrlPr>
              <w:rPr>
                <w:rFonts w:ascii="Cambria Math" w:hAnsi="Cambria Math"/>
                <w:i/>
              </w:rPr>
            </m:ctrlPr>
          </m:dPr>
          <m:e>
            <m:r>
              <w:rPr>
                <w:rFonts w:ascii="Cambria Math" w:hAnsi="Cambria Math"/>
              </w:rPr>
              <m:t>0,2</m:t>
            </m:r>
          </m:e>
        </m:d>
        <m:r>
          <w:rPr>
            <w:rFonts w:ascii="Cambria Math" w:hAnsi="Cambria Math"/>
          </w:rPr>
          <m:t xml:space="preserve">, </m:t>
        </m:r>
        <m:r>
          <w:rPr>
            <w:rFonts w:ascii="Cambria Math" w:hAnsi="Cambria Math"/>
            <w:lang w:val="el-GR"/>
          </w:rPr>
          <m:t>γ</m:t>
        </m:r>
        <m:r>
          <w:rPr>
            <w:rFonts w:ascii="Cambria Math" w:hAnsi="Cambria Math"/>
          </w:rPr>
          <m:t>∈[0,2]</m:t>
        </m:r>
      </m:oMath>
      <w:r w:rsidRPr="008F1C50">
        <w:t>.</w:t>
      </w:r>
      <w:r w:rsidRPr="00EF4DCB">
        <w:t xml:space="preserve"> </w:t>
      </w:r>
      <w:r w:rsidR="00A70747">
        <w:t xml:space="preserve"> </w:t>
      </w:r>
    </w:p>
    <w:p w14:paraId="06CCD055" w14:textId="00666C0C" w:rsidR="00586DB1" w:rsidRDefault="002C464C" w:rsidP="00EF4DCB">
      <w:r w:rsidRPr="000423BD">
        <w:rPr>
          <w:noProof/>
        </w:rPr>
        <w:drawing>
          <wp:anchor distT="0" distB="0" distL="114300" distR="114300" simplePos="0" relativeHeight="251671552" behindDoc="0" locked="0" layoutInCell="1" allowOverlap="1" wp14:anchorId="144FDE28" wp14:editId="27AA58F7">
            <wp:simplePos x="0" y="0"/>
            <wp:positionH relativeFrom="column">
              <wp:posOffset>7620</wp:posOffset>
            </wp:positionH>
            <wp:positionV relativeFrom="paragraph">
              <wp:posOffset>1311275</wp:posOffset>
            </wp:positionV>
            <wp:extent cx="4728210" cy="1629410"/>
            <wp:effectExtent l="0" t="0" r="0" b="0"/>
            <wp:wrapTopAndBottom/>
            <wp:docPr id="920588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588288"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28210" cy="1629410"/>
                    </a:xfrm>
                    <a:prstGeom prst="rect">
                      <a:avLst/>
                    </a:prstGeom>
                  </pic:spPr>
                </pic:pic>
              </a:graphicData>
            </a:graphic>
            <wp14:sizeRelH relativeFrom="page">
              <wp14:pctWidth>0</wp14:pctWidth>
            </wp14:sizeRelH>
            <wp14:sizeRelV relativeFrom="page">
              <wp14:pctHeight>0</wp14:pctHeight>
            </wp14:sizeRelV>
          </wp:anchor>
        </w:drawing>
      </w:r>
      <w:r w:rsidR="00A70747" w:rsidRPr="00A70747">
        <w:t xml:space="preserve">Parameter recovery of simulated parameters </w:t>
      </w:r>
      <w:r w:rsidR="00A70747">
        <w:t>was</w:t>
      </w:r>
      <w:r w:rsidR="00A70747" w:rsidRPr="00A70747">
        <w:t xml:space="preserve"> of high quality</w:t>
      </w:r>
      <w:r>
        <w:t xml:space="preserve"> (</w:t>
      </w:r>
      <w:r w:rsidRPr="002C464C">
        <w:rPr>
          <w:b/>
        </w:rPr>
        <w:t>Figure S3</w:t>
      </w:r>
      <w:r>
        <w:t>)</w:t>
      </w:r>
      <w:r w:rsidR="00A70747" w:rsidRPr="00A70747">
        <w:t>. The Pearson</w:t>
      </w:r>
      <w:r w:rsidR="00A70747">
        <w:t xml:space="preserve"> </w:t>
      </w:r>
      <w:r w:rsidR="00A70747" w:rsidRPr="00A70747">
        <w:t xml:space="preserve">correlation coefficient between simulated and estimated parameters </w:t>
      </w:r>
      <w:r w:rsidR="00BA2727">
        <w:t>was</w:t>
      </w:r>
      <w:r w:rsidR="00A70747" w:rsidRPr="00A70747">
        <w:t xml:space="preserve"> 0</w:t>
      </w:r>
      <w:r w:rsidR="00A70747">
        <w:t>.</w:t>
      </w:r>
      <w:r w:rsidR="00A70747" w:rsidRPr="00A70747">
        <w:t xml:space="preserve">88 for parameter </w:t>
      </w:r>
      <w:r w:rsidR="00A70747">
        <w:rPr>
          <w:lang w:val="el-GR"/>
        </w:rPr>
        <w:t>α</w:t>
      </w:r>
      <w:r w:rsidR="00A70747">
        <w:t xml:space="preserve"> </w:t>
      </w:r>
      <w:r w:rsidR="00BA2727">
        <w:t xml:space="preserve">(for all experiments) </w:t>
      </w:r>
      <w:r w:rsidR="00A70747" w:rsidRPr="00A70747">
        <w:t xml:space="preserve">and </w:t>
      </w:r>
      <w:r w:rsidR="00BA2727">
        <w:t>approximately 0.80</w:t>
      </w:r>
      <w:r w:rsidR="00A70747" w:rsidRPr="00A70747">
        <w:t xml:space="preserve"> for parameter </w:t>
      </w:r>
      <w:r w:rsidR="00A70747">
        <w:rPr>
          <w:lang w:val="el-GR"/>
        </w:rPr>
        <w:t>γ</w:t>
      </w:r>
      <w:r w:rsidR="00BA2727">
        <w:t xml:space="preserve"> (0.79 for experiments 1-4 and 0.81 for experiments 5-6)</w:t>
      </w:r>
      <w:r w:rsidR="00A70747" w:rsidRPr="00A70747">
        <w:t xml:space="preserve">. This suggests that </w:t>
      </w:r>
      <w:r w:rsidR="00A70747">
        <w:t>our</w:t>
      </w:r>
      <w:r w:rsidR="00A70747" w:rsidRPr="00A70747">
        <w:t xml:space="preserve"> model-fitting analysis provide</w:t>
      </w:r>
      <w:r w:rsidR="00A70747">
        <w:t xml:space="preserve">s </w:t>
      </w:r>
      <w:r w:rsidR="00A70747" w:rsidRPr="00A70747">
        <w:t>meaningful results.</w:t>
      </w:r>
    </w:p>
    <w:p w14:paraId="6EFF8C93" w14:textId="77777777" w:rsidR="002C464C" w:rsidRPr="000D6A48" w:rsidRDefault="002C464C" w:rsidP="00EF4DCB"/>
    <w:bookmarkEnd w:id="0"/>
    <w:p w14:paraId="2200489B" w14:textId="72B1364A" w:rsidR="002C464C" w:rsidRPr="0002518E" w:rsidRDefault="002C464C" w:rsidP="00C70501">
      <w:pPr>
        <w:spacing w:line="240" w:lineRule="auto"/>
        <w:rPr>
          <w:sz w:val="20"/>
          <w:szCs w:val="18"/>
        </w:rPr>
      </w:pPr>
      <w:r w:rsidRPr="00B46EC1">
        <w:rPr>
          <w:b/>
          <w:bCs/>
          <w:sz w:val="20"/>
          <w:szCs w:val="20"/>
        </w:rPr>
        <w:t xml:space="preserve">Figure </w:t>
      </w:r>
      <w:r>
        <w:rPr>
          <w:b/>
          <w:bCs/>
          <w:sz w:val="20"/>
          <w:szCs w:val="20"/>
        </w:rPr>
        <w:t>S3</w:t>
      </w:r>
      <w:r w:rsidRPr="00B46EC1">
        <w:rPr>
          <w:b/>
          <w:bCs/>
          <w:sz w:val="20"/>
          <w:szCs w:val="20"/>
        </w:rPr>
        <w:t xml:space="preserve">: </w:t>
      </w:r>
      <w:r>
        <w:rPr>
          <w:b/>
          <w:bCs/>
          <w:sz w:val="20"/>
          <w:szCs w:val="20"/>
        </w:rPr>
        <w:t>recovery of simulated parameters</w:t>
      </w:r>
      <w:r w:rsidRPr="00B46EC1">
        <w:rPr>
          <w:b/>
          <w:bCs/>
          <w:sz w:val="20"/>
          <w:szCs w:val="20"/>
        </w:rPr>
        <w:t>.</w:t>
      </w:r>
      <w:r>
        <w:rPr>
          <w:sz w:val="20"/>
          <w:szCs w:val="20"/>
        </w:rPr>
        <w:t xml:space="preserve"> (</w:t>
      </w:r>
      <w:r w:rsidRPr="001D3AA6">
        <w:rPr>
          <w:b/>
          <w:bCs/>
          <w:sz w:val="20"/>
          <w:szCs w:val="20"/>
        </w:rPr>
        <w:t>A</w:t>
      </w:r>
      <w:r>
        <w:rPr>
          <w:sz w:val="20"/>
          <w:szCs w:val="20"/>
        </w:rPr>
        <w:t xml:space="preserve">) </w:t>
      </w:r>
      <w:r>
        <w:rPr>
          <w:sz w:val="20"/>
          <w:szCs w:val="18"/>
        </w:rPr>
        <w:t>Main</w:t>
      </w:r>
      <w:r w:rsidRPr="001D3AA6">
        <w:rPr>
          <w:sz w:val="20"/>
          <w:szCs w:val="18"/>
        </w:rPr>
        <w:t xml:space="preserve"> diagonal: correlations between simulated and estimated parameters. </w:t>
      </w:r>
      <w:r>
        <w:rPr>
          <w:sz w:val="20"/>
          <w:szCs w:val="18"/>
        </w:rPr>
        <w:t>O</w:t>
      </w:r>
      <w:r w:rsidRPr="001D3AA6">
        <w:rPr>
          <w:sz w:val="20"/>
          <w:szCs w:val="18"/>
        </w:rPr>
        <w:t>ff diagonal: cross correlations between estimated parameters</w:t>
      </w:r>
      <w:r>
        <w:rPr>
          <w:sz w:val="20"/>
          <w:szCs w:val="18"/>
        </w:rPr>
        <w:t>. Experiment 1-4. (</w:t>
      </w:r>
      <w:r w:rsidRPr="001D3AA6">
        <w:rPr>
          <w:b/>
          <w:bCs/>
          <w:sz w:val="20"/>
          <w:szCs w:val="18"/>
        </w:rPr>
        <w:t>B</w:t>
      </w:r>
      <w:r>
        <w:rPr>
          <w:sz w:val="20"/>
          <w:szCs w:val="18"/>
        </w:rPr>
        <w:t>)</w:t>
      </w:r>
      <w:r w:rsidRPr="001D3AA6">
        <w:rPr>
          <w:sz w:val="20"/>
          <w:szCs w:val="18"/>
        </w:rPr>
        <w:t xml:space="preserve"> </w:t>
      </w:r>
      <w:r>
        <w:rPr>
          <w:sz w:val="20"/>
          <w:szCs w:val="18"/>
        </w:rPr>
        <w:t>C</w:t>
      </w:r>
      <w:r w:rsidRPr="001D3AA6">
        <w:rPr>
          <w:sz w:val="20"/>
          <w:szCs w:val="18"/>
        </w:rPr>
        <w:t>orrelations (diagonal) and cross correlations (off-diagonal) between simulated parameters.</w:t>
      </w:r>
      <w:r>
        <w:rPr>
          <w:sz w:val="20"/>
          <w:szCs w:val="18"/>
        </w:rPr>
        <w:t xml:space="preserve"> (C) &amp; (D) are same as (A) &amp; (B) respectively but for Experiments 5-6.</w:t>
      </w:r>
      <w:r w:rsidR="003960E8">
        <w:rPr>
          <w:sz w:val="20"/>
          <w:szCs w:val="18"/>
        </w:rPr>
        <w:t xml:space="preserve"> </w:t>
      </w:r>
      <w:r w:rsidRPr="001D3AA6">
        <w:rPr>
          <w:sz w:val="20"/>
          <w:szCs w:val="18"/>
        </w:rPr>
        <w:t>Pearson correlation values are depicted inside the squares. The number of simulations was 2000.</w:t>
      </w:r>
    </w:p>
    <w:p w14:paraId="43FED2EC" w14:textId="1D4BFE27" w:rsidR="003D7F59" w:rsidRPr="0002518E" w:rsidRDefault="003D7F59" w:rsidP="003D7F59">
      <w:pPr>
        <w:pStyle w:val="Heading1"/>
        <w:rPr>
          <w:lang w:val="en-US"/>
        </w:rPr>
      </w:pPr>
      <w:r w:rsidRPr="0002518E">
        <w:rPr>
          <w:lang w:val="en-US"/>
        </w:rPr>
        <w:lastRenderedPageBreak/>
        <w:t>References</w:t>
      </w:r>
    </w:p>
    <w:p w14:paraId="14E7F1F7" w14:textId="77777777" w:rsidR="00AF61E2" w:rsidRPr="00AF61E2" w:rsidRDefault="003D7F59" w:rsidP="00AF61E2">
      <w:pPr>
        <w:pStyle w:val="Bibliography"/>
        <w:rPr>
          <w:rFonts w:cs="Times New Roman"/>
        </w:rPr>
      </w:pPr>
      <w:r>
        <w:fldChar w:fldCharType="begin"/>
      </w:r>
      <w:r w:rsidR="00AF61E2">
        <w:instrText xml:space="preserve"> ADDIN ZOTERO_BIBL {"uncited":[],"omitted":[],"custom":[]} CSL_BIBLIOGRAPHY </w:instrText>
      </w:r>
      <w:r>
        <w:fldChar w:fldCharType="separate"/>
      </w:r>
      <w:r w:rsidR="00AF61E2" w:rsidRPr="00AF61E2">
        <w:rPr>
          <w:rFonts w:cs="Times New Roman"/>
        </w:rPr>
        <w:t xml:space="preserve">Erev, I., Ert, E., Plonsky, O., Cohen, D., &amp; Cohen, O. (2017). From anomalies to forecasts: Toward a descriptive model of decisions under risk, under ambiguity, and from experience. </w:t>
      </w:r>
      <w:r w:rsidR="00AF61E2" w:rsidRPr="00AF61E2">
        <w:rPr>
          <w:rFonts w:cs="Times New Roman"/>
          <w:i/>
          <w:iCs/>
        </w:rPr>
        <w:t>Psychological Review</w:t>
      </w:r>
      <w:r w:rsidR="00AF61E2" w:rsidRPr="00AF61E2">
        <w:rPr>
          <w:rFonts w:cs="Times New Roman"/>
        </w:rPr>
        <w:t xml:space="preserve">, </w:t>
      </w:r>
      <w:r w:rsidR="00AF61E2" w:rsidRPr="00AF61E2">
        <w:rPr>
          <w:rFonts w:cs="Times New Roman"/>
          <w:i/>
          <w:iCs/>
        </w:rPr>
        <w:t>124</w:t>
      </w:r>
      <w:r w:rsidR="00AF61E2" w:rsidRPr="00AF61E2">
        <w:rPr>
          <w:rFonts w:cs="Times New Roman"/>
        </w:rPr>
        <w:t>(4), 369–409. https://doi.org/10.1037/rev0000062</w:t>
      </w:r>
    </w:p>
    <w:p w14:paraId="213A5238" w14:textId="77777777" w:rsidR="00AF61E2" w:rsidRPr="00AF61E2" w:rsidRDefault="00AF61E2" w:rsidP="00AF61E2">
      <w:pPr>
        <w:pStyle w:val="Bibliography"/>
        <w:rPr>
          <w:rFonts w:cs="Times New Roman"/>
        </w:rPr>
      </w:pPr>
      <w:r w:rsidRPr="00AF61E2">
        <w:rPr>
          <w:rFonts w:cs="Times New Roman"/>
        </w:rPr>
        <w:t xml:space="preserve">Erev, I., Ert, E., Roth, A. E., Haruvy, E., Herzog, S. M., Hau, R., Hertwig, R., Stewart, T., West, R., &amp; Lebiere, C. (2010). A choice prediction competition: Choices from experience and from description. </w:t>
      </w:r>
      <w:r w:rsidRPr="00AF61E2">
        <w:rPr>
          <w:rFonts w:cs="Times New Roman"/>
          <w:i/>
          <w:iCs/>
        </w:rPr>
        <w:t>Journal of Behavioral Decision Making</w:t>
      </w:r>
      <w:r w:rsidRPr="00AF61E2">
        <w:rPr>
          <w:rFonts w:cs="Times New Roman"/>
        </w:rPr>
        <w:t xml:space="preserve">, </w:t>
      </w:r>
      <w:r w:rsidRPr="00AF61E2">
        <w:rPr>
          <w:rFonts w:cs="Times New Roman"/>
          <w:i/>
          <w:iCs/>
        </w:rPr>
        <w:t>23</w:t>
      </w:r>
      <w:r w:rsidRPr="00AF61E2">
        <w:rPr>
          <w:rFonts w:cs="Times New Roman"/>
        </w:rPr>
        <w:t>(1), 15–47. https://doi.org/10.1002/bdm.683</w:t>
      </w:r>
    </w:p>
    <w:p w14:paraId="5570FEBE" w14:textId="77777777" w:rsidR="00AF61E2" w:rsidRPr="00AF61E2" w:rsidRDefault="00AF61E2" w:rsidP="00AF61E2">
      <w:pPr>
        <w:pStyle w:val="Bibliography"/>
        <w:rPr>
          <w:rFonts w:cs="Times New Roman"/>
        </w:rPr>
      </w:pPr>
      <w:r w:rsidRPr="00AF61E2">
        <w:rPr>
          <w:rFonts w:cs="Times New Roman"/>
        </w:rPr>
        <w:t xml:space="preserve">Kahneman, D., &amp; Tversky, A. (1979). Prospect Theory: An Analysis of Decision under Risk. </w:t>
      </w:r>
      <w:r w:rsidRPr="00AF61E2">
        <w:rPr>
          <w:rFonts w:cs="Times New Roman"/>
          <w:i/>
          <w:iCs/>
        </w:rPr>
        <w:t>Econometrica</w:t>
      </w:r>
      <w:r w:rsidRPr="00AF61E2">
        <w:rPr>
          <w:rFonts w:cs="Times New Roman"/>
        </w:rPr>
        <w:t xml:space="preserve">, </w:t>
      </w:r>
      <w:r w:rsidRPr="00AF61E2">
        <w:rPr>
          <w:rFonts w:cs="Times New Roman"/>
          <w:i/>
          <w:iCs/>
        </w:rPr>
        <w:t>47</w:t>
      </w:r>
      <w:r w:rsidRPr="00AF61E2">
        <w:rPr>
          <w:rFonts w:cs="Times New Roman"/>
        </w:rPr>
        <w:t>(2), 263–291. https://doi.org/10.2307/1914185</w:t>
      </w:r>
    </w:p>
    <w:p w14:paraId="6AE9950A" w14:textId="77777777" w:rsidR="00AF61E2" w:rsidRPr="00AF61E2" w:rsidRDefault="00AF61E2" w:rsidP="00AF61E2">
      <w:pPr>
        <w:pStyle w:val="Bibliography"/>
        <w:rPr>
          <w:rFonts w:cs="Times New Roman"/>
        </w:rPr>
      </w:pPr>
      <w:r w:rsidRPr="00AF61E2">
        <w:rPr>
          <w:rFonts w:cs="Times New Roman"/>
        </w:rPr>
        <w:t xml:space="preserve">Prelec, D. (1998). The Probability Weighting Function. </w:t>
      </w:r>
      <w:r w:rsidRPr="00AF61E2">
        <w:rPr>
          <w:rFonts w:cs="Times New Roman"/>
          <w:i/>
          <w:iCs/>
        </w:rPr>
        <w:t>Econometrica</w:t>
      </w:r>
      <w:r w:rsidRPr="00AF61E2">
        <w:rPr>
          <w:rFonts w:cs="Times New Roman"/>
        </w:rPr>
        <w:t xml:space="preserve">, </w:t>
      </w:r>
      <w:r w:rsidRPr="00AF61E2">
        <w:rPr>
          <w:rFonts w:cs="Times New Roman"/>
          <w:i/>
          <w:iCs/>
        </w:rPr>
        <w:t>66</w:t>
      </w:r>
      <w:r w:rsidRPr="00AF61E2">
        <w:rPr>
          <w:rFonts w:cs="Times New Roman"/>
        </w:rPr>
        <w:t>(3), 497–527. https://doi.org/10.2307/2998573</w:t>
      </w:r>
    </w:p>
    <w:p w14:paraId="1E078E8E" w14:textId="77777777" w:rsidR="00AF61E2" w:rsidRPr="00AF61E2" w:rsidRDefault="00AF61E2" w:rsidP="00AF61E2">
      <w:pPr>
        <w:pStyle w:val="Bibliography"/>
        <w:rPr>
          <w:rFonts w:cs="Times New Roman"/>
        </w:rPr>
      </w:pPr>
      <w:r w:rsidRPr="00AF61E2">
        <w:rPr>
          <w:rFonts w:cs="Times New Roman"/>
        </w:rPr>
        <w:t xml:space="preserve">Stock, J., &amp; Watson, M. (2003). </w:t>
      </w:r>
      <w:r w:rsidRPr="00AF61E2">
        <w:rPr>
          <w:rFonts w:cs="Times New Roman"/>
          <w:i/>
          <w:iCs/>
        </w:rPr>
        <w:t>Introduction to Econometrics</w:t>
      </w:r>
      <w:r w:rsidRPr="00AF61E2">
        <w:rPr>
          <w:rFonts w:cs="Times New Roman"/>
        </w:rPr>
        <w:t>. Prentice Hall.</w:t>
      </w:r>
    </w:p>
    <w:p w14:paraId="22F4A30C" w14:textId="77777777" w:rsidR="00AF61E2" w:rsidRPr="00AF61E2" w:rsidRDefault="00AF61E2" w:rsidP="00AF61E2">
      <w:pPr>
        <w:pStyle w:val="Bibliography"/>
        <w:rPr>
          <w:rFonts w:cs="Times New Roman"/>
        </w:rPr>
      </w:pPr>
      <w:r w:rsidRPr="00AF61E2">
        <w:rPr>
          <w:rFonts w:cs="Times New Roman"/>
        </w:rPr>
        <w:t xml:space="preserve">Tversky, A., &amp; Kahneman, D. (1992). Advances in prospect theory: Cumulative representation of uncertainty. </w:t>
      </w:r>
      <w:r w:rsidRPr="00AF61E2">
        <w:rPr>
          <w:rFonts w:cs="Times New Roman"/>
          <w:i/>
          <w:iCs/>
        </w:rPr>
        <w:t>Journal of Risk and Uncertainty</w:t>
      </w:r>
      <w:r w:rsidRPr="00AF61E2">
        <w:rPr>
          <w:rFonts w:cs="Times New Roman"/>
        </w:rPr>
        <w:t xml:space="preserve">, </w:t>
      </w:r>
      <w:r w:rsidRPr="00AF61E2">
        <w:rPr>
          <w:rFonts w:cs="Times New Roman"/>
          <w:i/>
          <w:iCs/>
        </w:rPr>
        <w:t>5</w:t>
      </w:r>
      <w:r w:rsidRPr="00AF61E2">
        <w:rPr>
          <w:rFonts w:cs="Times New Roman"/>
        </w:rPr>
        <w:t>(4), 297–323. https://doi.org/10.1007/BF00122574</w:t>
      </w:r>
    </w:p>
    <w:p w14:paraId="1E1FC573" w14:textId="77777777" w:rsidR="00AF61E2" w:rsidRPr="00AF61E2" w:rsidRDefault="00AF61E2" w:rsidP="00AF61E2">
      <w:pPr>
        <w:pStyle w:val="Bibliography"/>
        <w:rPr>
          <w:rFonts w:cs="Times New Roman"/>
        </w:rPr>
      </w:pPr>
      <w:r w:rsidRPr="00AF61E2">
        <w:rPr>
          <w:rFonts w:cs="Times New Roman"/>
        </w:rPr>
        <w:t xml:space="preserve">Wulff, D., Mergenthaler-Canseco, M., &amp; Hertwig, R. (2017). A Meta-Analytic Review of Two Modes of Learning and the Description‒Experience Gap. </w:t>
      </w:r>
      <w:r w:rsidRPr="00AF61E2">
        <w:rPr>
          <w:rFonts w:cs="Times New Roman"/>
          <w:i/>
          <w:iCs/>
        </w:rPr>
        <w:t>Psychological Bulletin</w:t>
      </w:r>
      <w:r w:rsidRPr="00AF61E2">
        <w:rPr>
          <w:rFonts w:cs="Times New Roman"/>
        </w:rPr>
        <w:t xml:space="preserve">, </w:t>
      </w:r>
      <w:r w:rsidRPr="00AF61E2">
        <w:rPr>
          <w:rFonts w:cs="Times New Roman"/>
          <w:i/>
          <w:iCs/>
        </w:rPr>
        <w:t>144</w:t>
      </w:r>
      <w:r w:rsidRPr="00AF61E2">
        <w:rPr>
          <w:rFonts w:cs="Times New Roman"/>
        </w:rPr>
        <w:t>. https://doi.org/10.1037/bul0000115</w:t>
      </w:r>
    </w:p>
    <w:p w14:paraId="68DA4B4B" w14:textId="43E68832" w:rsidR="00353B33" w:rsidRDefault="003D7F59">
      <w:r>
        <w:fldChar w:fldCharType="end"/>
      </w:r>
    </w:p>
    <w:sectPr w:rsidR="00353B33" w:rsidSect="0098429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95DD4" w14:textId="77777777" w:rsidR="002954F7" w:rsidRDefault="002954F7" w:rsidP="007D2005">
      <w:pPr>
        <w:spacing w:after="0" w:line="240" w:lineRule="auto"/>
      </w:pPr>
      <w:r>
        <w:separator/>
      </w:r>
    </w:p>
  </w:endnote>
  <w:endnote w:type="continuationSeparator" w:id="0">
    <w:p w14:paraId="7DB62B32" w14:textId="77777777" w:rsidR="002954F7" w:rsidRDefault="002954F7" w:rsidP="007D2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095A1" w14:textId="77777777" w:rsidR="002954F7" w:rsidRDefault="002954F7" w:rsidP="007D2005">
      <w:pPr>
        <w:spacing w:after="0" w:line="240" w:lineRule="auto"/>
      </w:pPr>
      <w:r>
        <w:separator/>
      </w:r>
    </w:p>
  </w:footnote>
  <w:footnote w:type="continuationSeparator" w:id="0">
    <w:p w14:paraId="59EA9275" w14:textId="77777777" w:rsidR="002954F7" w:rsidRDefault="002954F7" w:rsidP="007D2005">
      <w:pPr>
        <w:spacing w:after="0" w:line="240" w:lineRule="auto"/>
      </w:pPr>
      <w:r>
        <w:continuationSeparator/>
      </w:r>
    </w:p>
  </w:footnote>
  <w:footnote w:id="1">
    <w:p w14:paraId="7AF56B7C" w14:textId="3F11AD48" w:rsidR="00135DDF" w:rsidRDefault="00135DDF">
      <w:pPr>
        <w:pStyle w:val="FootnoteText"/>
      </w:pPr>
      <w:r w:rsidRPr="00F82BA6">
        <w:rPr>
          <w:rStyle w:val="FootnoteReference"/>
        </w:rPr>
        <w:footnoteRef/>
      </w:r>
      <w:r>
        <w:t xml:space="preserve"> Instructions at the beginning of each block informing participants about whether there will be feedback or not in the upcoming block.</w:t>
      </w:r>
    </w:p>
  </w:footnote>
  <w:footnote w:id="2">
    <w:p w14:paraId="033FDE0A" w14:textId="3DBF1381" w:rsidR="00135DDF" w:rsidRDefault="00135DDF">
      <w:pPr>
        <w:pStyle w:val="FootnoteText"/>
      </w:pPr>
      <w:r w:rsidRPr="00F82BA6">
        <w:rPr>
          <w:rStyle w:val="FootnoteReference"/>
        </w:rPr>
        <w:footnoteRef/>
      </w:r>
      <w:r>
        <w:t xml:space="preserve"> “</w:t>
      </w:r>
      <w:r w:rsidRPr="00135DDF">
        <w:t>Following some of the trials, there will appear on the selected button the outcome you obtained by selecting that option (this outcome will appear in black font).</w:t>
      </w:r>
      <w:r>
        <w:t xml:space="preserve"> </w:t>
      </w:r>
      <w:r w:rsidRPr="00135DDF">
        <w:t>On the other button, there will appear the outcome you could have obtained had you selected the other option (the forgone outcome will appear in dull font).</w:t>
      </w:r>
      <w:r>
        <w:t>” (Appendix C, Erev et al 2017)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005"/>
    <w:rsid w:val="00014CDE"/>
    <w:rsid w:val="0002518E"/>
    <w:rsid w:val="00041506"/>
    <w:rsid w:val="00041C4D"/>
    <w:rsid w:val="000423BD"/>
    <w:rsid w:val="0007146B"/>
    <w:rsid w:val="00072ADB"/>
    <w:rsid w:val="0009430B"/>
    <w:rsid w:val="00097BFD"/>
    <w:rsid w:val="000B0D89"/>
    <w:rsid w:val="000B459A"/>
    <w:rsid w:val="000D0292"/>
    <w:rsid w:val="000D6A48"/>
    <w:rsid w:val="000E5F77"/>
    <w:rsid w:val="00106E90"/>
    <w:rsid w:val="00106ECE"/>
    <w:rsid w:val="00135DDF"/>
    <w:rsid w:val="00153AEF"/>
    <w:rsid w:val="001828BF"/>
    <w:rsid w:val="001A51E9"/>
    <w:rsid w:val="001B0726"/>
    <w:rsid w:val="001B342C"/>
    <w:rsid w:val="001D3AA6"/>
    <w:rsid w:val="001F4E28"/>
    <w:rsid w:val="001F767D"/>
    <w:rsid w:val="00202425"/>
    <w:rsid w:val="002120A3"/>
    <w:rsid w:val="002233C2"/>
    <w:rsid w:val="00233458"/>
    <w:rsid w:val="002466AE"/>
    <w:rsid w:val="0026281E"/>
    <w:rsid w:val="00284307"/>
    <w:rsid w:val="002954F7"/>
    <w:rsid w:val="002C09D3"/>
    <w:rsid w:val="002C464C"/>
    <w:rsid w:val="002F0C18"/>
    <w:rsid w:val="002F2322"/>
    <w:rsid w:val="002F4268"/>
    <w:rsid w:val="0030470E"/>
    <w:rsid w:val="0031040B"/>
    <w:rsid w:val="0033224D"/>
    <w:rsid w:val="0033642D"/>
    <w:rsid w:val="00350F68"/>
    <w:rsid w:val="00353B33"/>
    <w:rsid w:val="0035616A"/>
    <w:rsid w:val="003658B9"/>
    <w:rsid w:val="00370FF6"/>
    <w:rsid w:val="003730F1"/>
    <w:rsid w:val="00377FB7"/>
    <w:rsid w:val="003818FE"/>
    <w:rsid w:val="003960E8"/>
    <w:rsid w:val="003A2B40"/>
    <w:rsid w:val="003A4799"/>
    <w:rsid w:val="003A6280"/>
    <w:rsid w:val="003B5C94"/>
    <w:rsid w:val="003C0AC4"/>
    <w:rsid w:val="003D7F59"/>
    <w:rsid w:val="003E023D"/>
    <w:rsid w:val="00400757"/>
    <w:rsid w:val="00445BC4"/>
    <w:rsid w:val="00450FB9"/>
    <w:rsid w:val="004669AA"/>
    <w:rsid w:val="004812E8"/>
    <w:rsid w:val="00492912"/>
    <w:rsid w:val="004A13D8"/>
    <w:rsid w:val="004B6F78"/>
    <w:rsid w:val="004B7B8B"/>
    <w:rsid w:val="004D0A04"/>
    <w:rsid w:val="004D7E7B"/>
    <w:rsid w:val="004F401C"/>
    <w:rsid w:val="00502153"/>
    <w:rsid w:val="00530008"/>
    <w:rsid w:val="00551B75"/>
    <w:rsid w:val="00566A4D"/>
    <w:rsid w:val="005816E1"/>
    <w:rsid w:val="00586DB1"/>
    <w:rsid w:val="005A3DE4"/>
    <w:rsid w:val="005A599E"/>
    <w:rsid w:val="005B0695"/>
    <w:rsid w:val="005C5B67"/>
    <w:rsid w:val="005E2F59"/>
    <w:rsid w:val="005F69DE"/>
    <w:rsid w:val="00612F7F"/>
    <w:rsid w:val="00616EA7"/>
    <w:rsid w:val="00633AD4"/>
    <w:rsid w:val="00634652"/>
    <w:rsid w:val="0064325D"/>
    <w:rsid w:val="006826DC"/>
    <w:rsid w:val="006C6A86"/>
    <w:rsid w:val="006F0D16"/>
    <w:rsid w:val="006F18F9"/>
    <w:rsid w:val="006F2A76"/>
    <w:rsid w:val="00706239"/>
    <w:rsid w:val="00712399"/>
    <w:rsid w:val="00712465"/>
    <w:rsid w:val="00721248"/>
    <w:rsid w:val="00724645"/>
    <w:rsid w:val="00750518"/>
    <w:rsid w:val="00761E60"/>
    <w:rsid w:val="0077093B"/>
    <w:rsid w:val="00783C04"/>
    <w:rsid w:val="007843C9"/>
    <w:rsid w:val="00785D21"/>
    <w:rsid w:val="007C7829"/>
    <w:rsid w:val="007D2005"/>
    <w:rsid w:val="008139E6"/>
    <w:rsid w:val="00823E24"/>
    <w:rsid w:val="0084454A"/>
    <w:rsid w:val="008515AC"/>
    <w:rsid w:val="0086369D"/>
    <w:rsid w:val="008817E5"/>
    <w:rsid w:val="008B74EB"/>
    <w:rsid w:val="008E7B93"/>
    <w:rsid w:val="008F1C50"/>
    <w:rsid w:val="008F47CC"/>
    <w:rsid w:val="00913700"/>
    <w:rsid w:val="00941216"/>
    <w:rsid w:val="00941909"/>
    <w:rsid w:val="00954F69"/>
    <w:rsid w:val="00961295"/>
    <w:rsid w:val="0097755A"/>
    <w:rsid w:val="00984299"/>
    <w:rsid w:val="00985355"/>
    <w:rsid w:val="00987B4D"/>
    <w:rsid w:val="00994CAD"/>
    <w:rsid w:val="009B13D2"/>
    <w:rsid w:val="009D4442"/>
    <w:rsid w:val="009E1088"/>
    <w:rsid w:val="009E1FFB"/>
    <w:rsid w:val="00A37712"/>
    <w:rsid w:val="00A42946"/>
    <w:rsid w:val="00A70747"/>
    <w:rsid w:val="00A74A70"/>
    <w:rsid w:val="00A80BD4"/>
    <w:rsid w:val="00A80F81"/>
    <w:rsid w:val="00A864D3"/>
    <w:rsid w:val="00A87A8F"/>
    <w:rsid w:val="00AF0AD6"/>
    <w:rsid w:val="00AF61E2"/>
    <w:rsid w:val="00B10797"/>
    <w:rsid w:val="00B131BB"/>
    <w:rsid w:val="00B643C9"/>
    <w:rsid w:val="00B649F9"/>
    <w:rsid w:val="00B664BD"/>
    <w:rsid w:val="00B66A42"/>
    <w:rsid w:val="00B77093"/>
    <w:rsid w:val="00B87E4A"/>
    <w:rsid w:val="00B87F11"/>
    <w:rsid w:val="00B93DCA"/>
    <w:rsid w:val="00B97337"/>
    <w:rsid w:val="00BA2727"/>
    <w:rsid w:val="00BA3A4F"/>
    <w:rsid w:val="00BB6B1A"/>
    <w:rsid w:val="00BB7034"/>
    <w:rsid w:val="00BC07AA"/>
    <w:rsid w:val="00BC5E63"/>
    <w:rsid w:val="00BD69BB"/>
    <w:rsid w:val="00C37CC8"/>
    <w:rsid w:val="00C509B3"/>
    <w:rsid w:val="00C70501"/>
    <w:rsid w:val="00CC0F14"/>
    <w:rsid w:val="00CE2E48"/>
    <w:rsid w:val="00CF02F6"/>
    <w:rsid w:val="00D34FC6"/>
    <w:rsid w:val="00D45D51"/>
    <w:rsid w:val="00D50285"/>
    <w:rsid w:val="00D52E3F"/>
    <w:rsid w:val="00D56A3A"/>
    <w:rsid w:val="00D80334"/>
    <w:rsid w:val="00DC71A0"/>
    <w:rsid w:val="00DD047B"/>
    <w:rsid w:val="00DF1ECE"/>
    <w:rsid w:val="00E158AA"/>
    <w:rsid w:val="00E462FA"/>
    <w:rsid w:val="00E52708"/>
    <w:rsid w:val="00E53D28"/>
    <w:rsid w:val="00E55623"/>
    <w:rsid w:val="00E56E99"/>
    <w:rsid w:val="00EA5A81"/>
    <w:rsid w:val="00EC22EA"/>
    <w:rsid w:val="00EC40CA"/>
    <w:rsid w:val="00ED0CF0"/>
    <w:rsid w:val="00EF0689"/>
    <w:rsid w:val="00EF4DCB"/>
    <w:rsid w:val="00F11DDA"/>
    <w:rsid w:val="00F25FFB"/>
    <w:rsid w:val="00F33430"/>
    <w:rsid w:val="00F37F24"/>
    <w:rsid w:val="00F53D13"/>
    <w:rsid w:val="00F82BA6"/>
    <w:rsid w:val="00F95888"/>
    <w:rsid w:val="00F97055"/>
    <w:rsid w:val="00FA4A3C"/>
    <w:rsid w:val="00FA62FC"/>
    <w:rsid w:val="00FA7A93"/>
    <w:rsid w:val="00FB474F"/>
    <w:rsid w:val="00FC015F"/>
    <w:rsid w:val="00FC16E7"/>
    <w:rsid w:val="00FF5D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49691"/>
  <w15:chartTrackingRefBased/>
  <w15:docId w15:val="{3A28AFB4-89C5-A44B-8F51-EC8C1DA43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005"/>
    <w:pPr>
      <w:spacing w:after="160" w:line="360" w:lineRule="auto"/>
      <w:jc w:val="both"/>
    </w:pPr>
    <w:rPr>
      <w:rFonts w:ascii="Times New Roman" w:hAnsi="Times New Roman"/>
      <w:szCs w:val="22"/>
      <w:lang w:val="en-US"/>
    </w:rPr>
  </w:style>
  <w:style w:type="paragraph" w:styleId="Heading1">
    <w:name w:val="heading 1"/>
    <w:basedOn w:val="Normal"/>
    <w:next w:val="Normal"/>
    <w:link w:val="Heading1Char"/>
    <w:uiPriority w:val="9"/>
    <w:qFormat/>
    <w:rsid w:val="007D2005"/>
    <w:pPr>
      <w:outlineLvl w:val="0"/>
    </w:pPr>
    <w:rPr>
      <w:b/>
      <w:bCs/>
      <w:sz w:val="32"/>
      <w:szCs w:val="24"/>
      <w:lang w:val="it-IT"/>
    </w:rPr>
  </w:style>
  <w:style w:type="paragraph" w:styleId="Heading2">
    <w:name w:val="heading 2"/>
    <w:basedOn w:val="Heading1"/>
    <w:next w:val="Normal"/>
    <w:link w:val="Heading2Char"/>
    <w:uiPriority w:val="9"/>
    <w:unhideWhenUsed/>
    <w:qFormat/>
    <w:rsid w:val="007D2005"/>
    <w:pPr>
      <w:outlineLvl w:val="1"/>
    </w:pPr>
    <w:rPr>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005"/>
    <w:rPr>
      <w:rFonts w:ascii="Times New Roman" w:hAnsi="Times New Roman"/>
      <w:b/>
      <w:bCs/>
      <w:sz w:val="32"/>
      <w:lang w:val="it-IT"/>
    </w:rPr>
  </w:style>
  <w:style w:type="character" w:customStyle="1" w:styleId="Heading2Char">
    <w:name w:val="Heading 2 Char"/>
    <w:basedOn w:val="DefaultParagraphFont"/>
    <w:link w:val="Heading2"/>
    <w:uiPriority w:val="9"/>
    <w:rsid w:val="007D2005"/>
    <w:rPr>
      <w:rFonts w:ascii="Times New Roman" w:hAnsi="Times New Roman"/>
      <w:b/>
      <w:bCs/>
      <w:szCs w:val="20"/>
      <w:lang w:val="it-IT"/>
    </w:rPr>
  </w:style>
  <w:style w:type="character" w:styleId="Hyperlink">
    <w:name w:val="Hyperlink"/>
    <w:basedOn w:val="DefaultParagraphFont"/>
    <w:uiPriority w:val="99"/>
    <w:unhideWhenUsed/>
    <w:rsid w:val="007D2005"/>
    <w:rPr>
      <w:color w:val="0563C1" w:themeColor="hyperlink"/>
      <w:u w:val="single"/>
    </w:rPr>
  </w:style>
  <w:style w:type="paragraph" w:styleId="BodyText">
    <w:name w:val="Body Text"/>
    <w:basedOn w:val="Normal"/>
    <w:link w:val="BodyTextChar"/>
    <w:uiPriority w:val="99"/>
    <w:unhideWhenUsed/>
    <w:rsid w:val="007D2005"/>
    <w:pPr>
      <w:spacing w:after="120"/>
    </w:pPr>
  </w:style>
  <w:style w:type="character" w:customStyle="1" w:styleId="BodyTextChar">
    <w:name w:val="Body Text Char"/>
    <w:basedOn w:val="DefaultParagraphFont"/>
    <w:link w:val="BodyText"/>
    <w:uiPriority w:val="99"/>
    <w:rsid w:val="007D2005"/>
    <w:rPr>
      <w:rFonts w:ascii="Times New Roman" w:hAnsi="Times New Roman"/>
      <w:szCs w:val="22"/>
      <w:lang w:val="nl-NL"/>
    </w:rPr>
  </w:style>
  <w:style w:type="paragraph" w:styleId="FootnoteText">
    <w:name w:val="footnote text"/>
    <w:basedOn w:val="Normal"/>
    <w:link w:val="FootnoteTextChar"/>
    <w:uiPriority w:val="99"/>
    <w:unhideWhenUsed/>
    <w:rsid w:val="007D2005"/>
    <w:pPr>
      <w:spacing w:after="0" w:line="240" w:lineRule="auto"/>
    </w:pPr>
    <w:rPr>
      <w:sz w:val="20"/>
      <w:szCs w:val="20"/>
    </w:rPr>
  </w:style>
  <w:style w:type="character" w:customStyle="1" w:styleId="FootnoteTextChar">
    <w:name w:val="Footnote Text Char"/>
    <w:basedOn w:val="DefaultParagraphFont"/>
    <w:link w:val="FootnoteText"/>
    <w:uiPriority w:val="99"/>
    <w:rsid w:val="007D2005"/>
    <w:rPr>
      <w:rFonts w:ascii="Times New Roman" w:hAnsi="Times New Roman"/>
      <w:sz w:val="20"/>
      <w:szCs w:val="20"/>
      <w:lang w:val="nl-NL"/>
    </w:rPr>
  </w:style>
  <w:style w:type="character" w:styleId="FootnoteReference">
    <w:name w:val="footnote reference"/>
    <w:basedOn w:val="DefaultParagraphFont"/>
    <w:uiPriority w:val="99"/>
    <w:semiHidden/>
    <w:unhideWhenUsed/>
    <w:rsid w:val="007D2005"/>
    <w:rPr>
      <w:vertAlign w:val="superscript"/>
    </w:rPr>
  </w:style>
  <w:style w:type="paragraph" w:styleId="Caption">
    <w:name w:val="caption"/>
    <w:basedOn w:val="Normal"/>
    <w:next w:val="Normal"/>
    <w:uiPriority w:val="35"/>
    <w:unhideWhenUsed/>
    <w:qFormat/>
    <w:rsid w:val="007D2005"/>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7D2005"/>
    <w:rPr>
      <w:sz w:val="16"/>
      <w:szCs w:val="16"/>
    </w:rPr>
  </w:style>
  <w:style w:type="paragraph" w:styleId="CommentText">
    <w:name w:val="annotation text"/>
    <w:basedOn w:val="Normal"/>
    <w:link w:val="CommentTextChar"/>
    <w:uiPriority w:val="99"/>
    <w:unhideWhenUsed/>
    <w:rsid w:val="007D2005"/>
    <w:pPr>
      <w:spacing w:line="240" w:lineRule="auto"/>
    </w:pPr>
    <w:rPr>
      <w:sz w:val="20"/>
      <w:szCs w:val="20"/>
    </w:rPr>
  </w:style>
  <w:style w:type="character" w:customStyle="1" w:styleId="CommentTextChar">
    <w:name w:val="Comment Text Char"/>
    <w:basedOn w:val="DefaultParagraphFont"/>
    <w:link w:val="CommentText"/>
    <w:uiPriority w:val="99"/>
    <w:rsid w:val="007D2005"/>
    <w:rPr>
      <w:rFonts w:ascii="Times New Roman" w:hAnsi="Times New Roman"/>
      <w:sz w:val="20"/>
      <w:szCs w:val="20"/>
      <w:lang w:val="nl-NL"/>
    </w:rPr>
  </w:style>
  <w:style w:type="paragraph" w:styleId="BalloonText">
    <w:name w:val="Balloon Text"/>
    <w:basedOn w:val="Normal"/>
    <w:link w:val="BalloonTextChar"/>
    <w:uiPriority w:val="99"/>
    <w:semiHidden/>
    <w:unhideWhenUsed/>
    <w:rsid w:val="007D2005"/>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7D2005"/>
    <w:rPr>
      <w:rFonts w:ascii="Times New Roman" w:hAnsi="Times New Roman" w:cs="Times New Roman"/>
      <w:sz w:val="18"/>
      <w:szCs w:val="18"/>
      <w:lang w:val="nl-NL"/>
    </w:rPr>
  </w:style>
  <w:style w:type="paragraph" w:styleId="CommentSubject">
    <w:name w:val="annotation subject"/>
    <w:basedOn w:val="CommentText"/>
    <w:next w:val="CommentText"/>
    <w:link w:val="CommentSubjectChar"/>
    <w:uiPriority w:val="99"/>
    <w:semiHidden/>
    <w:unhideWhenUsed/>
    <w:rsid w:val="000D6A48"/>
    <w:rPr>
      <w:b/>
      <w:bCs/>
    </w:rPr>
  </w:style>
  <w:style w:type="character" w:customStyle="1" w:styleId="CommentSubjectChar">
    <w:name w:val="Comment Subject Char"/>
    <w:basedOn w:val="CommentTextChar"/>
    <w:link w:val="CommentSubject"/>
    <w:uiPriority w:val="99"/>
    <w:semiHidden/>
    <w:rsid w:val="000D6A48"/>
    <w:rPr>
      <w:rFonts w:ascii="Times New Roman" w:hAnsi="Times New Roman"/>
      <w:b/>
      <w:bCs/>
      <w:sz w:val="20"/>
      <w:szCs w:val="20"/>
      <w:lang w:val="nl-NL"/>
    </w:rPr>
  </w:style>
  <w:style w:type="character" w:styleId="PlaceholderText">
    <w:name w:val="Placeholder Text"/>
    <w:basedOn w:val="DefaultParagraphFont"/>
    <w:uiPriority w:val="99"/>
    <w:semiHidden/>
    <w:rsid w:val="008F1C50"/>
    <w:rPr>
      <w:color w:val="808080"/>
    </w:rPr>
  </w:style>
  <w:style w:type="paragraph" w:styleId="Revision">
    <w:name w:val="Revision"/>
    <w:hidden/>
    <w:uiPriority w:val="99"/>
    <w:semiHidden/>
    <w:rsid w:val="001B342C"/>
    <w:rPr>
      <w:rFonts w:ascii="Times New Roman" w:hAnsi="Times New Roman"/>
      <w:szCs w:val="22"/>
      <w:lang w:val="nl-NL"/>
    </w:rPr>
  </w:style>
  <w:style w:type="paragraph" w:styleId="Bibliography">
    <w:name w:val="Bibliography"/>
    <w:basedOn w:val="Normal"/>
    <w:next w:val="Normal"/>
    <w:uiPriority w:val="37"/>
    <w:unhideWhenUsed/>
    <w:rsid w:val="003D7F59"/>
    <w:pPr>
      <w:spacing w:after="0" w:line="480" w:lineRule="auto"/>
      <w:ind w:left="720" w:hanging="720"/>
    </w:pPr>
  </w:style>
  <w:style w:type="character" w:styleId="EndnoteReference">
    <w:name w:val="endnote reference"/>
    <w:basedOn w:val="DefaultParagraphFont"/>
    <w:uiPriority w:val="99"/>
    <w:semiHidden/>
    <w:unhideWhenUsed/>
    <w:rsid w:val="00F82B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304421">
      <w:bodyDiv w:val="1"/>
      <w:marLeft w:val="0"/>
      <w:marRight w:val="0"/>
      <w:marTop w:val="0"/>
      <w:marBottom w:val="0"/>
      <w:divBdr>
        <w:top w:val="none" w:sz="0" w:space="0" w:color="auto"/>
        <w:left w:val="none" w:sz="0" w:space="0" w:color="auto"/>
        <w:bottom w:val="none" w:sz="0" w:space="0" w:color="auto"/>
        <w:right w:val="none" w:sz="0" w:space="0" w:color="auto"/>
      </w:divBdr>
      <w:divsChild>
        <w:div w:id="61097715">
          <w:marLeft w:val="0"/>
          <w:marRight w:val="0"/>
          <w:marTop w:val="0"/>
          <w:marBottom w:val="0"/>
          <w:divBdr>
            <w:top w:val="none" w:sz="0" w:space="0" w:color="auto"/>
            <w:left w:val="none" w:sz="0" w:space="0" w:color="auto"/>
            <w:bottom w:val="none" w:sz="0" w:space="0" w:color="auto"/>
            <w:right w:val="none" w:sz="0" w:space="0" w:color="auto"/>
          </w:divBdr>
          <w:divsChild>
            <w:div w:id="701630431">
              <w:marLeft w:val="0"/>
              <w:marRight w:val="0"/>
              <w:marTop w:val="0"/>
              <w:marBottom w:val="0"/>
              <w:divBdr>
                <w:top w:val="none" w:sz="0" w:space="0" w:color="auto"/>
                <w:left w:val="none" w:sz="0" w:space="0" w:color="auto"/>
                <w:bottom w:val="none" w:sz="0" w:space="0" w:color="auto"/>
                <w:right w:val="none" w:sz="0" w:space="0" w:color="auto"/>
              </w:divBdr>
              <w:divsChild>
                <w:div w:id="9162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5B7C2-28BB-4895-98C0-7D7655BA5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5537</Words>
  <Characters>31565</Characters>
  <Application>Microsoft Office Word</Application>
  <DocSecurity>0</DocSecurity>
  <Lines>263</Lines>
  <Paragraphs>74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2024-02-25T16:10:00Z</dcterms:created>
  <dcterms:modified xsi:type="dcterms:W3CDTF">2024-02-25T16:10:00Z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3c0b3109666c24dc1c617ac8991f45ce3c6f843ce2509054bdd6e1fd42ab1aa8</vt:lpwstr>
  </property>
  <property fmtid="{D5CDD505-2E9C-101B-9397-08002B2CF9AE}" pid="3" name="ZOTERO_PREF_1">
    <vt:lpwstr>&lt;data data-version="3" zotero-version="6.0.30"&gt;&lt;session id="cS3VQJIE"/&gt;&lt;style id="http://www.zotero.org/styles/apa" locale="en-US" hasBibliography="1" bibliographyStyleHasBeenSet="1"/&gt;&lt;prefs&gt;&lt;pref name="fieldType" value="Field"/&gt;&lt;/prefs&gt;&lt;/data&gt;</vt:lpwstr>
  </property>
</Properties>
</file>