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D9C0A" w14:textId="77777777" w:rsidR="00AE399D" w:rsidRPr="00272017" w:rsidRDefault="00AE399D" w:rsidP="00AE399D">
      <w:pPr>
        <w:pStyle w:val="BodyText"/>
      </w:pPr>
      <w:r w:rsidRPr="00EB15A9">
        <w:rPr>
          <w:noProof/>
        </w:rPr>
        <w:drawing>
          <wp:inline distT="0" distB="0" distL="0" distR="0" wp14:anchorId="7D3BF36C" wp14:editId="7FF661C1">
            <wp:extent cx="5759450" cy="271526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7CA5B" w14:textId="77777777" w:rsidR="00AE399D" w:rsidRDefault="00AE399D" w:rsidP="00AE399D">
      <w:pPr>
        <w:spacing w:after="0" w:line="240" w:lineRule="auto"/>
        <w:jc w:val="left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Table 1. Basic features of the design and main effects of feedback on Risky-rates and EV-maximization as derived by the literature.</w:t>
      </w:r>
    </w:p>
    <w:p w14:paraId="3FEACAAB" w14:textId="77777777" w:rsidR="00AE399D" w:rsidRPr="00757CEA" w:rsidRDefault="00AE399D" w:rsidP="00AE399D">
      <w:pPr>
        <w:spacing w:after="0" w:line="240" w:lineRule="auto"/>
        <w:rPr>
          <w:rFonts w:cs="Times New Roman"/>
          <w:sz w:val="20"/>
          <w:szCs w:val="20"/>
        </w:rPr>
      </w:pPr>
      <w:r w:rsidRPr="00757CEA">
        <w:rPr>
          <w:rFonts w:cs="Times New Roman"/>
          <w:sz w:val="20"/>
          <w:szCs w:val="20"/>
          <w:vertAlign w:val="superscript"/>
        </w:rPr>
        <w:t>1</w:t>
      </w:r>
      <w:r w:rsidRPr="00757CEA">
        <w:rPr>
          <w:rFonts w:cs="Times New Roman"/>
          <w:sz w:val="20"/>
          <w:szCs w:val="20"/>
        </w:rPr>
        <w:t xml:space="preserve"> “Other” corresponds to the case that the risky option can give the </w:t>
      </w:r>
      <w:r>
        <w:rPr>
          <w:rFonts w:cs="Times New Roman"/>
          <w:sz w:val="20"/>
          <w:szCs w:val="20"/>
        </w:rPr>
        <w:t>best</w:t>
      </w:r>
      <w:r w:rsidRPr="00757CEA">
        <w:rPr>
          <w:rFonts w:cs="Times New Roman"/>
          <w:sz w:val="20"/>
          <w:szCs w:val="20"/>
        </w:rPr>
        <w:t xml:space="preserve"> outcome with a medium-range probability as well.</w:t>
      </w:r>
    </w:p>
    <w:p w14:paraId="2D6DE926" w14:textId="77777777" w:rsidR="00AE399D" w:rsidRPr="00757CEA" w:rsidRDefault="00AE399D" w:rsidP="00AE399D">
      <w:pPr>
        <w:spacing w:after="0" w:line="240" w:lineRule="auto"/>
        <w:rPr>
          <w:rFonts w:cs="Times New Roman"/>
          <w:sz w:val="20"/>
          <w:szCs w:val="20"/>
        </w:rPr>
      </w:pPr>
      <w:r w:rsidRPr="00757CEA">
        <w:rPr>
          <w:rFonts w:cs="Times New Roman"/>
          <w:sz w:val="20"/>
          <w:szCs w:val="20"/>
          <w:vertAlign w:val="superscript"/>
        </w:rPr>
        <w:t>2</w:t>
      </w:r>
      <w:r>
        <w:rPr>
          <w:rFonts w:cs="Times New Roman"/>
          <w:sz w:val="20"/>
          <w:szCs w:val="20"/>
          <w:vertAlign w:val="superscript"/>
        </w:rPr>
        <w:t xml:space="preserve"> </w:t>
      </w:r>
      <w:r w:rsidRPr="00757CEA">
        <w:rPr>
          <w:rFonts w:cs="Times New Roman"/>
          <w:sz w:val="20"/>
          <w:szCs w:val="20"/>
        </w:rPr>
        <w:t>In parentheses we put the number of trials played/simulated by the computer (if any, otherwise omitted).</w:t>
      </w:r>
    </w:p>
    <w:p w14:paraId="6C962746" w14:textId="77777777" w:rsidR="00AE399D" w:rsidRPr="00757CEA" w:rsidRDefault="00AE399D" w:rsidP="00AE399D">
      <w:pPr>
        <w:spacing w:after="0" w:line="240" w:lineRule="auto"/>
        <w:rPr>
          <w:rFonts w:cs="Times New Roman"/>
          <w:sz w:val="20"/>
          <w:szCs w:val="20"/>
        </w:rPr>
      </w:pPr>
      <w:r w:rsidRPr="00757CEA">
        <w:rPr>
          <w:rFonts w:cs="Times New Roman"/>
          <w:sz w:val="20"/>
          <w:szCs w:val="20"/>
          <w:vertAlign w:val="superscript"/>
        </w:rPr>
        <w:t>3</w:t>
      </w:r>
      <w:r w:rsidRPr="00757CEA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In this study, e</w:t>
      </w:r>
      <w:r w:rsidRPr="00757CEA">
        <w:rPr>
          <w:rFonts w:cs="Times New Roman"/>
          <w:sz w:val="20"/>
          <w:szCs w:val="20"/>
        </w:rPr>
        <w:t>ach decision problem is tested either with or without feedback for one trial (not in both conditions). The order of the problems</w:t>
      </w:r>
      <w:r>
        <w:rPr>
          <w:rFonts w:cs="Times New Roman"/>
          <w:sz w:val="20"/>
          <w:szCs w:val="20"/>
        </w:rPr>
        <w:t xml:space="preserve"> (hence, the condition they belong)</w:t>
      </w:r>
      <w:r w:rsidRPr="00757CEA">
        <w:rPr>
          <w:rFonts w:cs="Times New Roman"/>
          <w:sz w:val="20"/>
          <w:szCs w:val="20"/>
        </w:rPr>
        <w:t xml:space="preserve"> is randomized across participants, so in the aggregate data, most problems have been tested both with and without feedback.</w:t>
      </w:r>
    </w:p>
    <w:p w14:paraId="576DABC7" w14:textId="77777777" w:rsidR="00AE399D" w:rsidRPr="00757CEA" w:rsidRDefault="00AE399D" w:rsidP="00AE399D">
      <w:pPr>
        <w:spacing w:after="0" w:line="240" w:lineRule="auto"/>
        <w:rPr>
          <w:rFonts w:cs="Times New Roman"/>
          <w:sz w:val="20"/>
          <w:szCs w:val="20"/>
        </w:rPr>
      </w:pPr>
      <w:r w:rsidRPr="00757CEA">
        <w:rPr>
          <w:rFonts w:cs="Times New Roman"/>
          <w:sz w:val="20"/>
          <w:szCs w:val="20"/>
          <w:vertAlign w:val="superscript"/>
        </w:rPr>
        <w:t>4</w:t>
      </w:r>
      <w:r w:rsidRPr="00757CEA">
        <w:rPr>
          <w:rFonts w:cs="Times New Roman"/>
          <w:sz w:val="20"/>
          <w:szCs w:val="20"/>
        </w:rPr>
        <w:t xml:space="preserve"> They do four runs of a batch of 96 trials in which each condition is repeated only once: essentially one-shot.</w:t>
      </w:r>
    </w:p>
    <w:p w14:paraId="2563DB2B" w14:textId="77777777" w:rsidR="00AE399D" w:rsidRPr="008F47CC" w:rsidRDefault="00AE399D" w:rsidP="00AE399D">
      <w:pPr>
        <w:spacing w:after="0" w:line="240" w:lineRule="auto"/>
        <w:jc w:val="left"/>
        <w:rPr>
          <w:sz w:val="20"/>
          <w:szCs w:val="18"/>
        </w:rPr>
      </w:pPr>
    </w:p>
    <w:p w14:paraId="02DBCD5A" w14:textId="77777777" w:rsidR="00AE399D" w:rsidRDefault="00AE399D" w:rsidP="00AE399D">
      <w:pPr>
        <w:pStyle w:val="BodyText"/>
      </w:pPr>
    </w:p>
    <w:p w14:paraId="4561A92C" w14:textId="77777777" w:rsidR="00AE399D" w:rsidRDefault="00AE399D" w:rsidP="00AE399D">
      <w:pPr>
        <w:pStyle w:val="BodyText"/>
        <w:jc w:val="center"/>
      </w:pPr>
      <w:r w:rsidRPr="00C815E6">
        <w:rPr>
          <w:noProof/>
        </w:rPr>
        <w:drawing>
          <wp:inline distT="0" distB="0" distL="0" distR="0" wp14:anchorId="2A111C21" wp14:editId="6D70F0EE">
            <wp:extent cx="4232031" cy="99577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33188" cy="99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3CEA8" w14:textId="77777777" w:rsidR="00AE399D" w:rsidRDefault="00AE399D" w:rsidP="00AE399D">
      <w:pPr>
        <w:spacing w:after="0" w:line="240" w:lineRule="auto"/>
        <w:jc w:val="left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Table 2. Main effects of feedback on Risky-rates and EV-maximization as derived by the literature.</w:t>
      </w:r>
    </w:p>
    <w:p w14:paraId="7A7679E6" w14:textId="77777777" w:rsidR="001C76BA" w:rsidRDefault="001C76BA"/>
    <w:p w14:paraId="5B641AD6" w14:textId="77777777" w:rsidR="00AE399D" w:rsidRDefault="00AE399D" w:rsidP="00AE399D">
      <w:pPr>
        <w:spacing w:after="0" w:line="240" w:lineRule="auto"/>
        <w:jc w:val="left"/>
        <w:rPr>
          <w:b/>
          <w:bCs/>
          <w:sz w:val="20"/>
          <w:szCs w:val="18"/>
        </w:rPr>
      </w:pPr>
      <w:r w:rsidRPr="004A53F4">
        <w:rPr>
          <w:b/>
          <w:bCs/>
          <w:noProof/>
          <w:sz w:val="20"/>
          <w:szCs w:val="18"/>
        </w:rPr>
        <w:lastRenderedPageBreak/>
        <w:drawing>
          <wp:inline distT="0" distB="0" distL="0" distR="0" wp14:anchorId="38B5BA09" wp14:editId="2EAECB41">
            <wp:extent cx="5760720" cy="3359785"/>
            <wp:effectExtent l="0" t="0" r="5080" b="5715"/>
            <wp:docPr id="84034340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343409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67C27" w14:textId="77777777" w:rsidR="00AE399D" w:rsidRPr="002610F5" w:rsidRDefault="00AE399D" w:rsidP="00AE399D">
      <w:pPr>
        <w:spacing w:after="0" w:line="240" w:lineRule="auto"/>
        <w:jc w:val="left"/>
        <w:rPr>
          <w:bCs/>
          <w:sz w:val="20"/>
          <w:szCs w:val="18"/>
        </w:rPr>
      </w:pPr>
      <w:r>
        <w:rPr>
          <w:b/>
          <w:bCs/>
          <w:sz w:val="20"/>
          <w:szCs w:val="18"/>
        </w:rPr>
        <w:t>Table 3: main results of the regression analyses.</w:t>
      </w:r>
      <w:r>
        <w:rPr>
          <w:bCs/>
          <w:sz w:val="20"/>
          <w:szCs w:val="18"/>
        </w:rPr>
        <w:t xml:space="preserve"> The formulas show the factors involved in the corresponding regression analyses, but do not show the exact model we used. For more details, see the </w:t>
      </w:r>
      <w:r w:rsidRPr="00E32A2A">
        <w:rPr>
          <w:b/>
          <w:bCs/>
          <w:sz w:val="20"/>
          <w:szCs w:val="18"/>
        </w:rPr>
        <w:t>Statistical analysis</w:t>
      </w:r>
      <w:r>
        <w:rPr>
          <w:b/>
          <w:bCs/>
          <w:sz w:val="20"/>
          <w:szCs w:val="18"/>
        </w:rPr>
        <w:t xml:space="preserve"> </w:t>
      </w:r>
      <w:r>
        <w:rPr>
          <w:bCs/>
          <w:sz w:val="20"/>
          <w:szCs w:val="18"/>
        </w:rPr>
        <w:t xml:space="preserve">section of the </w:t>
      </w:r>
      <w:r>
        <w:rPr>
          <w:b/>
          <w:bCs/>
          <w:sz w:val="20"/>
          <w:szCs w:val="18"/>
        </w:rPr>
        <w:t>Methods</w:t>
      </w:r>
      <w:r>
        <w:rPr>
          <w:bCs/>
          <w:sz w:val="20"/>
          <w:szCs w:val="18"/>
        </w:rPr>
        <w:t>.</w:t>
      </w:r>
      <w:r w:rsidRPr="00E32A2A">
        <w:rPr>
          <w:bCs/>
          <w:sz w:val="20"/>
          <w:szCs w:val="18"/>
        </w:rPr>
        <w:t xml:space="preserve"> </w:t>
      </w:r>
      <w:r>
        <w:rPr>
          <w:bCs/>
          <w:sz w:val="20"/>
          <w:szCs w:val="18"/>
        </w:rPr>
        <w:t xml:space="preserve"> the </w:t>
      </w:r>
      <w:r>
        <w:rPr>
          <w:bCs/>
          <w:sz w:val="20"/>
          <w:szCs w:val="18"/>
          <w:lang w:val="el-GR"/>
        </w:rPr>
        <w:t>β</w:t>
      </w:r>
      <w:r>
        <w:rPr>
          <w:bCs/>
          <w:sz w:val="20"/>
          <w:szCs w:val="18"/>
        </w:rPr>
        <w:t xml:space="preserve"> is the estimate and P the corresponding p-value. Bold letters in the formulas reveal the abbreviation of each factor in the results -for example F=feedback. </w:t>
      </w:r>
    </w:p>
    <w:p w14:paraId="2C845C9C" w14:textId="77777777" w:rsidR="00AE399D" w:rsidRDefault="00AE399D"/>
    <w:p w14:paraId="18F4292B" w14:textId="77777777" w:rsidR="00AE399D" w:rsidRDefault="00AE399D" w:rsidP="00AE399D">
      <w:pPr>
        <w:pStyle w:val="BodyText"/>
      </w:pPr>
      <w:r w:rsidRPr="004A53F4">
        <w:rPr>
          <w:noProof/>
        </w:rPr>
        <w:drawing>
          <wp:inline distT="0" distB="0" distL="0" distR="0" wp14:anchorId="3A15FBD6" wp14:editId="786B109D">
            <wp:extent cx="5760720" cy="2099945"/>
            <wp:effectExtent l="0" t="0" r="5080" b="0"/>
            <wp:docPr id="12078224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82247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C0E1A" w14:textId="77777777" w:rsidR="00AE399D" w:rsidRPr="006C69F0" w:rsidRDefault="00AE399D" w:rsidP="00AE399D">
      <w:pPr>
        <w:rPr>
          <w:bCs/>
          <w:sz w:val="20"/>
          <w:szCs w:val="18"/>
        </w:rPr>
      </w:pPr>
      <w:r>
        <w:rPr>
          <w:b/>
          <w:bCs/>
          <w:sz w:val="20"/>
          <w:szCs w:val="18"/>
        </w:rPr>
        <w:t>Table 4</w:t>
      </w:r>
      <w:r w:rsidRPr="0003106D">
        <w:rPr>
          <w:b/>
          <w:bCs/>
          <w:sz w:val="20"/>
          <w:szCs w:val="18"/>
        </w:rPr>
        <w:t xml:space="preserve">: </w:t>
      </w:r>
      <w:r>
        <w:rPr>
          <w:b/>
          <w:bCs/>
          <w:sz w:val="20"/>
          <w:szCs w:val="18"/>
        </w:rPr>
        <w:t>mean percentages of Optimal and Risky choices in various conditions.</w:t>
      </w:r>
      <w:r>
        <w:rPr>
          <w:bCs/>
          <w:sz w:val="20"/>
          <w:szCs w:val="18"/>
        </w:rPr>
        <w:t xml:space="preserve"> O=optimal, R=risky, nF= no feedback, F = feedback, t=trial, sB=sure-better, rB=risky-better. A|B means that A is computed in the condition B. P-values are Wilcoxon Signed-Rank tests.</w:t>
      </w:r>
    </w:p>
    <w:p w14:paraId="7304E6E4" w14:textId="77777777" w:rsidR="00AE399D" w:rsidRDefault="00AE399D"/>
    <w:sectPr w:rsidR="00AE39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99D"/>
    <w:rsid w:val="001C76BA"/>
    <w:rsid w:val="00AE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163F8"/>
  <w15:chartTrackingRefBased/>
  <w15:docId w15:val="{6EABE1AE-8D91-4CB5-9A72-58FBAEA20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99D"/>
    <w:pPr>
      <w:spacing w:line="360" w:lineRule="auto"/>
      <w:jc w:val="both"/>
    </w:pPr>
    <w:rPr>
      <w:rFonts w:ascii="Times New Roman" w:hAnsi="Times New Roma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AE39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E399D"/>
    <w:rPr>
      <w:rFonts w:ascii="Times New Roman" w:hAnsi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233</Words>
  <Characters>1329</Characters>
  <Application>Microsoft Office Word</Application>
  <DocSecurity>0</DocSecurity>
  <Lines>11</Lines>
  <Paragraphs>3</Paragraphs>
  <ScaleCrop>false</ScaleCrop>
  <Company>SpringerNature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2024-03-13T14:43:00Z</dcterms:created>
  <dcterms:modified xsi:type="dcterms:W3CDTF">2024-03-13T14:45:00Z</dcterms:modified>
</cp:coreProperties>
</file>