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82C4" w14:textId="7D92CD14" w:rsidR="00ED7F00" w:rsidRPr="002D3B8D" w:rsidRDefault="00ED7F00" w:rsidP="00ED7F00">
      <w:pPr>
        <w:widowControl/>
        <w:spacing w:afterLines="50" w:after="156"/>
        <w:ind w:leftChars="-500" w:left="-1050" w:rightChars="-500" w:right="-1050"/>
        <w:jc w:val="center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Times New Roman" w:hAnsi="Times New Roman"/>
          <w:b/>
          <w:bCs/>
          <w:szCs w:val="21"/>
        </w:rPr>
        <w:t>S</w:t>
      </w:r>
      <w:r>
        <w:rPr>
          <w:rFonts w:ascii="Times New Roman" w:hAnsi="Times New Roman"/>
          <w:b/>
          <w:bCs/>
          <w:szCs w:val="21"/>
        </w:rPr>
        <w:t xml:space="preserve">upplementary </w:t>
      </w:r>
      <w:r w:rsidRPr="002D3B8D">
        <w:rPr>
          <w:rFonts w:ascii="Times New Roman" w:hAnsi="Times New Roman"/>
          <w:b/>
          <w:bCs/>
          <w:szCs w:val="21"/>
        </w:rPr>
        <w:t xml:space="preserve">Table </w:t>
      </w:r>
      <w:r w:rsidR="006273EC">
        <w:rPr>
          <w:rFonts w:ascii="Times New Roman" w:hAnsi="Times New Roman"/>
          <w:b/>
          <w:bCs/>
          <w:szCs w:val="21"/>
        </w:rPr>
        <w:t>S</w:t>
      </w:r>
      <w:r>
        <w:rPr>
          <w:rFonts w:ascii="Times New Roman" w:hAnsi="Times New Roman"/>
          <w:b/>
          <w:bCs/>
          <w:szCs w:val="21"/>
        </w:rPr>
        <w:t>1</w:t>
      </w:r>
      <w:r w:rsidRPr="002D3B8D">
        <w:rPr>
          <w:rFonts w:ascii="Times New Roman" w:hAnsi="Times New Roman"/>
          <w:b/>
          <w:bCs/>
          <w:szCs w:val="21"/>
        </w:rPr>
        <w:t xml:space="preserve"> </w:t>
      </w:r>
      <w:r w:rsidRPr="002D3B8D">
        <w:rPr>
          <w:rFonts w:ascii="Times New Roman" w:hAnsi="Times New Roman"/>
          <w:b/>
          <w:bCs/>
          <w:kern w:val="0"/>
          <w:szCs w:val="21"/>
        </w:rPr>
        <w:t>Regression coefficients and score points of the risk factors for MACE in LVNC</w:t>
      </w:r>
    </w:p>
    <w:tbl>
      <w:tblPr>
        <w:tblW w:w="1017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13"/>
        <w:gridCol w:w="1474"/>
        <w:gridCol w:w="2041"/>
        <w:gridCol w:w="2268"/>
        <w:gridCol w:w="1474"/>
      </w:tblGrid>
      <w:tr w:rsidR="00ED7F00" w:rsidRPr="002D3B8D" w14:paraId="53CFF5AB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A7777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Risk Factors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5D70A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Categories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7670F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Reference Value (W</w:t>
            </w: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  <w:vertAlign w:val="subscript"/>
              </w:rPr>
              <w:t>ij</w:t>
            </w: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98EC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Regression Coefficient (β</w:t>
            </w: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  <w:vertAlign w:val="subscript"/>
              </w:rPr>
              <w:t>i</w:t>
            </w: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74A72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Points</w:t>
            </w:r>
          </w:p>
        </w:tc>
      </w:tr>
      <w:tr w:rsidR="00ED7F00" w:rsidRPr="002D3B8D" w14:paraId="29B35591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7D81" w14:textId="77777777" w:rsidR="00ED7F00" w:rsidRPr="002D3B8D" w:rsidRDefault="00ED7F00" w:rsidP="0073663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 xml:space="preserve">Age at Diagnosis 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>(years)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BCA4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≤10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C64F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5.5=W</w:t>
            </w:r>
            <w:r w:rsidRPr="002D3B8D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1REF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794D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0.015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5E4614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ED7F00" w:rsidRPr="002D3B8D" w14:paraId="27C6C7B2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6F85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24F9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11-20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2E44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96F5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FF0DF1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</w:tr>
      <w:tr w:rsidR="00ED7F00" w:rsidRPr="002D3B8D" w14:paraId="57BAB1CA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B5C8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8363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21-30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3C9C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25.5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3019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09F9A2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</w:tr>
      <w:tr w:rsidR="00ED7F00" w:rsidRPr="002D3B8D" w14:paraId="7305F073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687A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DED9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31-40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EC1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35.5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3694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2087C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</w:tr>
      <w:tr w:rsidR="00ED7F00" w:rsidRPr="002D3B8D" w14:paraId="1C7D77F8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6217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DF01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41-50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EA40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45.5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7EA1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21B731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</w:tr>
      <w:tr w:rsidR="00ED7F00" w:rsidRPr="002D3B8D" w14:paraId="7396860C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1C2B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6481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51-60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7C43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55.5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D030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237D9C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</w:tr>
      <w:tr w:rsidR="00ED7F00" w:rsidRPr="002D3B8D" w14:paraId="67E050E7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731B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B4E3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61-70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5FD3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65.5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0921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E50AE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</w:tr>
      <w:tr w:rsidR="00ED7F00" w:rsidRPr="002D3B8D" w14:paraId="3B159E06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99F7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6FB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71-80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E1A0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75.5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93A9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9AA0C0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</w:tr>
      <w:tr w:rsidR="00ED7F00" w:rsidRPr="002D3B8D" w14:paraId="15C028CC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0F77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266B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&gt;80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96B6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85.5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94AA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DE21B6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</w:tr>
      <w:tr w:rsidR="00ED7F00" w:rsidRPr="002D3B8D" w14:paraId="21348494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E03F" w14:textId="77777777" w:rsidR="00ED7F00" w:rsidRPr="002D3B8D" w:rsidRDefault="00ED7F00" w:rsidP="0073663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NT-pro BNP &lt;300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pg/mL</w:t>
            </w:r>
            <w:r w:rsidRPr="002D3B8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,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2D3B8D">
              <w:rPr>
                <w:rFonts w:ascii="Times New Roman" w:eastAsiaTheme="minorEastAsia" w:hAnsi="Times New Roman"/>
                <w:i/>
                <w:sz w:val="18"/>
                <w:szCs w:val="18"/>
              </w:rPr>
              <w:t>n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(%)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84F7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B46C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0=W</w:t>
            </w:r>
            <w:r w:rsidRPr="002D3B8D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2REF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7205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1DFB0A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ED7F00" w:rsidRPr="002D3B8D" w14:paraId="5D0F7520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E25A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868F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2380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893E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F8DBA7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ED7F00" w:rsidRPr="002D3B8D" w14:paraId="628CD786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3633" w14:textId="77777777" w:rsidR="00ED7F00" w:rsidRPr="002D3B8D" w:rsidRDefault="00ED7F00" w:rsidP="0073663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NT-pro BNP 300-1000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pg/mL</w:t>
            </w:r>
            <w:r w:rsidRPr="002D3B8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,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2D3B8D">
              <w:rPr>
                <w:rFonts w:ascii="Times New Roman" w:eastAsiaTheme="minorEastAsia" w:hAnsi="Times New Roman"/>
                <w:i/>
                <w:sz w:val="18"/>
                <w:szCs w:val="18"/>
              </w:rPr>
              <w:t>n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(%)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19BE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7859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0=W</w:t>
            </w:r>
            <w:r w:rsidRPr="002D3B8D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2REF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BE82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0.762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DB4256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ED7F00" w:rsidRPr="002D3B8D" w14:paraId="2853FC2E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1A4D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E806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DECF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809E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5209F0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</w:tr>
      <w:tr w:rsidR="00ED7F00" w:rsidRPr="002D3B8D" w14:paraId="149AE9A5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28D5" w14:textId="77777777" w:rsidR="00ED7F00" w:rsidRPr="002D3B8D" w:rsidRDefault="00ED7F00" w:rsidP="0073663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NT-pro BNP &gt;1000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pg/mL</w:t>
            </w:r>
            <w:r w:rsidRPr="002D3B8D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,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Pr="002D3B8D">
              <w:rPr>
                <w:rFonts w:ascii="Times New Roman" w:eastAsiaTheme="minorEastAsia" w:hAnsi="Times New Roman"/>
                <w:i/>
                <w:sz w:val="18"/>
                <w:szCs w:val="18"/>
              </w:rPr>
              <w:t>n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 (%)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4F1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0BC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0=W</w:t>
            </w:r>
            <w:r w:rsidRPr="002D3B8D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2REF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DD1C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1.539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5352C4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ED7F00" w:rsidRPr="002D3B8D" w14:paraId="7DABD008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1A83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D693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AE13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0596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2940E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</w:tr>
      <w:tr w:rsidR="00ED7F00" w:rsidRPr="002D3B8D" w14:paraId="5A347AF9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B53F" w14:textId="77777777" w:rsidR="00ED7F00" w:rsidRPr="002D3B8D" w:rsidRDefault="00ED7F00" w:rsidP="0073663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LA Enlargement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, </w:t>
            </w:r>
            <w:r w:rsidRPr="002D3B8D">
              <w:rPr>
                <w:rFonts w:ascii="Times New Roman" w:eastAsiaTheme="minorEastAsia" w:hAnsi="Times New Roman"/>
                <w:i/>
                <w:sz w:val="18"/>
                <w:szCs w:val="18"/>
              </w:rPr>
              <w:t xml:space="preserve">n 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>(%)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12EB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A3D4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0=W</w:t>
            </w:r>
            <w:r w:rsidRPr="002D3B8D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3REF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C96B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0.648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28D9B3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ED7F00" w:rsidRPr="002D3B8D" w14:paraId="495908DD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7F38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5C3E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6248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40FD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7B2C24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</w:tr>
      <w:tr w:rsidR="00ED7F00" w:rsidRPr="002D3B8D" w14:paraId="0EA6A24C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F16E" w14:textId="77777777" w:rsidR="00ED7F00" w:rsidRPr="002D3B8D" w:rsidRDefault="00ED7F00" w:rsidP="00736634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LVEF≤40%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 xml:space="preserve">, </w:t>
            </w:r>
            <w:r w:rsidRPr="002D3B8D">
              <w:rPr>
                <w:rFonts w:ascii="Times New Roman" w:eastAsiaTheme="minorEastAsia" w:hAnsi="Times New Roman"/>
                <w:i/>
                <w:sz w:val="18"/>
                <w:szCs w:val="18"/>
              </w:rPr>
              <w:t xml:space="preserve">n </w:t>
            </w:r>
            <w:r w:rsidRPr="002D3B8D">
              <w:rPr>
                <w:rFonts w:ascii="Times New Roman" w:eastAsiaTheme="minorEastAsia" w:hAnsi="Times New Roman"/>
                <w:sz w:val="18"/>
                <w:szCs w:val="18"/>
              </w:rPr>
              <w:t>(%)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FF6D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B2D0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0=W</w:t>
            </w:r>
            <w:r w:rsidRPr="002D3B8D">
              <w:rPr>
                <w:rFonts w:ascii="Times New Roman" w:hAnsi="Times New Roman"/>
                <w:kern w:val="0"/>
                <w:sz w:val="18"/>
                <w:szCs w:val="18"/>
                <w:vertAlign w:val="subscript"/>
              </w:rPr>
              <w:t>4REF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DAEF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0.539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65E8F5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:rsidR="00ED7F00" w:rsidRPr="002D3B8D" w14:paraId="6F8624C3" w14:textId="77777777" w:rsidTr="00736634">
        <w:trPr>
          <w:trHeight w:val="283"/>
          <w:jc w:val="center"/>
        </w:trPr>
        <w:tc>
          <w:tcPr>
            <w:tcW w:w="2913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D064B" w14:textId="77777777" w:rsidR="00ED7F00" w:rsidRPr="002D3B8D" w:rsidRDefault="00ED7F00" w:rsidP="007366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72610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C2434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5CA6A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1129" w14:textId="77777777" w:rsidR="00ED7F00" w:rsidRPr="002D3B8D" w:rsidRDefault="00ED7F00" w:rsidP="00736634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</w:tr>
    </w:tbl>
    <w:p w14:paraId="4160B313" w14:textId="77777777" w:rsidR="00ED7F00" w:rsidRDefault="00ED7F00" w:rsidP="003066D8">
      <w:pPr>
        <w:widowControl/>
        <w:adjustRightInd w:val="0"/>
        <w:snapToGrid w:val="0"/>
        <w:ind w:leftChars="-450" w:left="-945" w:rightChars="-450" w:right="-945"/>
        <w:rPr>
          <w:rFonts w:ascii="Times New Roman" w:hAnsi="Times New Roman"/>
          <w:bCs/>
          <w:sz w:val="18"/>
          <w:szCs w:val="18"/>
        </w:rPr>
      </w:pPr>
      <w:r w:rsidRPr="002D3B8D">
        <w:rPr>
          <w:rFonts w:ascii="Times New Roman" w:eastAsiaTheme="minorEastAsia" w:hAnsi="Times New Roman"/>
          <w:bCs/>
          <w:sz w:val="18"/>
          <w:szCs w:val="18"/>
        </w:rPr>
        <w:t>LVNC, left ventricular noncompaction; MACE, major adverse cardiovascular event; NT-pro BNP, N-terminal pro-brain natriuretic peptide; LA, left atrium; LVEF, left ventricular ejection fraction; and REF, reference. Points</w:t>
      </w:r>
      <w:r w:rsidRPr="002D3B8D">
        <w:rPr>
          <w:rFonts w:ascii="Times New Roman" w:eastAsiaTheme="minorEastAsia" w:hAnsi="Times New Roman"/>
          <w:bCs/>
          <w:sz w:val="18"/>
          <w:szCs w:val="18"/>
          <w:vertAlign w:val="subscript"/>
        </w:rPr>
        <w:t xml:space="preserve"> </w:t>
      </w:r>
      <w:r w:rsidRPr="002D3B8D">
        <w:rPr>
          <w:rFonts w:ascii="Times New Roman" w:hAnsi="Times New Roman"/>
          <w:bCs/>
          <w:kern w:val="0"/>
          <w:sz w:val="18"/>
          <w:szCs w:val="18"/>
        </w:rPr>
        <w:t>=β</w:t>
      </w:r>
      <w:r w:rsidRPr="002D3B8D">
        <w:rPr>
          <w:rFonts w:ascii="Times New Roman" w:hAnsi="Times New Roman"/>
          <w:bCs/>
          <w:kern w:val="0"/>
          <w:sz w:val="18"/>
          <w:szCs w:val="18"/>
          <w:vertAlign w:val="subscript"/>
        </w:rPr>
        <w:t>i</w:t>
      </w:r>
      <m:oMath>
        <m:r>
          <w:rPr>
            <w:rFonts w:ascii="Cambria Math" w:eastAsiaTheme="minorEastAsia" w:hAnsi="Cambria Math"/>
            <w:kern w:val="0"/>
            <w:sz w:val="18"/>
            <w:szCs w:val="18"/>
          </w:rPr>
          <m:t>×</m:t>
        </m:r>
      </m:oMath>
      <w:r w:rsidRPr="002D3B8D">
        <w:rPr>
          <w:rFonts w:ascii="Times New Roman" w:hAnsi="Times New Roman"/>
          <w:bCs/>
          <w:kern w:val="0"/>
          <w:sz w:val="18"/>
          <w:szCs w:val="18"/>
        </w:rPr>
        <w:t>(W</w:t>
      </w:r>
      <w:r w:rsidRPr="002D3B8D">
        <w:rPr>
          <w:rFonts w:ascii="Times New Roman" w:hAnsi="Times New Roman"/>
          <w:bCs/>
          <w:kern w:val="0"/>
          <w:sz w:val="18"/>
          <w:szCs w:val="18"/>
          <w:vertAlign w:val="subscript"/>
        </w:rPr>
        <w:t>ij</w:t>
      </w:r>
      <w:r w:rsidRPr="002D3B8D">
        <w:rPr>
          <w:rFonts w:ascii="Times New Roman" w:hAnsi="Times New Roman"/>
          <w:bCs/>
          <w:kern w:val="0"/>
          <w:sz w:val="18"/>
          <w:szCs w:val="18"/>
        </w:rPr>
        <w:t>-W</w:t>
      </w:r>
      <w:r w:rsidRPr="002D3B8D">
        <w:rPr>
          <w:rFonts w:ascii="Times New Roman" w:hAnsi="Times New Roman"/>
          <w:bCs/>
          <w:kern w:val="0"/>
          <w:sz w:val="18"/>
          <w:szCs w:val="18"/>
          <w:vertAlign w:val="subscript"/>
        </w:rPr>
        <w:t>iREF</w:t>
      </w:r>
      <w:r w:rsidRPr="002D3B8D">
        <w:rPr>
          <w:rFonts w:ascii="Times New Roman" w:hAnsi="Times New Roman"/>
          <w:bCs/>
          <w:kern w:val="0"/>
          <w:sz w:val="18"/>
          <w:szCs w:val="18"/>
        </w:rPr>
        <w:t>)/</w:t>
      </w:r>
      <w:r w:rsidRPr="002D3B8D">
        <w:rPr>
          <w:rFonts w:ascii="Times New Roman" w:hAnsi="Times New Roman"/>
          <w:bCs/>
          <w:sz w:val="18"/>
          <w:szCs w:val="18"/>
        </w:rPr>
        <w:t>10/0.015.</w:t>
      </w:r>
    </w:p>
    <w:p w14:paraId="7DB854F6" w14:textId="77777777" w:rsidR="003066D8" w:rsidRDefault="003066D8" w:rsidP="003066D8">
      <w:pPr>
        <w:widowControl/>
        <w:ind w:firstLineChars="200" w:firstLine="420"/>
        <w:rPr>
          <w:rFonts w:ascii="Times New Roman" w:hAnsi="Times New Roman"/>
          <w:szCs w:val="21"/>
        </w:rPr>
      </w:pPr>
    </w:p>
    <w:p w14:paraId="0AE6907F" w14:textId="4F40A2F4" w:rsidR="00ED7F00" w:rsidRPr="00A64E6C" w:rsidRDefault="00ED7F00" w:rsidP="003066D8">
      <w:pPr>
        <w:widowControl/>
        <w:ind w:leftChars="-300" w:left="-630" w:rightChars="-300" w:right="-630" w:firstLineChars="200" w:firstLine="420"/>
        <w:rPr>
          <w:rFonts w:ascii="Times New Roman" w:hAnsi="Times New Roman"/>
          <w:szCs w:val="21"/>
        </w:rPr>
      </w:pPr>
      <w:r w:rsidRPr="00A64E6C">
        <w:rPr>
          <w:rFonts w:ascii="Times New Roman" w:hAnsi="Times New Roman"/>
          <w:szCs w:val="21"/>
        </w:rPr>
        <w:t xml:space="preserve">A risk scoring system (the ABLE-SCORE) was established based on regression coefficients of the risk factors in the final multivariable Cox regression predictive model according to procedures by </w:t>
      </w:r>
      <w:r w:rsidRPr="00A64E6C">
        <w:rPr>
          <w:rFonts w:ascii="Times New Roman" w:eastAsiaTheme="minorEastAsia" w:hAnsi="Times New Roman"/>
          <w:kern w:val="0"/>
          <w:szCs w:val="21"/>
        </w:rPr>
        <w:t>Wilson</w:t>
      </w:r>
      <w:r w:rsidRPr="00A64E6C">
        <w:rPr>
          <w:rFonts w:ascii="Times New Roman" w:hAnsi="Times New Roman"/>
          <w:szCs w:val="21"/>
        </w:rPr>
        <w:t xml:space="preserve"> et al [28]. The risk of MACE for LVNC patients was calculated using the following equation: </w:t>
      </w:r>
    </w:p>
    <w:p w14:paraId="4A41FC1A" w14:textId="77777777" w:rsidR="00ED7F00" w:rsidRPr="00A64E6C" w:rsidRDefault="00ED7F00" w:rsidP="003066D8">
      <w:pPr>
        <w:widowControl/>
        <w:ind w:leftChars="-300" w:left="-630" w:rightChars="-300" w:right="-630"/>
        <w:jc w:val="center"/>
        <w:rPr>
          <w:rFonts w:ascii="Times New Roman" w:hAnsi="Times New Roman"/>
          <w:szCs w:val="21"/>
          <w:vertAlign w:val="superscript"/>
        </w:rPr>
      </w:pPr>
      <w:r w:rsidRPr="00A64E6C">
        <w:rPr>
          <w:rFonts w:ascii="Times New Roman" w:hAnsi="Times New Roman"/>
          <w:szCs w:val="21"/>
        </w:rPr>
        <w:t>P (MACE at time</w:t>
      </w:r>
      <w:r w:rsidRPr="00A64E6C">
        <w:rPr>
          <w:rFonts w:ascii="Times New Roman" w:hAnsi="Times New Roman"/>
          <w:i/>
          <w:szCs w:val="21"/>
        </w:rPr>
        <w:t xml:space="preserve"> t</w:t>
      </w:r>
      <w:r w:rsidRPr="00A64E6C">
        <w:rPr>
          <w:rFonts w:ascii="Times New Roman" w:hAnsi="Times New Roman"/>
          <w:szCs w:val="21"/>
        </w:rPr>
        <w:t>) = 1-S</w:t>
      </w:r>
      <w:r w:rsidRPr="00A64E6C">
        <w:rPr>
          <w:rFonts w:ascii="Times New Roman" w:hAnsi="Times New Roman"/>
          <w:szCs w:val="21"/>
          <w:vertAlign w:val="subscript"/>
        </w:rPr>
        <w:t xml:space="preserve">0 </w:t>
      </w:r>
      <w:r w:rsidRPr="00A64E6C">
        <w:rPr>
          <w:rFonts w:ascii="Times New Roman" w:hAnsi="Times New Roman"/>
          <w:szCs w:val="21"/>
        </w:rPr>
        <w:t>(</w:t>
      </w:r>
      <w:r w:rsidRPr="00A64E6C">
        <w:rPr>
          <w:rFonts w:ascii="Times New Roman" w:hAnsi="Times New Roman"/>
          <w:i/>
          <w:szCs w:val="21"/>
        </w:rPr>
        <w:t>t</w:t>
      </w:r>
      <w:r w:rsidRPr="00A64E6C">
        <w:rPr>
          <w:rFonts w:ascii="Times New Roman" w:hAnsi="Times New Roman"/>
          <w:szCs w:val="21"/>
        </w:rPr>
        <w:t xml:space="preserve">) </w:t>
      </w:r>
      <w:r w:rsidRPr="00A64E6C">
        <w:rPr>
          <w:rFonts w:ascii="Times New Roman" w:hAnsi="Times New Roman"/>
          <w:szCs w:val="21"/>
          <w:vertAlign w:val="superscript"/>
        </w:rPr>
        <w:t xml:space="preserve">exp (Σβixi </w:t>
      </w:r>
      <w:r w:rsidRPr="00A64E6C">
        <w:rPr>
          <w:rFonts w:ascii="Times New Roman" w:eastAsia="微软雅黑" w:hAnsi="Times New Roman"/>
          <w:szCs w:val="21"/>
          <w:vertAlign w:val="superscript"/>
        </w:rPr>
        <w:t>−</w:t>
      </w:r>
      <w:r w:rsidRPr="00A64E6C">
        <w:rPr>
          <w:rFonts w:ascii="Times New Roman" w:hAnsi="Times New Roman"/>
          <w:szCs w:val="21"/>
          <w:vertAlign w:val="superscript"/>
        </w:rPr>
        <w:t xml:space="preserve"> Σβixˉi)</w:t>
      </w:r>
    </w:p>
    <w:p w14:paraId="6071527A" w14:textId="77777777" w:rsidR="00ED7F00" w:rsidRPr="00A64E6C" w:rsidRDefault="00ED7F00" w:rsidP="003066D8">
      <w:pPr>
        <w:widowControl/>
        <w:ind w:leftChars="-300" w:left="-630" w:rightChars="-300" w:right="-630" w:firstLineChars="200" w:firstLine="420"/>
        <w:rPr>
          <w:rFonts w:ascii="Times New Roman" w:hAnsi="Times New Roman"/>
          <w:szCs w:val="21"/>
        </w:rPr>
      </w:pPr>
      <w:r w:rsidRPr="00A64E6C">
        <w:rPr>
          <w:rFonts w:ascii="Times New Roman" w:hAnsi="Times New Roman"/>
          <w:szCs w:val="21"/>
        </w:rPr>
        <w:t>S</w:t>
      </w:r>
      <w:r w:rsidRPr="00A64E6C">
        <w:rPr>
          <w:rFonts w:ascii="Times New Roman" w:hAnsi="Times New Roman"/>
          <w:szCs w:val="21"/>
          <w:vertAlign w:val="subscript"/>
        </w:rPr>
        <w:t xml:space="preserve">0 </w:t>
      </w:r>
      <w:r w:rsidRPr="00A64E6C">
        <w:rPr>
          <w:rFonts w:ascii="Times New Roman" w:hAnsi="Times New Roman"/>
          <w:szCs w:val="21"/>
        </w:rPr>
        <w:t>(</w:t>
      </w:r>
      <w:r w:rsidRPr="00A64E6C">
        <w:rPr>
          <w:rFonts w:ascii="Times New Roman" w:hAnsi="Times New Roman"/>
          <w:i/>
          <w:szCs w:val="21"/>
        </w:rPr>
        <w:t>t</w:t>
      </w:r>
      <w:r w:rsidRPr="00A64E6C">
        <w:rPr>
          <w:rFonts w:ascii="Times New Roman" w:hAnsi="Times New Roman"/>
          <w:szCs w:val="21"/>
        </w:rPr>
        <w:t xml:space="preserve">) is the baseline survival probability at time </w:t>
      </w:r>
      <w:r w:rsidRPr="00A64E6C">
        <w:rPr>
          <w:rFonts w:ascii="Times New Roman" w:hAnsi="Times New Roman"/>
          <w:i/>
          <w:szCs w:val="21"/>
        </w:rPr>
        <w:t>t</w:t>
      </w:r>
      <w:r w:rsidRPr="00A64E6C">
        <w:rPr>
          <w:rFonts w:ascii="Times New Roman" w:hAnsi="Times New Roman"/>
          <w:szCs w:val="21"/>
        </w:rPr>
        <w:t xml:space="preserve"> (i.e. at 5 years). Σβixi and Σβixˉi were calculated by summing up the products of the regression coefficients of each predictor (βi), the individual values (xi), and the mean values (xˉi), respectively.</w:t>
      </w:r>
    </w:p>
    <w:p w14:paraId="7675F4C6" w14:textId="77777777" w:rsidR="00ED7F00" w:rsidRPr="00A64E6C" w:rsidRDefault="00ED7F00" w:rsidP="003066D8">
      <w:pPr>
        <w:widowControl/>
        <w:ind w:leftChars="-300" w:left="-630" w:rightChars="-300" w:right="-630" w:firstLineChars="200" w:firstLine="420"/>
        <w:rPr>
          <w:rFonts w:ascii="Times New Roman" w:hAnsi="Times New Roman"/>
          <w:szCs w:val="21"/>
        </w:rPr>
      </w:pPr>
      <w:r w:rsidRPr="00A64E6C">
        <w:rPr>
          <w:rFonts w:ascii="Times New Roman" w:hAnsi="Times New Roman"/>
          <w:szCs w:val="21"/>
        </w:rPr>
        <w:t xml:space="preserve">For the </w:t>
      </w:r>
      <w:r w:rsidRPr="00A64E6C">
        <w:rPr>
          <w:rFonts w:ascii="Times New Roman" w:eastAsiaTheme="minorEastAsia" w:hAnsi="Times New Roman"/>
          <w:kern w:val="0"/>
          <w:szCs w:val="21"/>
        </w:rPr>
        <w:t xml:space="preserve">multivariable Cox regression predictive model, Σβixi = 0.015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eastAsiaTheme="minorEastAsia" w:hAnsi="Times New Roman"/>
          <w:kern w:val="0"/>
          <w:szCs w:val="21"/>
        </w:rPr>
        <w:t xml:space="preserve">age + 0 (if NT-pro BNP &lt;300 pg/mL) + 0.762 (if NT-pro BNP 300-1000 pg/mL) + 1.539 (if NT-pro BNP &gt;1000 pg/mL) + 0.648 (if has left atrium enlargement) + 0.539 (if LVEF≤40%). </w:t>
      </w:r>
      <w:r w:rsidRPr="00A64E6C">
        <w:rPr>
          <w:rFonts w:ascii="Times New Roman" w:hAnsi="Times New Roman"/>
          <w:szCs w:val="21"/>
        </w:rPr>
        <w:t xml:space="preserve">ΣβixˉI = βi </w:t>
      </w:r>
      <m:oMath>
        <m:r>
          <w:rPr>
            <w:rFonts w:ascii="Cambria Math" w:eastAsiaTheme="minorEastAsia" w:hAnsi="Cambria Math"/>
            <w:kern w:val="0"/>
            <w:szCs w:val="21"/>
          </w:rPr>
          <m:t>×</m:t>
        </m:r>
        <m:r>
          <m:rPr>
            <m:sty m:val="p"/>
          </m:rPr>
          <w:rPr>
            <w:rFonts w:ascii="Cambria Math" w:hAnsi="Cambria Math"/>
            <w:szCs w:val="21"/>
          </w:rPr>
          <m:t xml:space="preserve"> </m:t>
        </m:r>
      </m:oMath>
      <w:r w:rsidRPr="00A64E6C">
        <w:rPr>
          <w:rFonts w:ascii="Times New Roman" w:hAnsi="Times New Roman"/>
          <w:szCs w:val="21"/>
        </w:rPr>
        <w:t>Mean</w:t>
      </w:r>
      <w:r w:rsidRPr="00A64E6C">
        <w:rPr>
          <w:rFonts w:ascii="Times New Roman" w:hAnsi="Times New Roman"/>
          <w:szCs w:val="21"/>
          <w:vertAlign w:val="subscript"/>
        </w:rPr>
        <w:t xml:space="preserve">i </w:t>
      </w:r>
      <w:r w:rsidRPr="00A64E6C">
        <w:rPr>
          <w:rFonts w:ascii="Times New Roman" w:hAnsi="Times New Roman"/>
          <w:szCs w:val="21"/>
        </w:rPr>
        <w:t>or Proportion</w:t>
      </w:r>
      <w:r w:rsidRPr="00A64E6C">
        <w:rPr>
          <w:rFonts w:ascii="Times New Roman" w:hAnsi="Times New Roman"/>
          <w:szCs w:val="21"/>
          <w:vertAlign w:val="subscript"/>
        </w:rPr>
        <w:t>i</w:t>
      </w:r>
      <w:r w:rsidRPr="00A64E6C">
        <w:rPr>
          <w:rFonts w:ascii="Times New Roman" w:hAnsi="Times New Roman"/>
          <w:szCs w:val="21"/>
        </w:rPr>
        <w:t xml:space="preserve"> = 0.015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 xml:space="preserve">42.5 + 0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 xml:space="preserve">0.32 + 0.762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 xml:space="preserve">0.19 + 1.539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 xml:space="preserve">0.49 + 0.648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 xml:space="preserve">0.56 + 0.539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 xml:space="preserve">0.53 = 2.185. The baseline survival probability at 5 years is 0.735. Therefore, P (MACE at </w:t>
      </w:r>
      <w:r w:rsidRPr="00A64E6C">
        <w:rPr>
          <w:rFonts w:ascii="Times New Roman" w:hAnsi="Times New Roman"/>
          <w:i/>
          <w:szCs w:val="21"/>
        </w:rPr>
        <w:t>5 years</w:t>
      </w:r>
      <w:r w:rsidRPr="00A64E6C">
        <w:rPr>
          <w:rFonts w:ascii="Times New Roman" w:hAnsi="Times New Roman"/>
          <w:szCs w:val="21"/>
        </w:rPr>
        <w:t>) = 1-0.735</w:t>
      </w:r>
      <w:r w:rsidRPr="00A64E6C">
        <w:rPr>
          <w:rFonts w:ascii="Times New Roman" w:hAnsi="Times New Roman"/>
          <w:szCs w:val="21"/>
          <w:vertAlign w:val="superscript"/>
        </w:rPr>
        <w:t>exp (Σβixi – 2.185)</w:t>
      </w:r>
      <w:r w:rsidRPr="00A64E6C">
        <w:rPr>
          <w:rFonts w:ascii="Times New Roman" w:eastAsiaTheme="minorEastAsia" w:hAnsi="Times New Roman"/>
          <w:kern w:val="0"/>
          <w:szCs w:val="21"/>
        </w:rPr>
        <w:t xml:space="preserve">. For the </w:t>
      </w:r>
      <w:r w:rsidRPr="00A64E6C">
        <w:rPr>
          <w:rFonts w:ascii="Times New Roman" w:hAnsi="Times New Roman"/>
          <w:szCs w:val="21"/>
        </w:rPr>
        <w:t xml:space="preserve">risk scoring system (the ABLE-SCORE), Σβixi = 0.015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 xml:space="preserve">5.5 + 10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 xml:space="preserve">0.015 </w:t>
      </w:r>
      <m:oMath>
        <m:r>
          <w:rPr>
            <w:rFonts w:ascii="Cambria Math" w:eastAsiaTheme="minorEastAsia" w:hAnsi="Cambria Math"/>
            <w:kern w:val="0"/>
            <w:szCs w:val="21"/>
          </w:rPr>
          <m:t xml:space="preserve">× </m:t>
        </m:r>
      </m:oMath>
      <w:r w:rsidRPr="00A64E6C">
        <w:rPr>
          <w:rFonts w:ascii="Times New Roman" w:hAnsi="Times New Roman"/>
          <w:szCs w:val="21"/>
        </w:rPr>
        <w:t>Total Score. Therefore, P (MACE at</w:t>
      </w:r>
      <w:r w:rsidRPr="00A64E6C">
        <w:rPr>
          <w:rFonts w:ascii="Times New Roman" w:hAnsi="Times New Roman"/>
          <w:i/>
          <w:iCs/>
          <w:szCs w:val="21"/>
        </w:rPr>
        <w:t xml:space="preserve"> 5 years</w:t>
      </w:r>
      <w:r w:rsidRPr="00A64E6C">
        <w:rPr>
          <w:rFonts w:ascii="Times New Roman" w:hAnsi="Times New Roman"/>
          <w:szCs w:val="21"/>
        </w:rPr>
        <w:t>) = 1-0.735</w:t>
      </w:r>
      <w:r w:rsidRPr="00A64E6C">
        <w:rPr>
          <w:rFonts w:ascii="Times New Roman" w:hAnsi="Times New Roman"/>
          <w:szCs w:val="21"/>
          <w:vertAlign w:val="superscript"/>
        </w:rPr>
        <w:t>exp (0.15*Total Score-2.102)</w:t>
      </w:r>
      <w:r w:rsidRPr="00A64E6C">
        <w:rPr>
          <w:rFonts w:ascii="Times New Roman" w:hAnsi="Times New Roman"/>
          <w:szCs w:val="21"/>
        </w:rPr>
        <w:t>.</w:t>
      </w:r>
    </w:p>
    <w:p w14:paraId="1E9C92F9" w14:textId="09F4E165" w:rsidR="00C32B3B" w:rsidRPr="00C32B3B" w:rsidRDefault="00ED7F00" w:rsidP="003066D8">
      <w:pPr>
        <w:widowControl/>
        <w:ind w:leftChars="-300" w:left="-630" w:rightChars="-300" w:right="-630" w:firstLineChars="200" w:firstLine="420"/>
        <w:rPr>
          <w:rFonts w:hint="eastAsia"/>
        </w:rPr>
      </w:pPr>
      <w:r w:rsidRPr="00A64E6C">
        <w:rPr>
          <w:rFonts w:ascii="Times New Roman" w:hAnsi="Times New Roman"/>
          <w:szCs w:val="21"/>
        </w:rPr>
        <w:t>Example: consider a male LVNC patient, 56 years of age at diagnosis, with NT-pro BNP levels of 500 pg/mL, left atrium enlargement, and LVEF of 38%. Based on the multivariable Cox regression model, the calculated 5-year risk of MACE is 43.06%. According to the ABLE-SCORE, total score = 56 years of age at diagnosis (5 points) + NT-pro BNP levels of 500 pg/mL (5 points) + left atrium enlargement (4 points) + LVEF of 38% (4 points) = 18 points, which confers a 42.87% chance of developing MACE over 5 years. The risk of MACE estimated by the multivariable Cox regression model and the ABLE-SCORE is relatively similar</w:t>
      </w:r>
      <w:r w:rsidR="003066D8">
        <w:rPr>
          <w:rFonts w:ascii="Times New Roman" w:hAnsi="Times New Roman"/>
          <w:szCs w:val="21"/>
        </w:rPr>
        <w:t>.</w:t>
      </w:r>
    </w:p>
    <w:sectPr w:rsidR="00C32B3B" w:rsidRPr="00C32B3B" w:rsidSect="0085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B"/>
    <w:rsid w:val="003066D8"/>
    <w:rsid w:val="006273EC"/>
    <w:rsid w:val="008558C6"/>
    <w:rsid w:val="00C32B3B"/>
    <w:rsid w:val="00E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31C0"/>
  <w15:chartTrackingRefBased/>
  <w15:docId w15:val="{65F87907-783B-4329-B67C-5DE92DD7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3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D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4655-5121-4A00-AAC4-95411C36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刘立旻</dc:creator>
  <cp:keywords/>
  <dc:description/>
  <cp:lastModifiedBy>刘立旻</cp:lastModifiedBy>
  <cp:revision>3</cp:revision>
  <dcterms:created xsi:type="dcterms:W3CDTF">2024-02-13T21:55:00Z</dcterms:created>
  <dcterms:modified xsi:type="dcterms:W3CDTF">2024-03-07T03:56:00Z</dcterms:modified>
</cp:coreProperties>
</file>