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83414A" w:rsidRDefault="00000000">
      <w:pPr>
        <w:rPr>
          <w:b/>
          <w:i/>
        </w:rPr>
      </w:pPr>
      <w:r>
        <w:rPr>
          <w:b/>
          <w:i/>
        </w:rPr>
        <w:t>Extended methods</w:t>
      </w:r>
    </w:p>
    <w:p w14:paraId="00000002" w14:textId="77777777" w:rsidR="0083414A" w:rsidRDefault="00000000">
      <w:pPr>
        <w:rPr>
          <w:i/>
        </w:rPr>
      </w:pPr>
      <w:r>
        <w:rPr>
          <w:i/>
        </w:rPr>
        <w:t>Phenotyping and data curation</w:t>
      </w:r>
    </w:p>
    <w:p w14:paraId="00000003" w14:textId="77777777" w:rsidR="0083414A" w:rsidRDefault="00000000">
      <w:r>
        <w:t xml:space="preserve">Diagnostic codes with unrealistic </w:t>
      </w:r>
      <w:proofErr w:type="gramStart"/>
      <w:r>
        <w:t>time-stamps</w:t>
      </w:r>
      <w:proofErr w:type="gramEnd"/>
      <w:r>
        <w:t xml:space="preserve"> were removed (prior to or on date of birth, or after the date of last data extraction). The earliest code date across primary and secondary care records was defined as condition diagnosis date. Sex-specific codes applied to the wrong gender (</w:t>
      </w:r>
      <w:proofErr w:type="spellStart"/>
      <w:r>
        <w:t>eg</w:t>
      </w:r>
      <w:proofErr w:type="spellEnd"/>
      <w:r>
        <w:t xml:space="preserve"> males with a diagnostic code of gestational diabetes mellitus, GDM) were removed. Quantitative traits were processed as previously described, including exclusion of outliers lying 6 or more standard deviations above or below the mean</w:t>
      </w:r>
      <w:hyperlink r:id="rId4">
        <w:r>
          <w:rPr>
            <w:color w:val="000000"/>
            <w:vertAlign w:val="superscript"/>
          </w:rPr>
          <w:t>1</w:t>
        </w:r>
      </w:hyperlink>
      <w:r>
        <w:rPr>
          <w:b/>
        </w:rPr>
        <w:t xml:space="preserve">. </w:t>
      </w:r>
      <w:r>
        <w:t>Diabetes-controlling medication classes were defined according to method of action: insulin secretagogues (sulfonylureas and meglitinide), incretin mimetics (GLP1 receptor agonists and DDP4 inhibitors), insulin sensitizers (pioglitazone and thiazolidinediones), renal tubular glucose reabsorption modifiers (SGLT2 inhibitors), in addition to metformin and insulin. Time to initiation of insulin was calculated as the time lag between the earliest type 2 diabetes diagnostic code in the medical record, and the earliest record of insulin prescription; insulin prescriptions with an earlier date than time of diabetes diagnosis were discarded.</w:t>
      </w:r>
    </w:p>
    <w:p w14:paraId="00000004" w14:textId="77777777" w:rsidR="0083414A" w:rsidRDefault="0083414A"/>
    <w:p w14:paraId="00000005" w14:textId="77777777" w:rsidR="0083414A" w:rsidRDefault="00000000">
      <w:pPr>
        <w:rPr>
          <w:i/>
        </w:rPr>
      </w:pPr>
      <w:r>
        <w:rPr>
          <w:i/>
        </w:rPr>
        <w:t xml:space="preserve">Regressing the effect of genetic principal components out of </w:t>
      </w:r>
      <w:proofErr w:type="spellStart"/>
      <w:r>
        <w:rPr>
          <w:i/>
        </w:rPr>
        <w:t>pPS</w:t>
      </w:r>
      <w:proofErr w:type="spellEnd"/>
      <w:r>
        <w:rPr>
          <w:i/>
        </w:rPr>
        <w:t xml:space="preserve"> to allow direct comparison between British Pakistani and Bangladeshi Individuals</w:t>
      </w:r>
    </w:p>
    <w:p w14:paraId="00000006" w14:textId="77777777" w:rsidR="0083414A" w:rsidRDefault="00000000">
      <w:r>
        <w:t xml:space="preserve">We constructed residual PRSs and </w:t>
      </w:r>
      <w:proofErr w:type="spellStart"/>
      <w:r>
        <w:t>pPSs</w:t>
      </w:r>
      <w:proofErr w:type="spellEnd"/>
      <w:r>
        <w:t xml:space="preserve"> after regressing the first 10 genetic PCs out of each PRS and </w:t>
      </w:r>
      <w:proofErr w:type="spellStart"/>
      <w:r>
        <w:t>pPS</w:t>
      </w:r>
      <w:proofErr w:type="spellEnd"/>
      <w:r>
        <w:t xml:space="preserve"> separately in non-diabetic controls, after which no statistically significant differences between Pakistani and Bangladeshi distributions were observed (</w:t>
      </w:r>
      <w:r>
        <w:rPr>
          <w:b/>
        </w:rPr>
        <w:t>Figure S1)</w:t>
      </w:r>
      <w:r>
        <w:t xml:space="preserve">. These residual PRSs and </w:t>
      </w:r>
      <w:proofErr w:type="spellStart"/>
      <w:r>
        <w:t>pPSs</w:t>
      </w:r>
      <w:proofErr w:type="spellEnd"/>
      <w:r>
        <w:t xml:space="preserve"> were used in all downstream analyses, except those exploring ancestry-specific </w:t>
      </w:r>
      <w:proofErr w:type="spellStart"/>
      <w:r>
        <w:t>pPS</w:t>
      </w:r>
      <w:proofErr w:type="spellEnd"/>
      <w:r>
        <w:t xml:space="preserve"> distributions (in which case the term “unmodified </w:t>
      </w:r>
      <w:proofErr w:type="spellStart"/>
      <w:r>
        <w:t>pPS</w:t>
      </w:r>
      <w:proofErr w:type="spellEnd"/>
      <w:r>
        <w:t xml:space="preserve">” is used). Although genetic PCs were subsequently included in sensitivity analyses downstream, these (as would be expected) had no statistically significant effect in any analysis employing residual PRSs or </w:t>
      </w:r>
      <w:proofErr w:type="spellStart"/>
      <w:proofErr w:type="gramStart"/>
      <w:r>
        <w:t>pPSs</w:t>
      </w:r>
      <w:proofErr w:type="spellEnd"/>
      <w:r>
        <w:t>, and</w:t>
      </w:r>
      <w:proofErr w:type="gramEnd"/>
      <w:r>
        <w:t xml:space="preserve"> were therefore not included or presented in principal analyses in this manuscript. When comparing distributions, we varied the applied test between ANOVA and Kruskal-Wallis depending on distribution normality</w:t>
      </w:r>
      <w:r>
        <w:rPr>
          <w:b/>
        </w:rPr>
        <w:t xml:space="preserve">). </w:t>
      </w:r>
      <w:r>
        <w:t xml:space="preserve"> </w:t>
      </w:r>
    </w:p>
    <w:p w14:paraId="00000007" w14:textId="77777777" w:rsidR="0083414A" w:rsidRDefault="0083414A">
      <w:pPr>
        <w:rPr>
          <w:i/>
        </w:rPr>
      </w:pPr>
    </w:p>
    <w:p w14:paraId="00000008" w14:textId="77777777" w:rsidR="0083414A" w:rsidRDefault="00000000">
      <w:pPr>
        <w:rPr>
          <w:i/>
        </w:rPr>
      </w:pPr>
      <w:r>
        <w:rPr>
          <w:i/>
        </w:rPr>
        <w:t>Recapitulation and comparison of partitioned polygenic scores in individuals of European vs South Asian ancestry in UK Biobank</w:t>
      </w:r>
    </w:p>
    <w:p w14:paraId="00000009" w14:textId="77777777" w:rsidR="0083414A" w:rsidRDefault="00000000">
      <w:pPr>
        <w:jc w:val="both"/>
      </w:pPr>
      <w:r>
        <w:t xml:space="preserve">The distribution of </w:t>
      </w:r>
      <w:proofErr w:type="spellStart"/>
      <w:r>
        <w:t>pPS</w:t>
      </w:r>
      <w:proofErr w:type="spellEnd"/>
      <w:r>
        <w:t xml:space="preserve"> in South Asian and European ancestry individuals was examined in UK Biobank (UKBB).  UKBB is a prospective population-based study of ~500,000 individuals recruited from across the United Kingdom</w:t>
      </w:r>
      <w:hyperlink r:id="rId5">
        <w:r>
          <w:rPr>
            <w:color w:val="000000"/>
            <w:vertAlign w:val="superscript"/>
          </w:rPr>
          <w:t>2</w:t>
        </w:r>
      </w:hyperlink>
      <w:r>
        <w:t>. Genotypes were identified using the imputed genotyping array data, as has been previously described</w:t>
      </w:r>
      <w:hyperlink r:id="rId6">
        <w:r>
          <w:rPr>
            <w:color w:val="000000"/>
            <w:vertAlign w:val="superscript"/>
          </w:rPr>
          <w:t>2</w:t>
        </w:r>
      </w:hyperlink>
      <w:r>
        <w:t xml:space="preserve">. </w:t>
      </w:r>
      <w:proofErr w:type="spellStart"/>
      <w:r>
        <w:t>pPS</w:t>
      </w:r>
      <w:proofErr w:type="spellEnd"/>
      <w:r>
        <w:t xml:space="preserve"> were constructed in plink2, where the allele weights were the cluster weights as defined by Smith et al (2023)</w:t>
      </w:r>
      <w:hyperlink r:id="rId7">
        <w:r>
          <w:rPr>
            <w:color w:val="000000"/>
            <w:vertAlign w:val="superscript"/>
          </w:rPr>
          <w:t>3</w:t>
        </w:r>
      </w:hyperlink>
      <w:r>
        <w:t xml:space="preserve">. These </w:t>
      </w:r>
      <w:proofErr w:type="spellStart"/>
      <w:r>
        <w:t>pPS</w:t>
      </w:r>
      <w:proofErr w:type="spellEnd"/>
      <w:r>
        <w:t xml:space="preserve"> were additionally adjusted for the 1</w:t>
      </w:r>
      <w:r>
        <w:rPr>
          <w:vertAlign w:val="superscript"/>
        </w:rPr>
        <w:t>st</w:t>
      </w:r>
      <w:r>
        <w:t xml:space="preserve"> 10 genetic PCs, with the residuals used for distribution comparison.</w:t>
      </w:r>
    </w:p>
    <w:p w14:paraId="0000000A" w14:textId="77777777" w:rsidR="0083414A" w:rsidRDefault="0083414A">
      <w:pPr>
        <w:jc w:val="both"/>
      </w:pPr>
    </w:p>
    <w:p w14:paraId="0000000B" w14:textId="77777777" w:rsidR="0083414A" w:rsidRDefault="00000000">
      <w:pPr>
        <w:jc w:val="both"/>
      </w:pPr>
      <w:r>
        <w:t xml:space="preserve">We compared the distribution of </w:t>
      </w:r>
      <w:proofErr w:type="spellStart"/>
      <w:r>
        <w:t>pPS</w:t>
      </w:r>
      <w:proofErr w:type="spellEnd"/>
      <w:r>
        <w:t xml:space="preserve"> in individuals identified as prevalent and incident cases of T2D across ancestries </w:t>
      </w:r>
      <w:proofErr w:type="gramStart"/>
      <w:r>
        <w:t>a(</w:t>
      </w:r>
      <w:proofErr w:type="gramEnd"/>
      <w:r>
        <w:t>N cases EUR = 25,074; N SAS = 1,895 ). T2D was defined as previously described</w:t>
      </w:r>
      <w:hyperlink r:id="rId8">
        <w:r>
          <w:rPr>
            <w:color w:val="000000"/>
            <w:vertAlign w:val="superscript"/>
          </w:rPr>
          <w:t>4</w:t>
        </w:r>
      </w:hyperlink>
      <w:r>
        <w:t>. We used ANOVA and Kruskal-</w:t>
      </w:r>
      <w:proofErr w:type="gramStart"/>
      <w:r>
        <w:t>Wallis</w:t>
      </w:r>
      <w:proofErr w:type="gramEnd"/>
      <w:r>
        <w:t xml:space="preserve"> test to assess the difference in </w:t>
      </w:r>
      <w:proofErr w:type="spellStart"/>
      <w:r>
        <w:t>pPS</w:t>
      </w:r>
      <w:proofErr w:type="spellEnd"/>
      <w:r>
        <w:t xml:space="preserve"> distribution across ancestry groups. </w:t>
      </w:r>
    </w:p>
    <w:p w14:paraId="0000000C" w14:textId="77777777" w:rsidR="0083414A" w:rsidRDefault="0083414A">
      <w:pPr>
        <w:jc w:val="both"/>
      </w:pPr>
    </w:p>
    <w:p w14:paraId="0000000D" w14:textId="77777777" w:rsidR="0083414A" w:rsidRDefault="00000000">
      <w:pPr>
        <w:jc w:val="both"/>
      </w:pPr>
      <w:r>
        <w:t xml:space="preserve"> </w:t>
      </w:r>
    </w:p>
    <w:p w14:paraId="0000000E" w14:textId="77777777" w:rsidR="0083414A" w:rsidRDefault="00000000">
      <w:pPr>
        <w:jc w:val="both"/>
      </w:pPr>
      <w:r>
        <w:t xml:space="preserve">All analyses in UK </w:t>
      </w:r>
      <w:proofErr w:type="gramStart"/>
      <w:r>
        <w:t>Biobank  were</w:t>
      </w:r>
      <w:proofErr w:type="gramEnd"/>
      <w:r>
        <w:t xml:space="preserve"> conducted under application ID 44448</w:t>
      </w:r>
      <w:r>
        <w:rPr>
          <w:color w:val="0563C1"/>
        </w:rPr>
        <w:t>.</w:t>
      </w:r>
    </w:p>
    <w:p w14:paraId="0000000F" w14:textId="77777777" w:rsidR="0083414A" w:rsidRDefault="0083414A"/>
    <w:p w14:paraId="00000010" w14:textId="77777777" w:rsidR="0083414A" w:rsidRDefault="0083414A"/>
    <w:p w14:paraId="00000011" w14:textId="77777777" w:rsidR="0083414A" w:rsidRDefault="00000000">
      <w:pPr>
        <w:widowControl w:val="0"/>
        <w:pBdr>
          <w:top w:val="nil"/>
          <w:left w:val="nil"/>
          <w:bottom w:val="nil"/>
          <w:right w:val="nil"/>
          <w:between w:val="nil"/>
        </w:pBdr>
        <w:spacing w:before="220" w:line="480" w:lineRule="auto"/>
        <w:ind w:left="440" w:hanging="440"/>
        <w:rPr>
          <w:color w:val="000000"/>
        </w:rPr>
      </w:pPr>
      <w:r>
        <w:rPr>
          <w:color w:val="000000"/>
        </w:rPr>
        <w:lastRenderedPageBreak/>
        <w:t>1.</w:t>
      </w:r>
      <w:r>
        <w:rPr>
          <w:color w:val="000000"/>
        </w:rPr>
        <w:tab/>
      </w:r>
      <w:hyperlink r:id="rId9">
        <w:r>
          <w:rPr>
            <w:color w:val="000000"/>
          </w:rPr>
          <w:t xml:space="preserve">Jacobs, B. </w:t>
        </w:r>
      </w:hyperlink>
      <w:hyperlink r:id="rId10">
        <w:r>
          <w:rPr>
            <w:i/>
            <w:color w:val="000000"/>
          </w:rPr>
          <w:t>et al.</w:t>
        </w:r>
      </w:hyperlink>
      <w:hyperlink r:id="rId11">
        <w:r>
          <w:rPr>
            <w:color w:val="000000"/>
          </w:rPr>
          <w:t xml:space="preserve"> Genetic architecture of routinely acquired blood tests in a UK cohort of South Asian ancestry reveals ancestry-specific causal variants. (2023) doi:</w:t>
        </w:r>
      </w:hyperlink>
      <w:hyperlink r:id="rId12">
        <w:r>
          <w:rPr>
            <w:color w:val="000000"/>
          </w:rPr>
          <w:t>10.21203/rs.3.rs-3438851/v1</w:t>
        </w:r>
      </w:hyperlink>
      <w:hyperlink r:id="rId13">
        <w:r>
          <w:rPr>
            <w:color w:val="000000"/>
          </w:rPr>
          <w:t>.</w:t>
        </w:r>
      </w:hyperlink>
    </w:p>
    <w:p w14:paraId="00000012" w14:textId="77777777" w:rsidR="0083414A" w:rsidRDefault="00000000">
      <w:pPr>
        <w:widowControl w:val="0"/>
        <w:pBdr>
          <w:top w:val="nil"/>
          <w:left w:val="nil"/>
          <w:bottom w:val="nil"/>
          <w:right w:val="nil"/>
          <w:between w:val="nil"/>
        </w:pBdr>
        <w:spacing w:line="480" w:lineRule="auto"/>
        <w:ind w:left="440" w:hanging="440"/>
        <w:rPr>
          <w:color w:val="000000"/>
        </w:rPr>
      </w:pPr>
      <w:r>
        <w:rPr>
          <w:color w:val="000000"/>
        </w:rPr>
        <w:t>2.</w:t>
      </w:r>
      <w:r>
        <w:rPr>
          <w:color w:val="000000"/>
        </w:rPr>
        <w:tab/>
      </w:r>
      <w:hyperlink r:id="rId14">
        <w:proofErr w:type="spellStart"/>
        <w:r>
          <w:rPr>
            <w:color w:val="000000"/>
          </w:rPr>
          <w:t>Bycroft</w:t>
        </w:r>
        <w:proofErr w:type="spellEnd"/>
        <w:r>
          <w:rPr>
            <w:color w:val="000000"/>
          </w:rPr>
          <w:t xml:space="preserve">, C. </w:t>
        </w:r>
      </w:hyperlink>
      <w:hyperlink r:id="rId15">
        <w:r>
          <w:rPr>
            <w:i/>
            <w:color w:val="000000"/>
          </w:rPr>
          <w:t>et al.</w:t>
        </w:r>
      </w:hyperlink>
      <w:hyperlink r:id="rId16">
        <w:r>
          <w:rPr>
            <w:color w:val="000000"/>
          </w:rPr>
          <w:t xml:space="preserve"> The UK Biobank resource with deep phenotyping and genomic data. </w:t>
        </w:r>
      </w:hyperlink>
      <w:hyperlink r:id="rId17">
        <w:r>
          <w:rPr>
            <w:i/>
            <w:color w:val="000000"/>
          </w:rPr>
          <w:t>Nature</w:t>
        </w:r>
      </w:hyperlink>
      <w:hyperlink r:id="rId18">
        <w:r>
          <w:rPr>
            <w:color w:val="000000"/>
          </w:rPr>
          <w:t xml:space="preserve"> </w:t>
        </w:r>
      </w:hyperlink>
      <w:hyperlink r:id="rId19">
        <w:r>
          <w:rPr>
            <w:b/>
            <w:color w:val="000000"/>
          </w:rPr>
          <w:t>562</w:t>
        </w:r>
      </w:hyperlink>
      <w:hyperlink r:id="rId20">
        <w:r>
          <w:rPr>
            <w:color w:val="000000"/>
          </w:rPr>
          <w:t>, 203–209 (2018).</w:t>
        </w:r>
      </w:hyperlink>
    </w:p>
    <w:p w14:paraId="00000013" w14:textId="77777777" w:rsidR="0083414A" w:rsidRDefault="00000000">
      <w:pPr>
        <w:widowControl w:val="0"/>
        <w:pBdr>
          <w:top w:val="nil"/>
          <w:left w:val="nil"/>
          <w:bottom w:val="nil"/>
          <w:right w:val="nil"/>
          <w:between w:val="nil"/>
        </w:pBdr>
        <w:spacing w:line="480" w:lineRule="auto"/>
        <w:ind w:left="440" w:hanging="440"/>
        <w:rPr>
          <w:color w:val="000000"/>
        </w:rPr>
      </w:pPr>
      <w:r>
        <w:rPr>
          <w:color w:val="000000"/>
        </w:rPr>
        <w:t>3.</w:t>
      </w:r>
      <w:r>
        <w:rPr>
          <w:color w:val="000000"/>
        </w:rPr>
        <w:tab/>
      </w:r>
      <w:hyperlink r:id="rId21">
        <w:proofErr w:type="spellStart"/>
        <w:r>
          <w:rPr>
            <w:color w:val="000000"/>
          </w:rPr>
          <w:t>Udler</w:t>
        </w:r>
        <w:proofErr w:type="spellEnd"/>
        <w:r>
          <w:rPr>
            <w:color w:val="000000"/>
          </w:rPr>
          <w:t xml:space="preserve">, M. </w:t>
        </w:r>
      </w:hyperlink>
      <w:hyperlink r:id="rId22">
        <w:r>
          <w:rPr>
            <w:i/>
            <w:color w:val="000000"/>
          </w:rPr>
          <w:t>et al.</w:t>
        </w:r>
      </w:hyperlink>
      <w:hyperlink r:id="rId23">
        <w:r>
          <w:rPr>
            <w:color w:val="000000"/>
          </w:rPr>
          <w:t xml:space="preserve"> Multi-ancestry Polygenic Mechanisms of Type 2 Diabetes Elucidate Disease Processes and Clinical Heterogeneity. </w:t>
        </w:r>
      </w:hyperlink>
      <w:hyperlink r:id="rId24">
        <w:r>
          <w:rPr>
            <w:i/>
            <w:color w:val="000000"/>
          </w:rPr>
          <w:t xml:space="preserve">Res </w:t>
        </w:r>
        <w:proofErr w:type="spellStart"/>
        <w:r>
          <w:rPr>
            <w:i/>
            <w:color w:val="000000"/>
          </w:rPr>
          <w:t>Sq</w:t>
        </w:r>
        <w:proofErr w:type="spellEnd"/>
      </w:hyperlink>
      <w:hyperlink r:id="rId25">
        <w:r>
          <w:rPr>
            <w:color w:val="000000"/>
          </w:rPr>
          <w:t xml:space="preserve"> (2023) doi:</w:t>
        </w:r>
      </w:hyperlink>
      <w:hyperlink r:id="rId26">
        <w:r>
          <w:rPr>
            <w:color w:val="000000"/>
          </w:rPr>
          <w:t>10.21203/rs.3.rs-3399145/v1</w:t>
        </w:r>
      </w:hyperlink>
      <w:hyperlink r:id="rId27">
        <w:r>
          <w:rPr>
            <w:color w:val="000000"/>
          </w:rPr>
          <w:t>.</w:t>
        </w:r>
      </w:hyperlink>
    </w:p>
    <w:p w14:paraId="00000014" w14:textId="77777777" w:rsidR="0083414A" w:rsidRDefault="00000000">
      <w:pPr>
        <w:widowControl w:val="0"/>
        <w:pBdr>
          <w:top w:val="nil"/>
          <w:left w:val="nil"/>
          <w:bottom w:val="nil"/>
          <w:right w:val="nil"/>
          <w:between w:val="nil"/>
        </w:pBdr>
        <w:spacing w:after="220" w:line="480" w:lineRule="auto"/>
        <w:ind w:left="440" w:hanging="440"/>
        <w:rPr>
          <w:color w:val="000000"/>
        </w:rPr>
      </w:pPr>
      <w:r>
        <w:rPr>
          <w:color w:val="000000"/>
        </w:rPr>
        <w:t>4.</w:t>
      </w:r>
      <w:r>
        <w:rPr>
          <w:color w:val="000000"/>
        </w:rPr>
        <w:tab/>
      </w:r>
      <w:hyperlink r:id="rId28">
        <w:r>
          <w:rPr>
            <w:color w:val="000000"/>
          </w:rPr>
          <w:t xml:space="preserve">Gardner, E. J. </w:t>
        </w:r>
      </w:hyperlink>
      <w:hyperlink r:id="rId29">
        <w:r>
          <w:rPr>
            <w:i/>
            <w:color w:val="000000"/>
          </w:rPr>
          <w:t>et al.</w:t>
        </w:r>
      </w:hyperlink>
      <w:hyperlink r:id="rId30">
        <w:r>
          <w:rPr>
            <w:color w:val="000000"/>
          </w:rPr>
          <w:t xml:space="preserve"> Damaging missense variants in IGF1R implicate a role for IGF-1 resistance in the </w:t>
        </w:r>
        <w:proofErr w:type="spellStart"/>
        <w:r>
          <w:rPr>
            <w:color w:val="000000"/>
          </w:rPr>
          <w:t>etiology</w:t>
        </w:r>
        <w:proofErr w:type="spellEnd"/>
        <w:r>
          <w:rPr>
            <w:color w:val="000000"/>
          </w:rPr>
          <w:t xml:space="preserve"> of type 2 diabetes. </w:t>
        </w:r>
      </w:hyperlink>
      <w:hyperlink r:id="rId31">
        <w:r>
          <w:rPr>
            <w:i/>
            <w:color w:val="000000"/>
          </w:rPr>
          <w:t xml:space="preserve">Cell </w:t>
        </w:r>
        <w:proofErr w:type="spellStart"/>
        <w:r>
          <w:rPr>
            <w:i/>
            <w:color w:val="000000"/>
          </w:rPr>
          <w:t>Genom</w:t>
        </w:r>
        <w:proofErr w:type="spellEnd"/>
      </w:hyperlink>
      <w:hyperlink r:id="rId32">
        <w:r>
          <w:rPr>
            <w:color w:val="000000"/>
          </w:rPr>
          <w:t xml:space="preserve"> </w:t>
        </w:r>
      </w:hyperlink>
      <w:hyperlink r:id="rId33">
        <w:r>
          <w:rPr>
            <w:b/>
            <w:color w:val="000000"/>
          </w:rPr>
          <w:t>2</w:t>
        </w:r>
      </w:hyperlink>
      <w:hyperlink r:id="rId34">
        <w:r>
          <w:rPr>
            <w:color w:val="000000"/>
          </w:rPr>
          <w:t>, None (2022).</w:t>
        </w:r>
      </w:hyperlink>
    </w:p>
    <w:p w14:paraId="00000015" w14:textId="77777777" w:rsidR="0083414A" w:rsidRDefault="0083414A">
      <w:pPr>
        <w:widowControl w:val="0"/>
        <w:pBdr>
          <w:top w:val="nil"/>
          <w:left w:val="nil"/>
          <w:bottom w:val="nil"/>
          <w:right w:val="nil"/>
          <w:between w:val="nil"/>
        </w:pBdr>
      </w:pPr>
    </w:p>
    <w:sectPr w:rsidR="0083414A">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414A"/>
    <w:rsid w:val="005C2A01"/>
    <w:rsid w:val="008341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docId w15:val="{9657A04A-8E49-DD4C-9BD6-97B27DC9E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http://paperpile.com/b/wFypjS/7JKax" TargetMode="External"/><Relationship Id="rId18" Type="http://schemas.openxmlformats.org/officeDocument/2006/relationships/hyperlink" Target="http://paperpile.com/b/wFypjS/WbMe" TargetMode="External"/><Relationship Id="rId26" Type="http://schemas.openxmlformats.org/officeDocument/2006/relationships/hyperlink" Target="http://dx.doi.org/10.21203/rs.3.rs-3399145/v1" TargetMode="External"/><Relationship Id="rId3" Type="http://schemas.openxmlformats.org/officeDocument/2006/relationships/webSettings" Target="webSettings.xml"/><Relationship Id="rId21" Type="http://schemas.openxmlformats.org/officeDocument/2006/relationships/hyperlink" Target="http://paperpile.com/b/wFypjS/bwVG" TargetMode="External"/><Relationship Id="rId34" Type="http://schemas.openxmlformats.org/officeDocument/2006/relationships/hyperlink" Target="http://paperpile.com/b/wFypjS/nsr4" TargetMode="External"/><Relationship Id="rId7" Type="http://schemas.openxmlformats.org/officeDocument/2006/relationships/hyperlink" Target="https://paperpile.com/c/wFypjS/bwVG" TargetMode="External"/><Relationship Id="rId12" Type="http://schemas.openxmlformats.org/officeDocument/2006/relationships/hyperlink" Target="http://dx.doi.org/10.21203/rs.3.rs-3438851/v1" TargetMode="External"/><Relationship Id="rId17" Type="http://schemas.openxmlformats.org/officeDocument/2006/relationships/hyperlink" Target="http://paperpile.com/b/wFypjS/WbMe" TargetMode="External"/><Relationship Id="rId25" Type="http://schemas.openxmlformats.org/officeDocument/2006/relationships/hyperlink" Target="http://paperpile.com/b/wFypjS/bwVG" TargetMode="External"/><Relationship Id="rId33" Type="http://schemas.openxmlformats.org/officeDocument/2006/relationships/hyperlink" Target="http://paperpile.com/b/wFypjS/nsr4" TargetMode="External"/><Relationship Id="rId2" Type="http://schemas.openxmlformats.org/officeDocument/2006/relationships/settings" Target="settings.xml"/><Relationship Id="rId16" Type="http://schemas.openxmlformats.org/officeDocument/2006/relationships/hyperlink" Target="http://paperpile.com/b/wFypjS/WbMe" TargetMode="External"/><Relationship Id="rId20" Type="http://schemas.openxmlformats.org/officeDocument/2006/relationships/hyperlink" Target="http://paperpile.com/b/wFypjS/WbMe" TargetMode="External"/><Relationship Id="rId29" Type="http://schemas.openxmlformats.org/officeDocument/2006/relationships/hyperlink" Target="http://paperpile.com/b/wFypjS/nsr4" TargetMode="External"/><Relationship Id="rId1" Type="http://schemas.openxmlformats.org/officeDocument/2006/relationships/styles" Target="styles.xml"/><Relationship Id="rId6" Type="http://schemas.openxmlformats.org/officeDocument/2006/relationships/hyperlink" Target="https://paperpile.com/c/wFypjS/WbMe" TargetMode="External"/><Relationship Id="rId11" Type="http://schemas.openxmlformats.org/officeDocument/2006/relationships/hyperlink" Target="http://paperpile.com/b/wFypjS/7JKax" TargetMode="External"/><Relationship Id="rId24" Type="http://schemas.openxmlformats.org/officeDocument/2006/relationships/hyperlink" Target="http://paperpile.com/b/wFypjS/bwVG" TargetMode="External"/><Relationship Id="rId32" Type="http://schemas.openxmlformats.org/officeDocument/2006/relationships/hyperlink" Target="http://paperpile.com/b/wFypjS/nsr4" TargetMode="External"/><Relationship Id="rId5" Type="http://schemas.openxmlformats.org/officeDocument/2006/relationships/hyperlink" Target="https://paperpile.com/c/wFypjS/WbMe" TargetMode="External"/><Relationship Id="rId15" Type="http://schemas.openxmlformats.org/officeDocument/2006/relationships/hyperlink" Target="http://paperpile.com/b/wFypjS/WbMe" TargetMode="External"/><Relationship Id="rId23" Type="http://schemas.openxmlformats.org/officeDocument/2006/relationships/hyperlink" Target="http://paperpile.com/b/wFypjS/bwVG" TargetMode="External"/><Relationship Id="rId28" Type="http://schemas.openxmlformats.org/officeDocument/2006/relationships/hyperlink" Target="http://paperpile.com/b/wFypjS/nsr4" TargetMode="External"/><Relationship Id="rId36" Type="http://schemas.openxmlformats.org/officeDocument/2006/relationships/theme" Target="theme/theme1.xml"/><Relationship Id="rId10" Type="http://schemas.openxmlformats.org/officeDocument/2006/relationships/hyperlink" Target="http://paperpile.com/b/wFypjS/7JKax" TargetMode="External"/><Relationship Id="rId19" Type="http://schemas.openxmlformats.org/officeDocument/2006/relationships/hyperlink" Target="http://paperpile.com/b/wFypjS/WbMe" TargetMode="External"/><Relationship Id="rId31" Type="http://schemas.openxmlformats.org/officeDocument/2006/relationships/hyperlink" Target="http://paperpile.com/b/wFypjS/nsr4" TargetMode="External"/><Relationship Id="rId4" Type="http://schemas.openxmlformats.org/officeDocument/2006/relationships/hyperlink" Target="https://paperpile.com/c/wFypjS/7JKax" TargetMode="External"/><Relationship Id="rId9" Type="http://schemas.openxmlformats.org/officeDocument/2006/relationships/hyperlink" Target="http://paperpile.com/b/wFypjS/7JKax" TargetMode="External"/><Relationship Id="rId14" Type="http://schemas.openxmlformats.org/officeDocument/2006/relationships/hyperlink" Target="http://paperpile.com/b/wFypjS/WbMe" TargetMode="External"/><Relationship Id="rId22" Type="http://schemas.openxmlformats.org/officeDocument/2006/relationships/hyperlink" Target="http://paperpile.com/b/wFypjS/bwVG" TargetMode="External"/><Relationship Id="rId27" Type="http://schemas.openxmlformats.org/officeDocument/2006/relationships/hyperlink" Target="http://paperpile.com/b/wFypjS/bwVG" TargetMode="External"/><Relationship Id="rId30" Type="http://schemas.openxmlformats.org/officeDocument/2006/relationships/hyperlink" Target="http://paperpile.com/b/wFypjS/nsr4" TargetMode="External"/><Relationship Id="rId35" Type="http://schemas.openxmlformats.org/officeDocument/2006/relationships/fontTable" Target="fontTable.xml"/><Relationship Id="rId8" Type="http://schemas.openxmlformats.org/officeDocument/2006/relationships/hyperlink" Target="https://paperpile.com/c/wFypjS/nsr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840</Words>
  <Characters>4789</Characters>
  <Application>Microsoft Office Word</Application>
  <DocSecurity>0</DocSecurity>
  <Lines>39</Lines>
  <Paragraphs>11</Paragraphs>
  <ScaleCrop>false</ScaleCrop>
  <Company/>
  <LinksUpToDate>false</LinksUpToDate>
  <CharactersWithSpaces>5618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Sam Hodgson</cp:lastModifiedBy>
  <cp:revision>2</cp:revision>
  <dcterms:created xsi:type="dcterms:W3CDTF">2024-03-07T14:06:00Z</dcterms:created>
  <dcterms:modified xsi:type="dcterms:W3CDTF">2024-03-07T14:06:00Z</dcterms:modified>
</cp:coreProperties>
</file>