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tblpY="463"/>
        <w:tblW w:w="0" w:type="auto"/>
        <w:tblLook w:val="04A0" w:firstRow="1" w:lastRow="0" w:firstColumn="1" w:lastColumn="0" w:noHBand="0" w:noVBand="1"/>
      </w:tblPr>
      <w:tblGrid>
        <w:gridCol w:w="4499"/>
        <w:gridCol w:w="4517"/>
      </w:tblGrid>
      <w:tr w:rsidR="00441DC1" w:rsidRPr="00441DC1" w14:paraId="57DD9F80" w14:textId="77777777" w:rsidTr="00441DC1">
        <w:tc>
          <w:tcPr>
            <w:tcW w:w="4499" w:type="dxa"/>
          </w:tcPr>
          <w:p w14:paraId="4AD0DE56" w14:textId="77777777" w:rsidR="00441DC1" w:rsidRPr="00441DC1" w:rsidRDefault="00441DC1" w:rsidP="00441DC1">
            <w:pPr>
              <w:rPr>
                <w:rFonts w:asciiTheme="minorHAnsi" w:hAnsiTheme="minorHAnsi" w:cstheme="minorHAnsi"/>
                <w:b/>
                <w:bCs/>
              </w:rPr>
            </w:pPr>
            <w:r w:rsidRPr="00441DC1">
              <w:rPr>
                <w:rFonts w:asciiTheme="minorHAnsi" w:hAnsiTheme="minorHAnsi" w:cstheme="minorHAnsi"/>
                <w:b/>
                <w:bCs/>
              </w:rPr>
              <w:t>Variable</w:t>
            </w:r>
          </w:p>
        </w:tc>
        <w:tc>
          <w:tcPr>
            <w:tcW w:w="4517" w:type="dxa"/>
          </w:tcPr>
          <w:p w14:paraId="49EE591E" w14:textId="77777777" w:rsidR="00441DC1" w:rsidRPr="00441DC1" w:rsidRDefault="00441DC1" w:rsidP="00441DC1">
            <w:pPr>
              <w:rPr>
                <w:rFonts w:asciiTheme="minorHAnsi" w:hAnsiTheme="minorHAnsi" w:cstheme="minorHAnsi"/>
                <w:b/>
                <w:bCs/>
              </w:rPr>
            </w:pPr>
            <w:r w:rsidRPr="00441DC1">
              <w:rPr>
                <w:rFonts w:asciiTheme="minorHAnsi" w:hAnsiTheme="minorHAnsi" w:cstheme="minorHAnsi"/>
                <w:b/>
                <w:bCs/>
              </w:rPr>
              <w:t>Definition</w:t>
            </w:r>
          </w:p>
        </w:tc>
      </w:tr>
      <w:tr w:rsidR="00441DC1" w:rsidRPr="00441DC1" w14:paraId="6FF938D5" w14:textId="77777777" w:rsidTr="00441DC1">
        <w:tc>
          <w:tcPr>
            <w:tcW w:w="4499" w:type="dxa"/>
          </w:tcPr>
          <w:p w14:paraId="6C3CD5E7" w14:textId="77777777" w:rsidR="00441DC1" w:rsidRPr="00441DC1" w:rsidRDefault="00441DC1" w:rsidP="00441DC1">
            <w:pPr>
              <w:rPr>
                <w:rFonts w:asciiTheme="minorHAnsi" w:hAnsiTheme="minorHAnsi" w:cstheme="minorHAnsi"/>
              </w:rPr>
            </w:pPr>
            <w:r w:rsidRPr="00441DC1">
              <w:rPr>
                <w:rFonts w:asciiTheme="minorHAnsi" w:hAnsiTheme="minorHAnsi" w:cstheme="minorHAnsi"/>
              </w:rPr>
              <w:t xml:space="preserve">Treatment with ICIs </w:t>
            </w:r>
          </w:p>
          <w:p w14:paraId="74E6E80A" w14:textId="77777777" w:rsidR="00441DC1" w:rsidRPr="00441DC1" w:rsidRDefault="00441DC1" w:rsidP="00441DC1">
            <w:pPr>
              <w:rPr>
                <w:rFonts w:asciiTheme="minorHAnsi" w:hAnsiTheme="minorHAnsi" w:cstheme="minorHAnsi"/>
                <w:b/>
                <w:bCs/>
              </w:rPr>
            </w:pPr>
          </w:p>
        </w:tc>
        <w:tc>
          <w:tcPr>
            <w:tcW w:w="4517" w:type="dxa"/>
          </w:tcPr>
          <w:p w14:paraId="5960C1D7" w14:textId="095D8748" w:rsidR="00441DC1" w:rsidRPr="00441DC1" w:rsidRDefault="00D1126C" w:rsidP="00441DC1">
            <w:pPr>
              <w:rPr>
                <w:rFonts w:asciiTheme="minorHAnsi" w:hAnsiTheme="minorHAnsi" w:cstheme="minorHAnsi"/>
                <w:b/>
                <w:bCs/>
              </w:rPr>
            </w:pPr>
            <w:r>
              <w:rPr>
                <w:rFonts w:asciiTheme="minorHAnsi" w:hAnsiTheme="minorHAnsi" w:cstheme="minorHAnsi"/>
              </w:rPr>
              <w:t>C</w:t>
            </w:r>
            <w:r w:rsidR="00441DC1" w:rsidRPr="00441DC1">
              <w:rPr>
                <w:rFonts w:asciiTheme="minorHAnsi" w:hAnsiTheme="minorHAnsi" w:cstheme="minorHAnsi"/>
              </w:rPr>
              <w:t>onsidered when one of the following drugs were prescribed alone or in combination with other systemic therapies: Nivolumab, Pembrolizumab, Atezolizumab, Avelumab, Durvalumab, Ipilimumab, or Tremelimumab.</w:t>
            </w:r>
          </w:p>
        </w:tc>
      </w:tr>
      <w:tr w:rsidR="00441DC1" w:rsidRPr="00441DC1" w14:paraId="43BD3223" w14:textId="77777777" w:rsidTr="00441DC1">
        <w:trPr>
          <w:trHeight w:val="475"/>
        </w:trPr>
        <w:tc>
          <w:tcPr>
            <w:tcW w:w="4499" w:type="dxa"/>
          </w:tcPr>
          <w:p w14:paraId="3ED60CFA" w14:textId="0D6B8DA2" w:rsidR="00441DC1" w:rsidRPr="00441DC1" w:rsidRDefault="00441DC1" w:rsidP="00441DC1">
            <w:pPr>
              <w:rPr>
                <w:rFonts w:asciiTheme="minorHAnsi" w:hAnsiTheme="minorHAnsi" w:cstheme="minorHAnsi"/>
              </w:rPr>
            </w:pPr>
            <w:r w:rsidRPr="00441DC1">
              <w:rPr>
                <w:rFonts w:asciiTheme="minorHAnsi" w:hAnsiTheme="minorHAnsi" w:cstheme="minorHAnsi"/>
                <w:i/>
                <w:iCs/>
              </w:rPr>
              <w:t>Age</w:t>
            </w:r>
            <w:r w:rsidRPr="00441DC1">
              <w:rPr>
                <w:rFonts w:asciiTheme="minorHAnsi" w:hAnsiTheme="minorHAnsi" w:cstheme="minorHAnsi"/>
              </w:rPr>
              <w:t xml:space="preserve"> </w:t>
            </w:r>
          </w:p>
        </w:tc>
        <w:tc>
          <w:tcPr>
            <w:tcW w:w="4517" w:type="dxa"/>
          </w:tcPr>
          <w:p w14:paraId="34BCA2C5" w14:textId="77777777" w:rsidR="00441DC1" w:rsidRPr="00441DC1" w:rsidRDefault="00441DC1" w:rsidP="00441DC1">
            <w:pPr>
              <w:rPr>
                <w:rFonts w:asciiTheme="minorHAnsi" w:hAnsiTheme="minorHAnsi" w:cstheme="minorHAnsi"/>
                <w:b/>
                <w:bCs/>
              </w:rPr>
            </w:pPr>
            <w:r w:rsidRPr="00441DC1">
              <w:rPr>
                <w:rFonts w:asciiTheme="minorHAnsi" w:hAnsiTheme="minorHAnsi" w:cstheme="minorHAnsi"/>
                <w:i/>
                <w:iCs/>
              </w:rPr>
              <w:t>A</w:t>
            </w:r>
            <w:r w:rsidRPr="00441DC1">
              <w:rPr>
                <w:rFonts w:asciiTheme="minorHAnsi" w:hAnsiTheme="minorHAnsi" w:cstheme="minorHAnsi"/>
              </w:rPr>
              <w:t>ge at the time of ICI treatment initiation.</w:t>
            </w:r>
          </w:p>
        </w:tc>
      </w:tr>
      <w:tr w:rsidR="00441DC1" w:rsidRPr="00441DC1" w14:paraId="07A3205D" w14:textId="77777777" w:rsidTr="00441DC1">
        <w:tc>
          <w:tcPr>
            <w:tcW w:w="4499" w:type="dxa"/>
          </w:tcPr>
          <w:p w14:paraId="4C3948FF" w14:textId="77777777" w:rsidR="00441DC1" w:rsidRPr="00441DC1" w:rsidRDefault="00441DC1" w:rsidP="00441DC1">
            <w:pPr>
              <w:rPr>
                <w:rFonts w:asciiTheme="minorHAnsi" w:hAnsiTheme="minorHAnsi" w:cstheme="minorHAnsi"/>
              </w:rPr>
            </w:pPr>
            <w:r w:rsidRPr="00441DC1">
              <w:rPr>
                <w:rFonts w:asciiTheme="minorHAnsi" w:hAnsiTheme="minorHAnsi" w:cstheme="minorHAnsi"/>
                <w:i/>
                <w:iCs/>
              </w:rPr>
              <w:t>Performance status (PS)</w:t>
            </w:r>
            <w:r w:rsidRPr="00441DC1">
              <w:rPr>
                <w:rFonts w:asciiTheme="minorHAnsi" w:hAnsiTheme="minorHAnsi" w:cstheme="minorHAnsi"/>
              </w:rPr>
              <w:t xml:space="preserve"> </w:t>
            </w:r>
          </w:p>
          <w:p w14:paraId="4CB24823" w14:textId="77777777" w:rsidR="00441DC1" w:rsidRPr="00441DC1" w:rsidRDefault="00441DC1" w:rsidP="00441DC1">
            <w:pPr>
              <w:rPr>
                <w:rFonts w:asciiTheme="minorHAnsi" w:hAnsiTheme="minorHAnsi" w:cstheme="minorHAnsi"/>
                <w:b/>
                <w:bCs/>
              </w:rPr>
            </w:pPr>
          </w:p>
        </w:tc>
        <w:tc>
          <w:tcPr>
            <w:tcW w:w="4517" w:type="dxa"/>
          </w:tcPr>
          <w:p w14:paraId="2DF769D0" w14:textId="172CD0F9" w:rsidR="00441DC1" w:rsidRPr="00441DC1" w:rsidRDefault="00D1126C" w:rsidP="00441DC1">
            <w:pPr>
              <w:rPr>
                <w:rFonts w:asciiTheme="minorHAnsi" w:hAnsiTheme="minorHAnsi" w:cstheme="minorHAnsi"/>
              </w:rPr>
            </w:pPr>
            <w:r>
              <w:rPr>
                <w:rFonts w:asciiTheme="minorHAnsi" w:hAnsiTheme="minorHAnsi" w:cstheme="minorHAnsi"/>
              </w:rPr>
              <w:t>E</w:t>
            </w:r>
            <w:r w:rsidR="00441DC1" w:rsidRPr="00441DC1">
              <w:rPr>
                <w:rFonts w:asciiTheme="minorHAnsi" w:hAnsiTheme="minorHAnsi" w:cstheme="minorHAnsi"/>
              </w:rPr>
              <w:t xml:space="preserve">valuated according to the Eastern Cooperative Oncology Group (ECOG) grading system at the start of the ICI treatment, </w:t>
            </w:r>
            <w:r w:rsidR="00F24C2E">
              <w:rPr>
                <w:rFonts w:asciiTheme="minorHAnsi" w:hAnsiTheme="minorHAnsi" w:cstheme="minorHAnsi"/>
              </w:rPr>
              <w:t>classified</w:t>
            </w:r>
            <w:r w:rsidR="00441DC1" w:rsidRPr="00441DC1">
              <w:rPr>
                <w:rFonts w:asciiTheme="minorHAnsi" w:hAnsiTheme="minorHAnsi" w:cstheme="minorHAnsi"/>
              </w:rPr>
              <w:t xml:space="preserve"> into: asymptomatic (0), symptomatic but completely ambulatory (1), symptomatic with less than 50% of the time in bed (2), symptomatic with more than 50% of the time in bed (3), bedbound (4), and deceased (5)</w:t>
            </w:r>
            <w:r w:rsidR="00441DC1" w:rsidRPr="00441DC1">
              <w:rPr>
                <w:rFonts w:asciiTheme="minorHAnsi" w:hAnsiTheme="minorHAnsi" w:cstheme="minorHAnsi"/>
              </w:rPr>
              <w:fldChar w:fldCharType="begin" w:fldLock="1"/>
            </w:r>
            <w:r w:rsidR="00441DC1" w:rsidRPr="00441DC1">
              <w:rPr>
                <w:rFonts w:asciiTheme="minorHAnsi" w:hAnsiTheme="minorHAnsi" w:cstheme="minorHAnsi"/>
              </w:rPr>
              <w:instrText>ADDIN CSL_CITATION {"citationItems":[{"id":"ITEM-1","itemData":{"ISSN":"0277-3732 (Print)","PMID":"7165009","author":[{"dropping-particle":"","family":"Oken","given":"M M","non-dropping-particle":"","parse-names":false,"suffix":""},{"dropping-particle":"","family":"Creech","given":"R H","non-dropping-particle":"","parse-names":false,"suffix":""},{"dropping-particle":"","family":"Tormey","given":"D C","non-dropping-particle":"","parse-names":false,"suffix":""},{"dropping-particle":"","family":"Horton","given":"J","non-dropping-particle":"","parse-names":false,"suffix":""},{"dropping-particle":"","family":"Davis","given":"T E","non-dropping-particle":"","parse-names":false,"suffix":""},{"dropping-particle":"","family":"McFadden","given":"E T","non-dropping-particle":"","parse-names":false,"suffix":""},{"dropping-particle":"","family":"Carbone","given":"P P","non-dropping-particle":"","parse-names":false,"suffix":""}],"container-title":"American journal of clinical oncology","id":"ITEM-1","issue":"6","issued":{"date-parts":[["1982","12"]]},"language":"eng","page":"649-655","publisher-place":"United States","title":"Toxicity and response criteria of the Eastern Cooperative Oncology Group.","type":"article-journal","volume":"5"},"uris":["http://www.mendeley.com/documents/?uuid=b0967c8b-58f0-48b9-8a56-bda9aad140bd"]}],"mendeley":{"formattedCitation":"[1]","plainTextFormattedCitation":"[1]","previouslyFormattedCitation":"[10]"},"properties":{"noteIndex":0},"schema":"https://github.com/citation-style-language/schema/raw/master/csl-citation.json"}</w:instrText>
            </w:r>
            <w:r w:rsidR="00441DC1" w:rsidRPr="00441DC1">
              <w:rPr>
                <w:rFonts w:asciiTheme="minorHAnsi" w:hAnsiTheme="minorHAnsi" w:cstheme="minorHAnsi"/>
              </w:rPr>
              <w:fldChar w:fldCharType="separate"/>
            </w:r>
            <w:r w:rsidR="00441DC1" w:rsidRPr="00441DC1">
              <w:rPr>
                <w:rFonts w:asciiTheme="minorHAnsi" w:hAnsiTheme="minorHAnsi" w:cstheme="minorHAnsi"/>
                <w:noProof/>
              </w:rPr>
              <w:t>[1]</w:t>
            </w:r>
            <w:r w:rsidR="00441DC1" w:rsidRPr="00441DC1">
              <w:rPr>
                <w:rFonts w:asciiTheme="minorHAnsi" w:hAnsiTheme="minorHAnsi" w:cstheme="minorHAnsi"/>
              </w:rPr>
              <w:fldChar w:fldCharType="end"/>
            </w:r>
            <w:r w:rsidR="00441DC1" w:rsidRPr="00441DC1">
              <w:rPr>
                <w:rFonts w:asciiTheme="minorHAnsi" w:hAnsiTheme="minorHAnsi" w:cstheme="minorHAnsi"/>
              </w:rPr>
              <w:t xml:space="preserve">. </w:t>
            </w:r>
          </w:p>
        </w:tc>
      </w:tr>
      <w:tr w:rsidR="00441DC1" w:rsidRPr="00441DC1" w14:paraId="02708C72" w14:textId="77777777" w:rsidTr="00441DC1">
        <w:tc>
          <w:tcPr>
            <w:tcW w:w="4499" w:type="dxa"/>
          </w:tcPr>
          <w:p w14:paraId="181D546C" w14:textId="77777777" w:rsidR="00441DC1" w:rsidRPr="00441DC1" w:rsidRDefault="00441DC1" w:rsidP="00441DC1">
            <w:pPr>
              <w:rPr>
                <w:rFonts w:asciiTheme="minorHAnsi" w:hAnsiTheme="minorHAnsi" w:cstheme="minorHAnsi"/>
                <w:b/>
                <w:bCs/>
              </w:rPr>
            </w:pPr>
            <w:r w:rsidRPr="00441DC1">
              <w:rPr>
                <w:rFonts w:asciiTheme="minorHAnsi" w:hAnsiTheme="minorHAnsi" w:cstheme="minorHAnsi"/>
                <w:i/>
                <w:iCs/>
              </w:rPr>
              <w:t>Stage of disease</w:t>
            </w:r>
          </w:p>
        </w:tc>
        <w:tc>
          <w:tcPr>
            <w:tcW w:w="4517" w:type="dxa"/>
          </w:tcPr>
          <w:p w14:paraId="383C7566" w14:textId="50171B3E" w:rsidR="00441DC1" w:rsidRPr="00441DC1" w:rsidRDefault="00D1126C" w:rsidP="00441DC1">
            <w:pPr>
              <w:rPr>
                <w:rFonts w:asciiTheme="minorHAnsi" w:hAnsiTheme="minorHAnsi" w:cstheme="minorHAnsi"/>
                <w:i/>
                <w:iCs/>
              </w:rPr>
            </w:pPr>
            <w:r>
              <w:rPr>
                <w:rFonts w:asciiTheme="minorHAnsi" w:hAnsiTheme="minorHAnsi" w:cstheme="minorHAnsi"/>
              </w:rPr>
              <w:t>E</w:t>
            </w:r>
            <w:r w:rsidR="00441DC1" w:rsidRPr="00441DC1">
              <w:rPr>
                <w:rFonts w:asciiTheme="minorHAnsi" w:hAnsiTheme="minorHAnsi" w:cstheme="minorHAnsi"/>
              </w:rPr>
              <w:t>valuated according to the 8</w:t>
            </w:r>
            <w:r w:rsidR="00441DC1" w:rsidRPr="00441DC1">
              <w:rPr>
                <w:rFonts w:asciiTheme="minorHAnsi" w:hAnsiTheme="minorHAnsi" w:cstheme="minorHAnsi"/>
                <w:vertAlign w:val="superscript"/>
              </w:rPr>
              <w:t>th</w:t>
            </w:r>
            <w:r w:rsidR="00441DC1" w:rsidRPr="00441DC1">
              <w:rPr>
                <w:rFonts w:asciiTheme="minorHAnsi" w:hAnsiTheme="minorHAnsi" w:cstheme="minorHAnsi"/>
              </w:rPr>
              <w:t xml:space="preserve"> edition of the clinical TNM staging system for lung cancer, classified into stages I, II, III and IV</w:t>
            </w:r>
            <w:r w:rsidR="00441DC1" w:rsidRPr="00441DC1">
              <w:rPr>
                <w:rFonts w:asciiTheme="minorHAnsi" w:hAnsiTheme="minorHAnsi" w:cstheme="minorHAnsi"/>
              </w:rPr>
              <w:fldChar w:fldCharType="begin" w:fldLock="1"/>
            </w:r>
            <w:r w:rsidR="00441DC1" w:rsidRPr="00441DC1">
              <w:rPr>
                <w:rFonts w:asciiTheme="minorHAnsi" w:hAnsiTheme="minorHAnsi" w:cstheme="minorHAnsi"/>
              </w:rPr>
              <w:instrText>ADDIN CSL_CITATION {"citationItems":[{"id":"ITEM-1","itemData":{"DOI":"10.1634/theoncologist.2017-0659","ISSN":"1549-490X (Electronic)","PMID":"29650687","abstract":"Lung cancer is the leading cause of cancer-related mortality in the U.S. TNM staging  of lung cancer is implemented to define the extent of disease and consequently assign prognosis and guide treatment. The newest edition of TNM staging of lung cancer has been released recently. In this article, we present the TNM staging of lung cancer in a concise, yet comprehensive, visual format.","author":[{"dropping-particle":"","family":"Lababede","given":"Omar","non-dropping-particle":"","parse-names":false,"suffix":""},{"dropping-particle":"","family":"Meziane","given":"Moulay A","non-dropping-particle":"","parse-names":false,"suffix":""}],"container-title":"The oncologist","id":"ITEM-1","issue":"7","issued":{"date-parts":[["2018","7"]]},"language":"eng","page":"844-848","title":"The Eighth Edition of TNM Staging of Lung Cancer: Reference Chart and Diagrams.","type":"article-journal","volume":"23"},"uris":["http://www.mendeley.com/documents/?uuid=9208a525-7d75-4897-96be-0916b5e44b05"]}],"mendeley":{"formattedCitation":"[2]","plainTextFormattedCitation":"[2]","previouslyFormattedCitation":"[11]"},"properties":{"noteIndex":0},"schema":"https://github.com/citation-style-language/schema/raw/master/csl-citation.json"}</w:instrText>
            </w:r>
            <w:r w:rsidR="00441DC1" w:rsidRPr="00441DC1">
              <w:rPr>
                <w:rFonts w:asciiTheme="minorHAnsi" w:hAnsiTheme="minorHAnsi" w:cstheme="minorHAnsi"/>
              </w:rPr>
              <w:fldChar w:fldCharType="separate"/>
            </w:r>
            <w:r w:rsidR="00441DC1" w:rsidRPr="00441DC1">
              <w:rPr>
                <w:rFonts w:asciiTheme="minorHAnsi" w:hAnsiTheme="minorHAnsi" w:cstheme="minorHAnsi"/>
                <w:noProof/>
              </w:rPr>
              <w:t>[2]</w:t>
            </w:r>
            <w:r w:rsidR="00441DC1" w:rsidRPr="00441DC1">
              <w:rPr>
                <w:rFonts w:asciiTheme="minorHAnsi" w:hAnsiTheme="minorHAnsi" w:cstheme="minorHAnsi"/>
              </w:rPr>
              <w:fldChar w:fldCharType="end"/>
            </w:r>
            <w:r w:rsidR="00441DC1" w:rsidRPr="00441DC1">
              <w:rPr>
                <w:rFonts w:asciiTheme="minorHAnsi" w:hAnsiTheme="minorHAnsi" w:cstheme="minorHAnsi"/>
              </w:rPr>
              <w:t xml:space="preserve">. </w:t>
            </w:r>
          </w:p>
        </w:tc>
      </w:tr>
      <w:tr w:rsidR="00441DC1" w:rsidRPr="00441DC1" w14:paraId="2BDC5E9D" w14:textId="77777777" w:rsidTr="00441DC1">
        <w:tc>
          <w:tcPr>
            <w:tcW w:w="4499" w:type="dxa"/>
          </w:tcPr>
          <w:p w14:paraId="32C8A258" w14:textId="77777777" w:rsidR="00441DC1" w:rsidRPr="00441DC1" w:rsidRDefault="00441DC1" w:rsidP="00441DC1">
            <w:pPr>
              <w:rPr>
                <w:rFonts w:asciiTheme="minorHAnsi" w:hAnsiTheme="minorHAnsi" w:cstheme="minorHAnsi"/>
                <w:b/>
                <w:bCs/>
              </w:rPr>
            </w:pPr>
            <w:r w:rsidRPr="00441DC1">
              <w:rPr>
                <w:rFonts w:asciiTheme="minorHAnsi" w:hAnsiTheme="minorHAnsi" w:cstheme="minorHAnsi"/>
                <w:i/>
                <w:iCs/>
              </w:rPr>
              <w:t>Combination therapy</w:t>
            </w:r>
          </w:p>
        </w:tc>
        <w:tc>
          <w:tcPr>
            <w:tcW w:w="4517" w:type="dxa"/>
          </w:tcPr>
          <w:p w14:paraId="5608D4E6" w14:textId="53A4D088" w:rsidR="00441DC1" w:rsidRPr="00441DC1" w:rsidRDefault="00D1126C" w:rsidP="00441DC1">
            <w:pPr>
              <w:rPr>
                <w:rFonts w:asciiTheme="minorHAnsi" w:hAnsiTheme="minorHAnsi" w:cstheme="minorHAnsi"/>
              </w:rPr>
            </w:pPr>
            <w:r>
              <w:rPr>
                <w:rFonts w:asciiTheme="minorHAnsi" w:hAnsiTheme="minorHAnsi" w:cstheme="minorHAnsi"/>
              </w:rPr>
              <w:t>D</w:t>
            </w:r>
            <w:r w:rsidR="00441DC1" w:rsidRPr="00441DC1">
              <w:rPr>
                <w:rFonts w:asciiTheme="minorHAnsi" w:hAnsiTheme="minorHAnsi" w:cstheme="minorHAnsi"/>
              </w:rPr>
              <w:t xml:space="preserve">efined as the administration of a chemotherapy agent together with one or more ICIs. </w:t>
            </w:r>
          </w:p>
        </w:tc>
      </w:tr>
      <w:tr w:rsidR="00441DC1" w:rsidRPr="00441DC1" w14:paraId="081B5784" w14:textId="77777777" w:rsidTr="00441DC1">
        <w:tc>
          <w:tcPr>
            <w:tcW w:w="4499" w:type="dxa"/>
          </w:tcPr>
          <w:p w14:paraId="40266575" w14:textId="77777777" w:rsidR="00441DC1" w:rsidRPr="00441DC1" w:rsidRDefault="00441DC1" w:rsidP="00441DC1">
            <w:pPr>
              <w:rPr>
                <w:rFonts w:asciiTheme="minorHAnsi" w:hAnsiTheme="minorHAnsi" w:cstheme="minorHAnsi"/>
                <w:b/>
                <w:bCs/>
              </w:rPr>
            </w:pPr>
            <w:r w:rsidRPr="00441DC1">
              <w:rPr>
                <w:rFonts w:asciiTheme="minorHAnsi" w:hAnsiTheme="minorHAnsi" w:cstheme="minorHAnsi"/>
                <w:i/>
                <w:iCs/>
              </w:rPr>
              <w:t>Treatment line</w:t>
            </w:r>
            <w:r w:rsidRPr="00441DC1">
              <w:rPr>
                <w:rFonts w:asciiTheme="minorHAnsi" w:hAnsiTheme="minorHAnsi" w:cstheme="minorHAnsi"/>
              </w:rPr>
              <w:t xml:space="preserve"> </w:t>
            </w:r>
          </w:p>
        </w:tc>
        <w:tc>
          <w:tcPr>
            <w:tcW w:w="4517" w:type="dxa"/>
          </w:tcPr>
          <w:p w14:paraId="1C0F0ABB" w14:textId="6F8B99ED" w:rsidR="00441DC1" w:rsidRPr="00441DC1" w:rsidRDefault="00D1126C" w:rsidP="00441DC1">
            <w:pPr>
              <w:rPr>
                <w:rFonts w:asciiTheme="minorHAnsi" w:hAnsiTheme="minorHAnsi" w:cstheme="minorHAnsi"/>
                <w:b/>
                <w:bCs/>
              </w:rPr>
            </w:pPr>
            <w:r>
              <w:rPr>
                <w:rFonts w:asciiTheme="minorHAnsi" w:hAnsiTheme="minorHAnsi" w:cstheme="minorHAnsi"/>
              </w:rPr>
              <w:t>D</w:t>
            </w:r>
            <w:r w:rsidR="00441DC1" w:rsidRPr="00441DC1">
              <w:rPr>
                <w:rFonts w:asciiTheme="minorHAnsi" w:hAnsiTheme="minorHAnsi" w:cstheme="minorHAnsi"/>
              </w:rPr>
              <w:t>efined as the number of previous systemic anti-cancer treatment before the initiation of the ICI and were classified as 1st line (no prior treatments or when patients with a recurrent NSCLC received the last dose of the previous systemic treatment more than 24 months before ICI treatment initiation), 2nd line (one previous treatment), and 3rd line (two or more previous treatments). In the case of the NCR data, only data on first-line treatment is collected.</w:t>
            </w:r>
          </w:p>
        </w:tc>
      </w:tr>
    </w:tbl>
    <w:p w14:paraId="6B580961" w14:textId="15EC3B84" w:rsidR="004A1301" w:rsidRPr="00441DC1" w:rsidRDefault="00C13B2E">
      <w:pPr>
        <w:rPr>
          <w:rFonts w:asciiTheme="minorHAnsi" w:hAnsiTheme="minorHAnsi" w:cstheme="minorHAnsi"/>
        </w:rPr>
      </w:pPr>
      <w:r>
        <w:rPr>
          <w:rFonts w:asciiTheme="minorHAnsi" w:hAnsiTheme="minorHAnsi" w:cstheme="minorHAnsi"/>
        </w:rPr>
        <w:t>Table</w:t>
      </w:r>
      <w:r w:rsidR="00441DC1">
        <w:rPr>
          <w:rFonts w:asciiTheme="minorHAnsi" w:hAnsiTheme="minorHAnsi" w:cstheme="minorHAnsi"/>
        </w:rPr>
        <w:t xml:space="preserve"> </w:t>
      </w:r>
      <w:r w:rsidR="000433DA">
        <w:rPr>
          <w:rFonts w:asciiTheme="minorHAnsi" w:hAnsiTheme="minorHAnsi" w:cstheme="minorHAnsi"/>
        </w:rPr>
        <w:t>A</w:t>
      </w:r>
      <w:r w:rsidR="00441DC1">
        <w:rPr>
          <w:rFonts w:asciiTheme="minorHAnsi" w:hAnsiTheme="minorHAnsi" w:cstheme="minorHAnsi"/>
        </w:rPr>
        <w:t>.</w:t>
      </w:r>
      <w:r w:rsidR="00522D2D">
        <w:rPr>
          <w:rFonts w:asciiTheme="minorHAnsi" w:hAnsiTheme="minorHAnsi" w:cstheme="minorHAnsi"/>
        </w:rPr>
        <w:t>1</w:t>
      </w:r>
      <w:r w:rsidR="00441DC1">
        <w:rPr>
          <w:rFonts w:asciiTheme="minorHAnsi" w:hAnsiTheme="minorHAnsi" w:cstheme="minorHAnsi"/>
        </w:rPr>
        <w:t xml:space="preserve"> Detail variable definition</w:t>
      </w:r>
    </w:p>
    <w:p w14:paraId="33E0F4BC" w14:textId="106A4FC7" w:rsidR="00441DC1" w:rsidRPr="00441DC1" w:rsidRDefault="00441DC1">
      <w:pPr>
        <w:rPr>
          <w:rFonts w:asciiTheme="minorHAnsi" w:hAnsiTheme="minorHAnsi" w:cstheme="minorHAnsi"/>
        </w:rPr>
      </w:pPr>
      <w:r w:rsidRPr="00441DC1">
        <w:rPr>
          <w:rFonts w:asciiTheme="minorHAnsi" w:hAnsiTheme="minorHAnsi" w:cstheme="minorHAnsi"/>
        </w:rPr>
        <w:t xml:space="preserve">References </w:t>
      </w:r>
    </w:p>
    <w:p w14:paraId="78059B52" w14:textId="169F4824" w:rsidR="00441DC1" w:rsidRPr="00441DC1" w:rsidRDefault="00441DC1" w:rsidP="00441DC1">
      <w:pPr>
        <w:widowControl w:val="0"/>
        <w:autoSpaceDE w:val="0"/>
        <w:autoSpaceDN w:val="0"/>
        <w:adjustRightInd w:val="0"/>
        <w:ind w:left="640" w:hanging="640"/>
        <w:rPr>
          <w:rFonts w:asciiTheme="minorHAnsi" w:hAnsiTheme="minorHAnsi" w:cstheme="minorHAnsi"/>
          <w:noProof/>
        </w:rPr>
      </w:pPr>
      <w:r w:rsidRPr="00441DC1">
        <w:rPr>
          <w:rFonts w:asciiTheme="minorHAnsi" w:hAnsiTheme="minorHAnsi" w:cstheme="minorHAnsi"/>
        </w:rPr>
        <w:fldChar w:fldCharType="begin" w:fldLock="1"/>
      </w:r>
      <w:r w:rsidRPr="00441DC1">
        <w:rPr>
          <w:rFonts w:asciiTheme="minorHAnsi" w:hAnsiTheme="minorHAnsi" w:cstheme="minorHAnsi"/>
        </w:rPr>
        <w:instrText xml:space="preserve">ADDIN Mendeley Bibliography CSL_BIBLIOGRAPHY </w:instrText>
      </w:r>
      <w:r w:rsidRPr="00441DC1">
        <w:rPr>
          <w:rFonts w:asciiTheme="minorHAnsi" w:hAnsiTheme="minorHAnsi" w:cstheme="minorHAnsi"/>
        </w:rPr>
        <w:fldChar w:fldCharType="separate"/>
      </w:r>
      <w:r w:rsidRPr="00441DC1">
        <w:rPr>
          <w:rFonts w:asciiTheme="minorHAnsi" w:hAnsiTheme="minorHAnsi" w:cstheme="minorHAnsi"/>
          <w:noProof/>
        </w:rPr>
        <w:t>[1]</w:t>
      </w:r>
      <w:r w:rsidRPr="00441DC1">
        <w:rPr>
          <w:rFonts w:asciiTheme="minorHAnsi" w:hAnsiTheme="minorHAnsi" w:cstheme="minorHAnsi"/>
          <w:noProof/>
        </w:rPr>
        <w:tab/>
        <w:t>Oken MM, Creech RH, Tormey DC, Horton J, Davis TE, McFadden ET, et al. Toxicity and response criteria of the Eastern Cooperative Oncology Group. Am J Clin Oncol 1982;5:649–55.</w:t>
      </w:r>
    </w:p>
    <w:p w14:paraId="0A2492ED" w14:textId="77777777" w:rsidR="00441DC1" w:rsidRPr="00441DC1" w:rsidRDefault="00441DC1" w:rsidP="00441DC1">
      <w:pPr>
        <w:widowControl w:val="0"/>
        <w:autoSpaceDE w:val="0"/>
        <w:autoSpaceDN w:val="0"/>
        <w:adjustRightInd w:val="0"/>
        <w:ind w:left="640" w:hanging="640"/>
        <w:rPr>
          <w:rFonts w:asciiTheme="minorHAnsi" w:hAnsiTheme="minorHAnsi" w:cstheme="minorHAnsi"/>
          <w:noProof/>
        </w:rPr>
      </w:pPr>
      <w:r w:rsidRPr="00441DC1">
        <w:rPr>
          <w:rFonts w:asciiTheme="minorHAnsi" w:hAnsiTheme="minorHAnsi" w:cstheme="minorHAnsi"/>
          <w:noProof/>
        </w:rPr>
        <w:t>[2]</w:t>
      </w:r>
      <w:r w:rsidRPr="00441DC1">
        <w:rPr>
          <w:rFonts w:asciiTheme="minorHAnsi" w:hAnsiTheme="minorHAnsi" w:cstheme="minorHAnsi"/>
          <w:noProof/>
        </w:rPr>
        <w:tab/>
        <w:t>Lababede O, Meziane MA. The Eighth Edition of TNM Staging of Lung Cancer: Reference Chart and Diagrams. Oncologist 2018;23:844–8. https://doi.org/10.1634/theoncologist.2017-0659.</w:t>
      </w:r>
    </w:p>
    <w:p w14:paraId="5A1D1D56" w14:textId="3825446C" w:rsidR="00441DC1" w:rsidRPr="00441DC1" w:rsidRDefault="00441DC1">
      <w:pPr>
        <w:rPr>
          <w:rFonts w:asciiTheme="minorHAnsi" w:hAnsiTheme="minorHAnsi" w:cstheme="minorHAnsi"/>
        </w:rPr>
      </w:pPr>
      <w:r w:rsidRPr="00441DC1">
        <w:rPr>
          <w:rFonts w:asciiTheme="minorHAnsi" w:hAnsiTheme="minorHAnsi" w:cstheme="minorHAnsi"/>
        </w:rPr>
        <w:fldChar w:fldCharType="end"/>
      </w:r>
    </w:p>
    <w:sectPr w:rsidR="00441DC1" w:rsidRPr="00441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DC1"/>
    <w:rsid w:val="000433DA"/>
    <w:rsid w:val="002D0226"/>
    <w:rsid w:val="0043226F"/>
    <w:rsid w:val="00441DC1"/>
    <w:rsid w:val="004A1301"/>
    <w:rsid w:val="004A6351"/>
    <w:rsid w:val="00522D2D"/>
    <w:rsid w:val="00635A0C"/>
    <w:rsid w:val="00824AC7"/>
    <w:rsid w:val="0084075C"/>
    <w:rsid w:val="008A4721"/>
    <w:rsid w:val="00980559"/>
    <w:rsid w:val="00B91EB2"/>
    <w:rsid w:val="00C13B2E"/>
    <w:rsid w:val="00D1126C"/>
    <w:rsid w:val="00DC59AD"/>
    <w:rsid w:val="00E5105F"/>
    <w:rsid w:val="00F24C2E"/>
    <w:rsid w:val="00FA16D7"/>
    <w:rsid w:val="00FA4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8DB8F"/>
  <w15:chartTrackingRefBased/>
  <w15:docId w15:val="{0E960528-D996-6E4C-9F9F-1BCACDB8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DC1"/>
    <w:rPr>
      <w:rFonts w:ascii="Times New Roman" w:eastAsia="Times New Roman" w:hAnsi="Times New Roman" w:cs="Times New Roman"/>
      <w:kern w:val="0"/>
      <w:lang w:val="en-US"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1DC1"/>
    <w:rPr>
      <w:kern w:val="0"/>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3428B-F4D4-564E-8910-B390BC62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Suazo Zepeda</dc:creator>
  <cp:keywords/>
  <dc:description/>
  <cp:lastModifiedBy>Suazo Zepeda, E (epi)</cp:lastModifiedBy>
  <cp:revision>6</cp:revision>
  <dcterms:created xsi:type="dcterms:W3CDTF">2023-12-19T22:19:00Z</dcterms:created>
  <dcterms:modified xsi:type="dcterms:W3CDTF">2024-01-25T13:24:00Z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24de0761-e21f-308f-b983-7fd2d3abb86f</vt:lpwstr>
  </property>
  <property fmtid="{D5CDD505-2E9C-101B-9397-08002B2CF9AE}" pid="4" name="Mendeley Citation Style_1">
    <vt:lpwstr>http://www.zotero.org/styles/cancer-treatment-reviews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http://www.zotero.org/styles/cancer-treatment-reviews</vt:lpwstr>
  </property>
  <property fmtid="{D5CDD505-2E9C-101B-9397-08002B2CF9AE}" pid="12" name="Mendeley Recent Style Name 3_1">
    <vt:lpwstr>Cancer Treatment Reviews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