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12540" w14:textId="24DDC7AA" w:rsidR="006A4586" w:rsidRPr="00D07D1A" w:rsidRDefault="005200AB">
      <w:pPr>
        <w:rPr>
          <w:rFonts w:ascii="Calibri" w:hAnsi="Calibri" w:cs="Calibri"/>
          <w:sz w:val="22"/>
          <w:szCs w:val="22"/>
        </w:rPr>
      </w:pPr>
      <w:r w:rsidRPr="00D07D1A">
        <w:rPr>
          <w:rFonts w:ascii="Calibri" w:hAnsi="Calibri" w:cs="Calibri"/>
          <w:b/>
          <w:bCs/>
          <w:sz w:val="22"/>
          <w:szCs w:val="22"/>
        </w:rPr>
        <w:t>Appendix</w:t>
      </w:r>
      <w:r w:rsidR="005366CD" w:rsidRPr="00D07D1A">
        <w:rPr>
          <w:rFonts w:ascii="Calibri" w:hAnsi="Calibri" w:cs="Calibri"/>
          <w:b/>
          <w:bCs/>
          <w:sz w:val="22"/>
          <w:szCs w:val="22"/>
        </w:rPr>
        <w:t xml:space="preserve"> C.1</w:t>
      </w:r>
      <w:r w:rsidR="005366CD" w:rsidRPr="00D07D1A">
        <w:rPr>
          <w:rFonts w:ascii="Calibri" w:hAnsi="Calibri" w:cs="Calibri"/>
          <w:sz w:val="22"/>
          <w:szCs w:val="22"/>
        </w:rPr>
        <w:t xml:space="preserve"> Comparison of</w:t>
      </w:r>
      <w:r w:rsidR="006A4586" w:rsidRPr="00D07D1A">
        <w:rPr>
          <w:rFonts w:ascii="Calibri" w:hAnsi="Calibri" w:cs="Calibri"/>
          <w:sz w:val="22"/>
          <w:szCs w:val="22"/>
        </w:rPr>
        <w:t xml:space="preserve"> Median </w:t>
      </w:r>
      <w:r w:rsidRPr="00D07D1A">
        <w:rPr>
          <w:rFonts w:ascii="Calibri" w:hAnsi="Calibri" w:cs="Calibri"/>
          <w:sz w:val="22"/>
          <w:szCs w:val="22"/>
        </w:rPr>
        <w:t>Overall</w:t>
      </w:r>
      <w:r w:rsidR="006A4586" w:rsidRPr="00D07D1A">
        <w:rPr>
          <w:rFonts w:ascii="Calibri" w:hAnsi="Calibri" w:cs="Calibri"/>
          <w:sz w:val="22"/>
          <w:szCs w:val="22"/>
        </w:rPr>
        <w:t xml:space="preserve"> survival (OS), 1- and 2- year </w:t>
      </w:r>
      <w:r w:rsidRPr="00D07D1A">
        <w:rPr>
          <w:rFonts w:ascii="Calibri" w:hAnsi="Calibri" w:cs="Calibri"/>
          <w:sz w:val="22"/>
          <w:szCs w:val="22"/>
        </w:rPr>
        <w:t>survival</w:t>
      </w:r>
      <w:r w:rsidR="006A4586" w:rsidRPr="00D07D1A">
        <w:rPr>
          <w:rFonts w:ascii="Calibri" w:hAnsi="Calibri" w:cs="Calibri"/>
          <w:sz w:val="22"/>
          <w:szCs w:val="22"/>
        </w:rPr>
        <w:t xml:space="preserve"> of Griesinger et al.</w:t>
      </w:r>
      <w:r w:rsidRPr="00D07D1A">
        <w:rPr>
          <w:rFonts w:ascii="Calibri" w:hAnsi="Calibri" w:cs="Calibri"/>
          <w:sz w:val="22"/>
          <w:szCs w:val="22"/>
        </w:rPr>
        <w:t xml:space="preserve"> (France’s ﻿Epidemiological-Strategy and Medical Economics Advanced and Metastatic Lung Cancer (ESME-AMLC)  and Germany’s ﻿Clinical Research platform Into molecular testing, </w:t>
      </w:r>
      <w:r w:rsidR="00D07D1A" w:rsidRPr="00D07D1A">
        <w:rPr>
          <w:rFonts w:ascii="Calibri" w:hAnsi="Calibri" w:cs="Calibri"/>
          <w:sz w:val="22"/>
          <w:szCs w:val="22"/>
        </w:rPr>
        <w:t xml:space="preserve">treatment </w:t>
      </w:r>
      <w:r w:rsidRPr="00D07D1A">
        <w:rPr>
          <w:rFonts w:ascii="Calibri" w:hAnsi="Calibri" w:cs="Calibri"/>
          <w:sz w:val="22"/>
          <w:szCs w:val="22"/>
        </w:rPr>
        <w:t>and outcome of non-Small cell lung carcinoma Patients (CRISP))</w:t>
      </w:r>
      <w:r w:rsidR="009637FA">
        <w:rPr>
          <w:rFonts w:ascii="Calibri" w:hAnsi="Calibri" w:cs="Calibri"/>
          <w:sz w:val="22"/>
          <w:szCs w:val="22"/>
        </w:rPr>
        <w:fldChar w:fldCharType="begin" w:fldLock="1"/>
      </w:r>
      <w:r w:rsidR="009637FA">
        <w:rPr>
          <w:rFonts w:ascii="Calibri" w:hAnsi="Calibri" w:cs="Calibri"/>
          <w:sz w:val="22"/>
          <w:szCs w:val="22"/>
        </w:rPr>
        <w:instrText>ADDIN CSL_CITATION {"citationItems":[{"id":"ITEM-1","itemData":{"DOI":"10.1016/j.lungcan.2022.08.001","ISSN":"18728332","PMID":"36007281","abstract":"Objectives: To describe the impact of immune checkpoint inhibitors (ICIs) on treatment patterns and survival outcomes in patients with locally advanced or metastatic non-small cell lung cancer (aNSCLC) in France and Germany. Materials and Methods: Patients with aNSCLC without known ALK or EGFR mutations receiving first-line (1L) therapy were included from (i) the retrospective Epidemiological-Strategy and Medical Economics Advanced and Metastatic Lung Cancer cohort (ESME-AMLC, France; 2015–2018) and (ii) the prospective Clinical Research platform Into molecular testing, treatment and outcome of non-Small cell lung carcinoma Patients platform (CRISP, Germany; 2016–2018). Analyses were stratified according to histology. Survival outcomes were estimated using Kaplan–Meier methodology and stratified by year of 1L therapy. Data sources were analysed separately. Results: In ESME-AMLC and CRISP, 8,046 and 2,359 patients were included in the study, respectively. In both countries, approximately 20 % of all patients received pembrolizumab monotherapy as 1L treatment in 2018. In ESME-AMLC, the proportion receiving an ICI over the course of treatment (any line) increased from 42.2 % (2015) to 56.1 % (2018) in patients with squamous histology, and 28.9 % to 51.9 % with non-squamous/other; in CRISP, it increased from 50.6 % (2016) to 65.2 % (2018) with squamous histology, and 40.8 % to 62.7 % with non-squamous/other. Two-year overall survival from 1L initiation was 36.8 % and 25.6 % in the squamous cohorts and 36.5 % and 30.8 % in the non-squamous/other cohorts in ESME-AMLC and CRISP, respectively. No significant change in overall survival was observed over time; however, the follow-up time available was limited in the later years of the analysis. Conclusion: The results of this joint research from two large clinical databases in France and Germany demonstrate the growing use of ICIs in the management of aNSCLC. Future analyses will allow for the evaluation of the impact of ICIs on long-term survival of patients with aNSCLC.","author":[{"dropping-particle":"","family":"Griesinger","given":"Frank","non-dropping-particle":"","parse-names":false,"suffix":""},{"dropping-particle":"","family":"Pérol","given":"Maurice","non-dropping-particle":"","parse-names":false,"suffix":""},{"dropping-particle":"","family":"Girard","given":"Nicolas","non-dropping-particle":"","parse-names":false,"suffix":""},{"dropping-particle":"","family":"Durand-Zaleski","given":"Isabelle","non-dropping-particle":"","parse-names":false,"suffix":""},{"dropping-particle":"","family":"Zacharias","given":"Stefan","non-dropping-particle":"","parse-names":false,"suffix":""},{"dropping-particle":"","family":"Bosquet","given":"Lise","non-dropping-particle":"","parse-names":false,"suffix":""},{"dropping-particle":"","family":"Jänicke","given":"Martina","non-dropping-particle":"","parse-names":false,"suffix":""},{"dropping-particle":"","family":"Quantin","given":"Xavier","non-dropping-particle":"","parse-names":false,"suffix":""},{"dropping-particle":"","family":"Groth","given":"Annika","non-dropping-particle":"","parse-names":false,"suffix":""},{"dropping-particle":"","family":"Fleitz","given":"Annette","non-dropping-particle":"","parse-names":false,"suffix":""},{"dropping-particle":"","family":"Calleja","given":"Alan","non-dropping-particle":"","parse-names":false,"suffix":""},{"dropping-particle":"","family":"Patel","given":"Sonya","non-dropping-particle":"","parse-names":false,"suffix":""},{"dropping-particle":"","family":"Lacoin","given":"Laure","non-dropping-particle":"","parse-names":false,"suffix":""},{"dropping-particle":"","family":"Daumont","given":"Melinda J.","non-dropping-particle":"","parse-names":false,"suffix":""},{"dropping-particle":"","family":"Penrod","given":"John R.","non-dropping-particle":"","parse-names":false,"suffix":""},{"dropping-particle":"","family":"Carroll","given":"Robert","non-dropping-particle":"","parse-names":false,"suffix":""},{"dropping-particle":"","family":"Waldenberger","given":"Daniela","non-dropping-particle":"","parse-names":false,"suffix":""},{"dropping-particle":"","family":"Reynaud","given":"Dorothée","non-dropping-particle":"","parse-names":false,"suffix":""},{"dropping-particle":"","family":"Thomas","given":"Michael","non-dropping-particle":"","parse-names":false,"suffix":""},{"dropping-particle":"","family":"Chouaid","given":"Christos","non-dropping-particle":"","parse-names":false,"suffix":""}],"container-title":"Lung Cancer","id":"ITEM-1","issue":"April","issued":{"date-parts":[["2022"]]},"page":"65-74","title":"Impact of immune checkpoint inhibitors on the management of locally advanced or metastatic non-small cell lung cancer in real-life practice in patients initiating treatment between 2015 and 2018 in France and Germany","type":"article-journal","volume":"172"},"uris":["http://www.mendeley.com/documents/?uuid=4460985c-9232-464e-84b1-5b6ade897008"]}],"mendeley":{"formattedCitation":"[1]","plainTextFormattedCitation":"[1]"},"properties":{"noteIndex":0},"schema":"https://github.com/citation-style-language/schema/raw/master/csl-citation.json"}</w:instrText>
      </w:r>
      <w:r w:rsidR="009637FA">
        <w:rPr>
          <w:rFonts w:ascii="Calibri" w:hAnsi="Calibri" w:cs="Calibri"/>
          <w:sz w:val="22"/>
          <w:szCs w:val="22"/>
        </w:rPr>
        <w:fldChar w:fldCharType="separate"/>
      </w:r>
      <w:r w:rsidR="009637FA" w:rsidRPr="009637FA">
        <w:rPr>
          <w:rFonts w:ascii="Calibri" w:hAnsi="Calibri" w:cs="Calibri"/>
          <w:noProof/>
          <w:sz w:val="22"/>
          <w:szCs w:val="22"/>
        </w:rPr>
        <w:t>[1]</w:t>
      </w:r>
      <w:r w:rsidR="009637FA">
        <w:rPr>
          <w:rFonts w:ascii="Calibri" w:hAnsi="Calibri" w:cs="Calibri"/>
          <w:sz w:val="22"/>
          <w:szCs w:val="22"/>
        </w:rPr>
        <w:fldChar w:fldCharType="end"/>
      </w:r>
      <w:r w:rsidR="006A4586" w:rsidRPr="00D07D1A">
        <w:rPr>
          <w:rFonts w:ascii="Calibri" w:hAnsi="Calibri" w:cs="Calibri"/>
          <w:sz w:val="22"/>
          <w:szCs w:val="22"/>
        </w:rPr>
        <w:t xml:space="preserve"> vs the Netherland National Cancer </w:t>
      </w:r>
      <w:r w:rsidRPr="00D07D1A">
        <w:rPr>
          <w:rFonts w:ascii="Calibri" w:hAnsi="Calibri" w:cs="Calibri"/>
          <w:sz w:val="22"/>
          <w:szCs w:val="22"/>
        </w:rPr>
        <w:t>R</w:t>
      </w:r>
      <w:r w:rsidR="006A4586" w:rsidRPr="00D07D1A">
        <w:rPr>
          <w:rFonts w:ascii="Calibri" w:hAnsi="Calibri" w:cs="Calibri"/>
          <w:sz w:val="22"/>
          <w:szCs w:val="22"/>
        </w:rPr>
        <w:t>egistry (</w:t>
      </w:r>
      <w:r w:rsidRPr="00D07D1A">
        <w:rPr>
          <w:rFonts w:ascii="Calibri" w:hAnsi="Calibri" w:cs="Calibri"/>
          <w:sz w:val="22"/>
          <w:szCs w:val="22"/>
        </w:rPr>
        <w:t>NCR)</w:t>
      </w:r>
      <w:r w:rsidR="007601FB">
        <w:rPr>
          <w:rFonts w:ascii="Calibri" w:hAnsi="Calibri" w:cs="Calibri"/>
          <w:sz w:val="22"/>
          <w:szCs w:val="22"/>
        </w:rPr>
        <w:t>.</w:t>
      </w:r>
    </w:p>
    <w:tbl>
      <w:tblPr>
        <w:tblpPr w:leftFromText="180" w:rightFromText="180" w:vertAnchor="page" w:horzAnchor="margin" w:tblpY="3118"/>
        <w:tblW w:w="0" w:type="auto"/>
        <w:tblLook w:val="04A0" w:firstRow="1" w:lastRow="0" w:firstColumn="1" w:lastColumn="0" w:noHBand="0" w:noVBand="1"/>
      </w:tblPr>
      <w:tblGrid>
        <w:gridCol w:w="1556"/>
        <w:gridCol w:w="2127"/>
        <w:gridCol w:w="1017"/>
        <w:gridCol w:w="1017"/>
        <w:gridCol w:w="860"/>
        <w:gridCol w:w="860"/>
      </w:tblGrid>
      <w:tr w:rsidR="00D07D1A" w:rsidRPr="00591676" w14:paraId="472ECA49" w14:textId="77777777" w:rsidTr="00D07D1A">
        <w:trPr>
          <w:trHeight w:val="320"/>
        </w:trPr>
        <w:tc>
          <w:tcPr>
            <w:tcW w:w="0" w:type="auto"/>
            <w:tcBorders>
              <w:top w:val="single" w:sz="4" w:space="0" w:color="auto"/>
              <w:left w:val="nil"/>
              <w:bottom w:val="single" w:sz="4" w:space="0" w:color="auto"/>
              <w:right w:val="nil"/>
            </w:tcBorders>
            <w:shd w:val="clear" w:color="auto" w:fill="auto"/>
            <w:noWrap/>
            <w:vAlign w:val="bottom"/>
            <w:hideMark/>
          </w:tcPr>
          <w:p w14:paraId="05B9E8ED" w14:textId="77777777" w:rsidR="00D07D1A" w:rsidRPr="00591676" w:rsidRDefault="00D07D1A" w:rsidP="00D07D1A">
            <w:pPr>
              <w:rPr>
                <w:rFonts w:ascii="Calibri" w:eastAsia="Times New Roman" w:hAnsi="Calibri" w:cs="Calibri"/>
                <w:b/>
                <w:bCs/>
                <w:kern w:val="0"/>
                <w:sz w:val="22"/>
                <w:szCs w:val="22"/>
                <w:lang w:eastAsia="en-GB"/>
                <w14:ligatures w14:val="none"/>
              </w:rPr>
            </w:pPr>
          </w:p>
        </w:tc>
        <w:tc>
          <w:tcPr>
            <w:tcW w:w="0" w:type="auto"/>
            <w:tcBorders>
              <w:top w:val="single" w:sz="4" w:space="0" w:color="auto"/>
              <w:left w:val="nil"/>
              <w:bottom w:val="single" w:sz="4" w:space="0" w:color="auto"/>
              <w:right w:val="nil"/>
            </w:tcBorders>
            <w:shd w:val="clear" w:color="auto" w:fill="auto"/>
            <w:noWrap/>
            <w:vAlign w:val="bottom"/>
            <w:hideMark/>
          </w:tcPr>
          <w:p w14:paraId="482988B7" w14:textId="77777777" w:rsidR="00D07D1A" w:rsidRPr="00591676" w:rsidRDefault="00D07D1A" w:rsidP="00D07D1A">
            <w:pPr>
              <w:jc w:val="center"/>
              <w:rPr>
                <w:rFonts w:ascii="Calibri" w:eastAsia="Times New Roman" w:hAnsi="Calibri" w:cs="Calibri"/>
                <w:b/>
                <w:bCs/>
                <w:color w:val="000000"/>
                <w:kern w:val="0"/>
                <w:sz w:val="22"/>
                <w:szCs w:val="22"/>
                <w:lang w:val="en-GB" w:eastAsia="en-GB"/>
                <w14:ligatures w14:val="none"/>
              </w:rPr>
            </w:pPr>
            <w:r w:rsidRPr="00591676">
              <w:rPr>
                <w:rFonts w:ascii="Calibri" w:eastAsia="Times New Roman" w:hAnsi="Calibri" w:cs="Calibri"/>
                <w:b/>
                <w:bCs/>
                <w:color w:val="000000"/>
                <w:kern w:val="0"/>
                <w:sz w:val="22"/>
                <w:szCs w:val="22"/>
                <w:lang w:val="en-GB" w:eastAsia="en-GB"/>
                <w14:ligatures w14:val="none"/>
              </w:rPr>
              <w:t>Netherlands NCR</w:t>
            </w:r>
          </w:p>
        </w:tc>
        <w:tc>
          <w:tcPr>
            <w:tcW w:w="0" w:type="auto"/>
            <w:gridSpan w:val="2"/>
            <w:tcBorders>
              <w:top w:val="single" w:sz="4" w:space="0" w:color="auto"/>
              <w:left w:val="nil"/>
              <w:bottom w:val="single" w:sz="4" w:space="0" w:color="auto"/>
              <w:right w:val="nil"/>
            </w:tcBorders>
            <w:shd w:val="clear" w:color="auto" w:fill="auto"/>
            <w:noWrap/>
            <w:vAlign w:val="bottom"/>
            <w:hideMark/>
          </w:tcPr>
          <w:p w14:paraId="7C6EAC4B" w14:textId="7FDE616F" w:rsidR="00D07D1A" w:rsidRPr="00591676" w:rsidRDefault="00D07D1A" w:rsidP="00D07D1A">
            <w:pPr>
              <w:jc w:val="center"/>
              <w:rPr>
                <w:rFonts w:ascii="Calibri" w:eastAsia="Times New Roman" w:hAnsi="Calibri" w:cs="Calibri"/>
                <w:b/>
                <w:bCs/>
                <w:color w:val="000000"/>
                <w:kern w:val="0"/>
                <w:sz w:val="22"/>
                <w:szCs w:val="22"/>
                <w:lang w:val="en-GB" w:eastAsia="en-GB"/>
                <w14:ligatures w14:val="none"/>
              </w:rPr>
            </w:pPr>
            <w:r w:rsidRPr="00591676">
              <w:rPr>
                <w:rFonts w:ascii="Calibri" w:eastAsia="Times New Roman" w:hAnsi="Calibri" w:cs="Calibri"/>
                <w:b/>
                <w:bCs/>
                <w:color w:val="000000"/>
                <w:kern w:val="0"/>
                <w:sz w:val="22"/>
                <w:szCs w:val="22"/>
                <w:lang w:val="en-GB" w:eastAsia="en-GB"/>
                <w14:ligatures w14:val="none"/>
              </w:rPr>
              <w:t>France</w:t>
            </w:r>
            <w:r w:rsidR="00591676">
              <w:rPr>
                <w:rFonts w:ascii="Calibri" w:eastAsia="Times New Roman" w:hAnsi="Calibri" w:cs="Calibri"/>
                <w:b/>
                <w:bCs/>
                <w:color w:val="000000"/>
                <w:kern w:val="0"/>
                <w:sz w:val="22"/>
                <w:szCs w:val="22"/>
                <w:lang w:eastAsia="en-GB"/>
                <w14:ligatures w14:val="none"/>
              </w:rPr>
              <w:t>/</w:t>
            </w:r>
            <w:r w:rsidRPr="00591676">
              <w:rPr>
                <w:rFonts w:ascii="Calibri" w:eastAsia="Times New Roman" w:hAnsi="Calibri" w:cs="Calibri"/>
                <w:b/>
                <w:bCs/>
                <w:color w:val="000000"/>
                <w:kern w:val="0"/>
                <w:sz w:val="22"/>
                <w:szCs w:val="22"/>
                <w:lang w:val="en-GB" w:eastAsia="en-GB"/>
                <w14:ligatures w14:val="none"/>
              </w:rPr>
              <w:t>ESME-AMLC</w:t>
            </w:r>
          </w:p>
        </w:tc>
        <w:tc>
          <w:tcPr>
            <w:tcW w:w="0" w:type="auto"/>
            <w:gridSpan w:val="2"/>
            <w:tcBorders>
              <w:top w:val="single" w:sz="4" w:space="0" w:color="auto"/>
              <w:left w:val="nil"/>
              <w:bottom w:val="single" w:sz="4" w:space="0" w:color="auto"/>
              <w:right w:val="nil"/>
            </w:tcBorders>
            <w:shd w:val="clear" w:color="auto" w:fill="auto"/>
            <w:noWrap/>
            <w:vAlign w:val="bottom"/>
            <w:hideMark/>
          </w:tcPr>
          <w:p w14:paraId="3CD4B4F4" w14:textId="4DEB86FF" w:rsidR="00D07D1A" w:rsidRPr="00591676" w:rsidRDefault="00D07D1A" w:rsidP="00D07D1A">
            <w:pPr>
              <w:jc w:val="center"/>
              <w:rPr>
                <w:rFonts w:ascii="Calibri" w:eastAsia="Times New Roman" w:hAnsi="Calibri" w:cs="Calibri"/>
                <w:b/>
                <w:bCs/>
                <w:color w:val="000000"/>
                <w:kern w:val="0"/>
                <w:sz w:val="22"/>
                <w:szCs w:val="22"/>
                <w:lang w:val="en-GB" w:eastAsia="en-GB"/>
                <w14:ligatures w14:val="none"/>
              </w:rPr>
            </w:pPr>
            <w:r w:rsidRPr="00591676">
              <w:rPr>
                <w:rFonts w:ascii="Calibri" w:eastAsia="Times New Roman" w:hAnsi="Calibri" w:cs="Calibri"/>
                <w:b/>
                <w:bCs/>
                <w:color w:val="000000"/>
                <w:kern w:val="0"/>
                <w:sz w:val="22"/>
                <w:szCs w:val="22"/>
                <w:lang w:val="en-GB" w:eastAsia="en-GB"/>
                <w14:ligatures w14:val="none"/>
              </w:rPr>
              <w:t>Germany</w:t>
            </w:r>
            <w:r w:rsidR="007601FB" w:rsidRPr="00591676">
              <w:rPr>
                <w:rFonts w:ascii="Calibri" w:eastAsia="Times New Roman" w:hAnsi="Calibri" w:cs="Calibri"/>
                <w:b/>
                <w:bCs/>
                <w:color w:val="000000"/>
                <w:kern w:val="0"/>
                <w:sz w:val="22"/>
                <w:szCs w:val="22"/>
                <w:lang w:val="en-GB" w:eastAsia="en-GB"/>
                <w14:ligatures w14:val="none"/>
              </w:rPr>
              <w:t xml:space="preserve"> </w:t>
            </w:r>
            <w:r w:rsidR="00591676">
              <w:rPr>
                <w:rFonts w:ascii="Calibri" w:eastAsia="Times New Roman" w:hAnsi="Calibri" w:cs="Calibri"/>
                <w:b/>
                <w:bCs/>
                <w:color w:val="000000"/>
                <w:kern w:val="0"/>
                <w:sz w:val="22"/>
                <w:szCs w:val="22"/>
                <w:lang w:eastAsia="en-GB"/>
                <w14:ligatures w14:val="none"/>
              </w:rPr>
              <w:t>/</w:t>
            </w:r>
            <w:r w:rsidR="007601FB" w:rsidRPr="00591676">
              <w:rPr>
                <w:rFonts w:ascii="Calibri" w:eastAsia="Times New Roman" w:hAnsi="Calibri" w:cs="Calibri"/>
                <w:b/>
                <w:bCs/>
                <w:color w:val="000000"/>
                <w:kern w:val="0"/>
                <w:sz w:val="22"/>
                <w:szCs w:val="22"/>
                <w:lang w:val="en-GB" w:eastAsia="en-GB"/>
                <w14:ligatures w14:val="none"/>
              </w:rPr>
              <w:t>CRISP</w:t>
            </w:r>
          </w:p>
        </w:tc>
      </w:tr>
      <w:tr w:rsidR="00D07D1A" w:rsidRPr="00591676" w14:paraId="27913ECE" w14:textId="77777777" w:rsidTr="00D07D1A">
        <w:trPr>
          <w:trHeight w:val="320"/>
        </w:trPr>
        <w:tc>
          <w:tcPr>
            <w:tcW w:w="0" w:type="auto"/>
            <w:tcBorders>
              <w:top w:val="single" w:sz="4" w:space="0" w:color="auto"/>
              <w:left w:val="nil"/>
              <w:bottom w:val="single" w:sz="4" w:space="0" w:color="auto"/>
              <w:right w:val="nil"/>
            </w:tcBorders>
            <w:shd w:val="clear" w:color="auto" w:fill="auto"/>
            <w:noWrap/>
            <w:vAlign w:val="bottom"/>
            <w:hideMark/>
          </w:tcPr>
          <w:p w14:paraId="69131D98" w14:textId="77777777" w:rsidR="00D07D1A" w:rsidRPr="00591676" w:rsidRDefault="00D07D1A" w:rsidP="00D07D1A">
            <w:pPr>
              <w:jc w:val="center"/>
              <w:rPr>
                <w:rFonts w:ascii="Calibri" w:eastAsia="Times New Roman" w:hAnsi="Calibri" w:cs="Calibri"/>
                <w:b/>
                <w:bCs/>
                <w:color w:val="000000"/>
                <w:kern w:val="0"/>
                <w:sz w:val="22"/>
                <w:szCs w:val="22"/>
                <w:lang w:val="en-GB" w:eastAsia="en-GB"/>
                <w14:ligatures w14:val="none"/>
              </w:rPr>
            </w:pPr>
          </w:p>
        </w:tc>
        <w:tc>
          <w:tcPr>
            <w:tcW w:w="0" w:type="auto"/>
            <w:tcBorders>
              <w:top w:val="single" w:sz="4" w:space="0" w:color="auto"/>
              <w:left w:val="nil"/>
              <w:bottom w:val="single" w:sz="4" w:space="0" w:color="auto"/>
              <w:right w:val="nil"/>
            </w:tcBorders>
            <w:shd w:val="clear" w:color="auto" w:fill="auto"/>
            <w:noWrap/>
            <w:vAlign w:val="bottom"/>
            <w:hideMark/>
          </w:tcPr>
          <w:p w14:paraId="1D635093" w14:textId="77777777" w:rsidR="00D07D1A" w:rsidRPr="00591676" w:rsidRDefault="00D07D1A" w:rsidP="00D07D1A">
            <w:pPr>
              <w:jc w:val="center"/>
              <w:rPr>
                <w:rFonts w:ascii="Calibri" w:eastAsia="Times New Roman" w:hAnsi="Calibri" w:cs="Calibri"/>
                <w:b/>
                <w:bCs/>
                <w:color w:val="000000"/>
                <w:kern w:val="0"/>
                <w:sz w:val="22"/>
                <w:szCs w:val="22"/>
                <w:lang w:val="en-GB" w:eastAsia="en-GB"/>
                <w14:ligatures w14:val="none"/>
              </w:rPr>
            </w:pPr>
            <w:r w:rsidRPr="00591676">
              <w:rPr>
                <w:rFonts w:ascii="Calibri" w:eastAsia="Times New Roman" w:hAnsi="Calibri" w:cs="Calibri"/>
                <w:b/>
                <w:bCs/>
                <w:color w:val="000000"/>
                <w:kern w:val="0"/>
                <w:sz w:val="22"/>
                <w:szCs w:val="22"/>
                <w:lang w:val="en-GB" w:eastAsia="en-GB"/>
                <w14:ligatures w14:val="none"/>
              </w:rPr>
              <w:t>All types of histology</w:t>
            </w:r>
          </w:p>
        </w:tc>
        <w:tc>
          <w:tcPr>
            <w:tcW w:w="0" w:type="auto"/>
            <w:tcBorders>
              <w:top w:val="single" w:sz="4" w:space="0" w:color="auto"/>
              <w:left w:val="nil"/>
              <w:bottom w:val="single" w:sz="4" w:space="0" w:color="auto"/>
              <w:right w:val="nil"/>
            </w:tcBorders>
            <w:shd w:val="clear" w:color="auto" w:fill="auto"/>
            <w:noWrap/>
            <w:vAlign w:val="bottom"/>
            <w:hideMark/>
          </w:tcPr>
          <w:p w14:paraId="0616D0A7" w14:textId="77777777" w:rsidR="00D07D1A" w:rsidRPr="00591676" w:rsidRDefault="00D07D1A" w:rsidP="00D07D1A">
            <w:pPr>
              <w:jc w:val="center"/>
              <w:rPr>
                <w:rFonts w:ascii="Calibri" w:eastAsia="Times New Roman" w:hAnsi="Calibri" w:cs="Calibri"/>
                <w:b/>
                <w:bCs/>
                <w:color w:val="000000"/>
                <w:kern w:val="0"/>
                <w:sz w:val="22"/>
                <w:szCs w:val="22"/>
                <w:lang w:val="en-GB" w:eastAsia="en-GB"/>
                <w14:ligatures w14:val="none"/>
              </w:rPr>
            </w:pPr>
            <w:r w:rsidRPr="00591676">
              <w:rPr>
                <w:rFonts w:ascii="Calibri" w:eastAsia="Times New Roman" w:hAnsi="Calibri" w:cs="Calibri"/>
                <w:b/>
                <w:bCs/>
                <w:color w:val="000000"/>
                <w:kern w:val="0"/>
                <w:sz w:val="22"/>
                <w:szCs w:val="22"/>
                <w:lang w:val="en-GB" w:eastAsia="en-GB"/>
                <w14:ligatures w14:val="none"/>
              </w:rPr>
              <w:t>SQ</w:t>
            </w:r>
          </w:p>
        </w:tc>
        <w:tc>
          <w:tcPr>
            <w:tcW w:w="0" w:type="auto"/>
            <w:tcBorders>
              <w:top w:val="single" w:sz="4" w:space="0" w:color="auto"/>
              <w:left w:val="nil"/>
              <w:bottom w:val="single" w:sz="4" w:space="0" w:color="auto"/>
              <w:right w:val="nil"/>
            </w:tcBorders>
            <w:shd w:val="clear" w:color="auto" w:fill="auto"/>
            <w:noWrap/>
            <w:vAlign w:val="bottom"/>
            <w:hideMark/>
          </w:tcPr>
          <w:p w14:paraId="344F4174" w14:textId="77777777" w:rsidR="00D07D1A" w:rsidRPr="00591676" w:rsidRDefault="00D07D1A" w:rsidP="00D07D1A">
            <w:pPr>
              <w:jc w:val="center"/>
              <w:rPr>
                <w:rFonts w:ascii="Calibri" w:eastAsia="Times New Roman" w:hAnsi="Calibri" w:cs="Calibri"/>
                <w:b/>
                <w:bCs/>
                <w:color w:val="000000"/>
                <w:kern w:val="0"/>
                <w:sz w:val="22"/>
                <w:szCs w:val="22"/>
                <w:lang w:val="en-GB" w:eastAsia="en-GB"/>
                <w14:ligatures w14:val="none"/>
              </w:rPr>
            </w:pPr>
            <w:r w:rsidRPr="00591676">
              <w:rPr>
                <w:rFonts w:ascii="Calibri" w:eastAsia="Times New Roman" w:hAnsi="Calibri" w:cs="Calibri"/>
                <w:b/>
                <w:bCs/>
                <w:color w:val="000000"/>
                <w:kern w:val="0"/>
                <w:sz w:val="22"/>
                <w:szCs w:val="22"/>
                <w:lang w:val="en-GB" w:eastAsia="en-GB"/>
                <w14:ligatures w14:val="none"/>
              </w:rPr>
              <w:t>NSQ</w:t>
            </w:r>
          </w:p>
        </w:tc>
        <w:tc>
          <w:tcPr>
            <w:tcW w:w="0" w:type="auto"/>
            <w:tcBorders>
              <w:top w:val="single" w:sz="4" w:space="0" w:color="auto"/>
              <w:left w:val="nil"/>
              <w:bottom w:val="single" w:sz="4" w:space="0" w:color="auto"/>
              <w:right w:val="nil"/>
            </w:tcBorders>
            <w:shd w:val="clear" w:color="auto" w:fill="auto"/>
            <w:noWrap/>
            <w:vAlign w:val="bottom"/>
            <w:hideMark/>
          </w:tcPr>
          <w:p w14:paraId="5F8ECE1D" w14:textId="77777777" w:rsidR="00D07D1A" w:rsidRPr="00591676" w:rsidRDefault="00D07D1A" w:rsidP="00D07D1A">
            <w:pPr>
              <w:jc w:val="center"/>
              <w:rPr>
                <w:rFonts w:ascii="Calibri" w:eastAsia="Times New Roman" w:hAnsi="Calibri" w:cs="Calibri"/>
                <w:b/>
                <w:bCs/>
                <w:color w:val="000000"/>
                <w:kern w:val="0"/>
                <w:sz w:val="22"/>
                <w:szCs w:val="22"/>
                <w:lang w:val="en-GB" w:eastAsia="en-GB"/>
                <w14:ligatures w14:val="none"/>
              </w:rPr>
            </w:pPr>
            <w:r w:rsidRPr="00591676">
              <w:rPr>
                <w:rFonts w:ascii="Calibri" w:eastAsia="Times New Roman" w:hAnsi="Calibri" w:cs="Calibri"/>
                <w:b/>
                <w:bCs/>
                <w:color w:val="000000"/>
                <w:kern w:val="0"/>
                <w:sz w:val="22"/>
                <w:szCs w:val="22"/>
                <w:lang w:val="en-GB" w:eastAsia="en-GB"/>
                <w14:ligatures w14:val="none"/>
              </w:rPr>
              <w:t>SQ</w:t>
            </w:r>
          </w:p>
        </w:tc>
        <w:tc>
          <w:tcPr>
            <w:tcW w:w="0" w:type="auto"/>
            <w:tcBorders>
              <w:top w:val="single" w:sz="4" w:space="0" w:color="auto"/>
              <w:left w:val="nil"/>
              <w:bottom w:val="single" w:sz="4" w:space="0" w:color="auto"/>
              <w:right w:val="nil"/>
            </w:tcBorders>
            <w:shd w:val="clear" w:color="auto" w:fill="auto"/>
            <w:noWrap/>
            <w:vAlign w:val="bottom"/>
            <w:hideMark/>
          </w:tcPr>
          <w:p w14:paraId="0486199D" w14:textId="77777777" w:rsidR="00D07D1A" w:rsidRPr="00591676" w:rsidRDefault="00D07D1A" w:rsidP="00D07D1A">
            <w:pPr>
              <w:jc w:val="center"/>
              <w:rPr>
                <w:rFonts w:ascii="Calibri" w:eastAsia="Times New Roman" w:hAnsi="Calibri" w:cs="Calibri"/>
                <w:b/>
                <w:bCs/>
                <w:color w:val="000000"/>
                <w:kern w:val="0"/>
                <w:sz w:val="22"/>
                <w:szCs w:val="22"/>
                <w:lang w:val="en-GB" w:eastAsia="en-GB"/>
                <w14:ligatures w14:val="none"/>
              </w:rPr>
            </w:pPr>
            <w:r w:rsidRPr="00591676">
              <w:rPr>
                <w:rFonts w:ascii="Calibri" w:eastAsia="Times New Roman" w:hAnsi="Calibri" w:cs="Calibri"/>
                <w:b/>
                <w:bCs/>
                <w:color w:val="000000"/>
                <w:kern w:val="0"/>
                <w:sz w:val="22"/>
                <w:szCs w:val="22"/>
                <w:lang w:val="en-GB" w:eastAsia="en-GB"/>
                <w14:ligatures w14:val="none"/>
              </w:rPr>
              <w:t>NSQ</w:t>
            </w:r>
          </w:p>
        </w:tc>
      </w:tr>
      <w:tr w:rsidR="00D07D1A" w:rsidRPr="00591676" w14:paraId="20993177" w14:textId="77777777" w:rsidTr="00D07D1A">
        <w:trPr>
          <w:trHeight w:val="320"/>
        </w:trPr>
        <w:tc>
          <w:tcPr>
            <w:tcW w:w="0" w:type="auto"/>
            <w:tcBorders>
              <w:top w:val="single" w:sz="4" w:space="0" w:color="auto"/>
              <w:left w:val="nil"/>
              <w:bottom w:val="nil"/>
              <w:right w:val="nil"/>
            </w:tcBorders>
            <w:shd w:val="clear" w:color="auto" w:fill="auto"/>
            <w:noWrap/>
            <w:vAlign w:val="bottom"/>
            <w:hideMark/>
          </w:tcPr>
          <w:p w14:paraId="0A23231B" w14:textId="77777777" w:rsidR="00D07D1A" w:rsidRPr="00591676" w:rsidRDefault="00D07D1A" w:rsidP="00D07D1A">
            <w:pPr>
              <w:rPr>
                <w:rFonts w:ascii="Calibri" w:eastAsia="Times New Roman" w:hAnsi="Calibri" w:cs="Calibri"/>
                <w:b/>
                <w:bCs/>
                <w:color w:val="000000"/>
                <w:kern w:val="0"/>
                <w:sz w:val="22"/>
                <w:szCs w:val="22"/>
                <w:lang w:val="en-GB" w:eastAsia="en-GB"/>
                <w14:ligatures w14:val="none"/>
              </w:rPr>
            </w:pPr>
            <w:r w:rsidRPr="00591676">
              <w:rPr>
                <w:rFonts w:ascii="Calibri" w:eastAsia="Times New Roman" w:hAnsi="Calibri" w:cs="Calibri"/>
                <w:b/>
                <w:bCs/>
                <w:color w:val="000000"/>
                <w:kern w:val="0"/>
                <w:sz w:val="22"/>
                <w:szCs w:val="22"/>
                <w:lang w:val="en-GB" w:eastAsia="en-GB"/>
                <w14:ligatures w14:val="none"/>
              </w:rPr>
              <w:t>Median OS</w:t>
            </w:r>
          </w:p>
        </w:tc>
        <w:tc>
          <w:tcPr>
            <w:tcW w:w="0" w:type="auto"/>
            <w:tcBorders>
              <w:top w:val="single" w:sz="4" w:space="0" w:color="auto"/>
              <w:left w:val="nil"/>
              <w:bottom w:val="nil"/>
              <w:right w:val="nil"/>
            </w:tcBorders>
            <w:shd w:val="clear" w:color="auto" w:fill="auto"/>
            <w:noWrap/>
            <w:vAlign w:val="bottom"/>
            <w:hideMark/>
          </w:tcPr>
          <w:p w14:paraId="0106741E" w14:textId="77777777" w:rsidR="00D07D1A" w:rsidRPr="00591676" w:rsidRDefault="00D07D1A" w:rsidP="00D07D1A">
            <w:pPr>
              <w:jc w:val="center"/>
              <w:rPr>
                <w:rFonts w:ascii="Calibri" w:eastAsia="Times New Roman" w:hAnsi="Calibri" w:cs="Calibri"/>
                <w:color w:val="000000"/>
                <w:kern w:val="0"/>
                <w:sz w:val="22"/>
                <w:szCs w:val="22"/>
                <w:lang w:val="en-GB" w:eastAsia="en-GB"/>
                <w14:ligatures w14:val="none"/>
              </w:rPr>
            </w:pPr>
            <w:r w:rsidRPr="00591676">
              <w:rPr>
                <w:rFonts w:ascii="Calibri" w:eastAsia="Times New Roman" w:hAnsi="Calibri" w:cs="Calibri"/>
                <w:color w:val="000000"/>
                <w:kern w:val="0"/>
                <w:sz w:val="22"/>
                <w:szCs w:val="22"/>
                <w:lang w:val="en-GB" w:eastAsia="en-GB"/>
                <w14:ligatures w14:val="none"/>
              </w:rPr>
              <w:t>17.4</w:t>
            </w:r>
          </w:p>
        </w:tc>
        <w:tc>
          <w:tcPr>
            <w:tcW w:w="0" w:type="auto"/>
            <w:tcBorders>
              <w:top w:val="single" w:sz="4" w:space="0" w:color="auto"/>
              <w:left w:val="nil"/>
              <w:bottom w:val="nil"/>
              <w:right w:val="nil"/>
            </w:tcBorders>
            <w:shd w:val="clear" w:color="auto" w:fill="auto"/>
            <w:noWrap/>
            <w:vAlign w:val="bottom"/>
            <w:hideMark/>
          </w:tcPr>
          <w:p w14:paraId="6FA143F0" w14:textId="77777777" w:rsidR="00D07D1A" w:rsidRPr="00591676" w:rsidRDefault="00D07D1A" w:rsidP="00D07D1A">
            <w:pPr>
              <w:jc w:val="center"/>
              <w:rPr>
                <w:rFonts w:ascii="Calibri" w:eastAsia="Times New Roman" w:hAnsi="Calibri" w:cs="Calibri"/>
                <w:color w:val="000000"/>
                <w:kern w:val="0"/>
                <w:sz w:val="22"/>
                <w:szCs w:val="22"/>
                <w:lang w:val="en-GB" w:eastAsia="en-GB"/>
                <w14:ligatures w14:val="none"/>
              </w:rPr>
            </w:pPr>
            <w:r w:rsidRPr="00591676">
              <w:rPr>
                <w:rFonts w:ascii="Calibri" w:eastAsia="Times New Roman" w:hAnsi="Calibri" w:cs="Calibri"/>
                <w:color w:val="000000"/>
                <w:kern w:val="0"/>
                <w:sz w:val="22"/>
                <w:szCs w:val="22"/>
                <w:lang w:val="en-GB" w:eastAsia="en-GB"/>
                <w14:ligatures w14:val="none"/>
              </w:rPr>
              <w:t>15.5</w:t>
            </w:r>
          </w:p>
        </w:tc>
        <w:tc>
          <w:tcPr>
            <w:tcW w:w="0" w:type="auto"/>
            <w:tcBorders>
              <w:top w:val="single" w:sz="4" w:space="0" w:color="auto"/>
              <w:left w:val="nil"/>
              <w:bottom w:val="nil"/>
              <w:right w:val="nil"/>
            </w:tcBorders>
            <w:shd w:val="clear" w:color="auto" w:fill="auto"/>
            <w:noWrap/>
            <w:vAlign w:val="bottom"/>
            <w:hideMark/>
          </w:tcPr>
          <w:p w14:paraId="18B8525D" w14:textId="77777777" w:rsidR="00D07D1A" w:rsidRPr="00591676" w:rsidRDefault="00D07D1A" w:rsidP="00D07D1A">
            <w:pPr>
              <w:jc w:val="center"/>
              <w:rPr>
                <w:rFonts w:ascii="Calibri" w:eastAsia="Times New Roman" w:hAnsi="Calibri" w:cs="Calibri"/>
                <w:color w:val="000000"/>
                <w:kern w:val="0"/>
                <w:sz w:val="22"/>
                <w:szCs w:val="22"/>
                <w:lang w:val="en-GB" w:eastAsia="en-GB"/>
                <w14:ligatures w14:val="none"/>
              </w:rPr>
            </w:pPr>
            <w:r w:rsidRPr="00591676">
              <w:rPr>
                <w:rFonts w:ascii="Calibri" w:eastAsia="Times New Roman" w:hAnsi="Calibri" w:cs="Calibri"/>
                <w:color w:val="000000"/>
                <w:kern w:val="0"/>
                <w:sz w:val="22"/>
                <w:szCs w:val="22"/>
                <w:lang w:val="en-GB" w:eastAsia="en-GB"/>
                <w14:ligatures w14:val="none"/>
              </w:rPr>
              <w:t>14.1</w:t>
            </w:r>
          </w:p>
        </w:tc>
        <w:tc>
          <w:tcPr>
            <w:tcW w:w="0" w:type="auto"/>
            <w:tcBorders>
              <w:top w:val="single" w:sz="4" w:space="0" w:color="auto"/>
              <w:left w:val="nil"/>
              <w:bottom w:val="nil"/>
              <w:right w:val="nil"/>
            </w:tcBorders>
            <w:shd w:val="clear" w:color="auto" w:fill="auto"/>
            <w:noWrap/>
            <w:vAlign w:val="bottom"/>
            <w:hideMark/>
          </w:tcPr>
          <w:p w14:paraId="723C88AF" w14:textId="77777777" w:rsidR="00D07D1A" w:rsidRPr="00591676" w:rsidRDefault="00D07D1A" w:rsidP="00D07D1A">
            <w:pPr>
              <w:jc w:val="center"/>
              <w:rPr>
                <w:rFonts w:ascii="Calibri" w:eastAsia="Times New Roman" w:hAnsi="Calibri" w:cs="Calibri"/>
                <w:color w:val="000000"/>
                <w:kern w:val="0"/>
                <w:sz w:val="22"/>
                <w:szCs w:val="22"/>
                <w:lang w:val="en-GB" w:eastAsia="en-GB"/>
                <w14:ligatures w14:val="none"/>
              </w:rPr>
            </w:pPr>
            <w:r w:rsidRPr="00591676">
              <w:rPr>
                <w:rFonts w:ascii="Calibri" w:eastAsia="Times New Roman" w:hAnsi="Calibri" w:cs="Calibri"/>
                <w:color w:val="000000"/>
                <w:kern w:val="0"/>
                <w:sz w:val="22"/>
                <w:szCs w:val="22"/>
                <w:lang w:val="en-GB" w:eastAsia="en-GB"/>
                <w14:ligatures w14:val="none"/>
              </w:rPr>
              <w:t>10.9</w:t>
            </w:r>
          </w:p>
        </w:tc>
        <w:tc>
          <w:tcPr>
            <w:tcW w:w="0" w:type="auto"/>
            <w:tcBorders>
              <w:top w:val="single" w:sz="4" w:space="0" w:color="auto"/>
              <w:left w:val="nil"/>
              <w:bottom w:val="nil"/>
              <w:right w:val="nil"/>
            </w:tcBorders>
            <w:shd w:val="clear" w:color="auto" w:fill="auto"/>
            <w:noWrap/>
            <w:vAlign w:val="bottom"/>
            <w:hideMark/>
          </w:tcPr>
          <w:p w14:paraId="175485AE" w14:textId="77777777" w:rsidR="00D07D1A" w:rsidRPr="00591676" w:rsidRDefault="00D07D1A" w:rsidP="00D07D1A">
            <w:pPr>
              <w:jc w:val="center"/>
              <w:rPr>
                <w:rFonts w:ascii="Calibri" w:eastAsia="Times New Roman" w:hAnsi="Calibri" w:cs="Calibri"/>
                <w:color w:val="000000"/>
                <w:kern w:val="0"/>
                <w:sz w:val="22"/>
                <w:szCs w:val="22"/>
                <w:lang w:val="en-GB" w:eastAsia="en-GB"/>
                <w14:ligatures w14:val="none"/>
              </w:rPr>
            </w:pPr>
            <w:r w:rsidRPr="00591676">
              <w:rPr>
                <w:rFonts w:ascii="Calibri" w:eastAsia="Times New Roman" w:hAnsi="Calibri" w:cs="Calibri"/>
                <w:color w:val="000000"/>
                <w:kern w:val="0"/>
                <w:sz w:val="22"/>
                <w:szCs w:val="22"/>
                <w:lang w:val="en-GB" w:eastAsia="en-GB"/>
                <w14:ligatures w14:val="none"/>
              </w:rPr>
              <w:t>11.9</w:t>
            </w:r>
          </w:p>
        </w:tc>
      </w:tr>
      <w:tr w:rsidR="00D07D1A" w:rsidRPr="00591676" w14:paraId="29DECC64" w14:textId="77777777" w:rsidTr="00D07D1A">
        <w:trPr>
          <w:trHeight w:val="320"/>
        </w:trPr>
        <w:tc>
          <w:tcPr>
            <w:tcW w:w="0" w:type="auto"/>
            <w:tcBorders>
              <w:top w:val="nil"/>
              <w:left w:val="nil"/>
              <w:right w:val="nil"/>
            </w:tcBorders>
            <w:shd w:val="clear" w:color="auto" w:fill="auto"/>
            <w:noWrap/>
            <w:vAlign w:val="bottom"/>
            <w:hideMark/>
          </w:tcPr>
          <w:p w14:paraId="300B601F" w14:textId="77777777" w:rsidR="00D07D1A" w:rsidRPr="00591676" w:rsidRDefault="00D07D1A" w:rsidP="00D07D1A">
            <w:pPr>
              <w:rPr>
                <w:rFonts w:ascii="Calibri" w:eastAsia="Times New Roman" w:hAnsi="Calibri" w:cs="Calibri"/>
                <w:b/>
                <w:bCs/>
                <w:color w:val="000000"/>
                <w:kern w:val="0"/>
                <w:sz w:val="22"/>
                <w:szCs w:val="22"/>
                <w:lang w:val="en-GB" w:eastAsia="en-GB"/>
                <w14:ligatures w14:val="none"/>
              </w:rPr>
            </w:pPr>
            <w:r w:rsidRPr="00591676">
              <w:rPr>
                <w:rFonts w:ascii="Calibri" w:eastAsia="Times New Roman" w:hAnsi="Calibri" w:cs="Calibri"/>
                <w:b/>
                <w:bCs/>
                <w:color w:val="000000"/>
                <w:kern w:val="0"/>
                <w:sz w:val="22"/>
                <w:szCs w:val="22"/>
                <w:lang w:val="en-GB" w:eastAsia="en-GB"/>
                <w14:ligatures w14:val="none"/>
              </w:rPr>
              <w:t>1-year survival</w:t>
            </w:r>
          </w:p>
        </w:tc>
        <w:tc>
          <w:tcPr>
            <w:tcW w:w="0" w:type="auto"/>
            <w:tcBorders>
              <w:top w:val="nil"/>
              <w:left w:val="nil"/>
              <w:right w:val="nil"/>
            </w:tcBorders>
            <w:shd w:val="clear" w:color="auto" w:fill="auto"/>
            <w:noWrap/>
            <w:vAlign w:val="bottom"/>
            <w:hideMark/>
          </w:tcPr>
          <w:p w14:paraId="3F736073" w14:textId="77777777" w:rsidR="00D07D1A" w:rsidRPr="00591676" w:rsidRDefault="00D07D1A" w:rsidP="00D07D1A">
            <w:pPr>
              <w:jc w:val="center"/>
              <w:rPr>
                <w:rFonts w:ascii="Calibri" w:eastAsia="Times New Roman" w:hAnsi="Calibri" w:cs="Calibri"/>
                <w:color w:val="000000"/>
                <w:kern w:val="0"/>
                <w:sz w:val="22"/>
                <w:szCs w:val="22"/>
                <w:lang w:val="en-GB" w:eastAsia="en-GB"/>
                <w14:ligatures w14:val="none"/>
              </w:rPr>
            </w:pPr>
            <w:r w:rsidRPr="00591676">
              <w:rPr>
                <w:rFonts w:ascii="Calibri" w:eastAsia="Times New Roman" w:hAnsi="Calibri" w:cs="Calibri"/>
                <w:color w:val="000000"/>
                <w:kern w:val="0"/>
                <w:sz w:val="22"/>
                <w:szCs w:val="22"/>
                <w:lang w:val="en-GB" w:eastAsia="en-GB"/>
                <w14:ligatures w14:val="none"/>
              </w:rPr>
              <w:t>59.0%</w:t>
            </w:r>
          </w:p>
        </w:tc>
        <w:tc>
          <w:tcPr>
            <w:tcW w:w="0" w:type="auto"/>
            <w:tcBorders>
              <w:top w:val="nil"/>
              <w:left w:val="nil"/>
              <w:right w:val="nil"/>
            </w:tcBorders>
            <w:shd w:val="clear" w:color="auto" w:fill="auto"/>
            <w:noWrap/>
            <w:vAlign w:val="bottom"/>
            <w:hideMark/>
          </w:tcPr>
          <w:p w14:paraId="4847F7CA" w14:textId="77777777" w:rsidR="00D07D1A" w:rsidRPr="00591676" w:rsidRDefault="00D07D1A" w:rsidP="00D07D1A">
            <w:pPr>
              <w:jc w:val="center"/>
              <w:rPr>
                <w:rFonts w:ascii="Calibri" w:eastAsia="Times New Roman" w:hAnsi="Calibri" w:cs="Calibri"/>
                <w:color w:val="000000"/>
                <w:kern w:val="0"/>
                <w:sz w:val="22"/>
                <w:szCs w:val="22"/>
                <w:lang w:val="en-GB" w:eastAsia="en-GB"/>
                <w14:ligatures w14:val="none"/>
              </w:rPr>
            </w:pPr>
            <w:r w:rsidRPr="00591676">
              <w:rPr>
                <w:rFonts w:ascii="Calibri" w:eastAsia="Times New Roman" w:hAnsi="Calibri" w:cs="Calibri"/>
                <w:color w:val="000000"/>
                <w:kern w:val="0"/>
                <w:sz w:val="22"/>
                <w:szCs w:val="22"/>
                <w:lang w:val="en-GB" w:eastAsia="en-GB"/>
                <w14:ligatures w14:val="none"/>
              </w:rPr>
              <w:t>58.2%</w:t>
            </w:r>
          </w:p>
        </w:tc>
        <w:tc>
          <w:tcPr>
            <w:tcW w:w="0" w:type="auto"/>
            <w:tcBorders>
              <w:top w:val="nil"/>
              <w:left w:val="nil"/>
              <w:right w:val="nil"/>
            </w:tcBorders>
            <w:shd w:val="clear" w:color="auto" w:fill="auto"/>
            <w:noWrap/>
            <w:vAlign w:val="bottom"/>
            <w:hideMark/>
          </w:tcPr>
          <w:p w14:paraId="0BF9DC53" w14:textId="77777777" w:rsidR="00D07D1A" w:rsidRPr="00591676" w:rsidRDefault="00D07D1A" w:rsidP="00D07D1A">
            <w:pPr>
              <w:jc w:val="center"/>
              <w:rPr>
                <w:rFonts w:ascii="Calibri" w:eastAsia="Times New Roman" w:hAnsi="Calibri" w:cs="Calibri"/>
                <w:color w:val="000000"/>
                <w:kern w:val="0"/>
                <w:sz w:val="22"/>
                <w:szCs w:val="22"/>
                <w:lang w:val="en-GB" w:eastAsia="en-GB"/>
                <w14:ligatures w14:val="none"/>
              </w:rPr>
            </w:pPr>
            <w:r w:rsidRPr="00591676">
              <w:rPr>
                <w:rFonts w:ascii="Calibri" w:eastAsia="Times New Roman" w:hAnsi="Calibri" w:cs="Calibri"/>
                <w:color w:val="000000"/>
                <w:kern w:val="0"/>
                <w:sz w:val="22"/>
                <w:szCs w:val="22"/>
                <w:lang w:val="en-GB" w:eastAsia="en-GB"/>
                <w14:ligatures w14:val="none"/>
              </w:rPr>
              <w:t>54.8%</w:t>
            </w:r>
          </w:p>
        </w:tc>
        <w:tc>
          <w:tcPr>
            <w:tcW w:w="0" w:type="auto"/>
            <w:tcBorders>
              <w:top w:val="nil"/>
              <w:left w:val="nil"/>
              <w:right w:val="nil"/>
            </w:tcBorders>
            <w:shd w:val="clear" w:color="auto" w:fill="auto"/>
            <w:noWrap/>
            <w:vAlign w:val="bottom"/>
            <w:hideMark/>
          </w:tcPr>
          <w:p w14:paraId="0B860AC3" w14:textId="77777777" w:rsidR="00D07D1A" w:rsidRPr="00591676" w:rsidRDefault="00D07D1A" w:rsidP="00D07D1A">
            <w:pPr>
              <w:jc w:val="center"/>
              <w:rPr>
                <w:rFonts w:ascii="Calibri" w:eastAsia="Times New Roman" w:hAnsi="Calibri" w:cs="Calibri"/>
                <w:color w:val="000000"/>
                <w:kern w:val="0"/>
                <w:sz w:val="22"/>
                <w:szCs w:val="22"/>
                <w:lang w:val="en-GB" w:eastAsia="en-GB"/>
                <w14:ligatures w14:val="none"/>
              </w:rPr>
            </w:pPr>
            <w:r w:rsidRPr="00591676">
              <w:rPr>
                <w:rFonts w:ascii="Calibri" w:eastAsia="Times New Roman" w:hAnsi="Calibri" w:cs="Calibri"/>
                <w:color w:val="000000"/>
                <w:kern w:val="0"/>
                <w:sz w:val="22"/>
                <w:szCs w:val="22"/>
                <w:lang w:val="en-GB" w:eastAsia="en-GB"/>
                <w14:ligatures w14:val="none"/>
              </w:rPr>
              <w:t>47.3%</w:t>
            </w:r>
          </w:p>
        </w:tc>
        <w:tc>
          <w:tcPr>
            <w:tcW w:w="0" w:type="auto"/>
            <w:tcBorders>
              <w:top w:val="nil"/>
              <w:left w:val="nil"/>
              <w:right w:val="nil"/>
            </w:tcBorders>
            <w:shd w:val="clear" w:color="auto" w:fill="auto"/>
            <w:noWrap/>
            <w:vAlign w:val="bottom"/>
            <w:hideMark/>
          </w:tcPr>
          <w:p w14:paraId="30578D91" w14:textId="77777777" w:rsidR="00D07D1A" w:rsidRPr="00591676" w:rsidRDefault="00D07D1A" w:rsidP="00D07D1A">
            <w:pPr>
              <w:jc w:val="center"/>
              <w:rPr>
                <w:rFonts w:ascii="Calibri" w:eastAsia="Times New Roman" w:hAnsi="Calibri" w:cs="Calibri"/>
                <w:color w:val="000000"/>
                <w:kern w:val="0"/>
                <w:sz w:val="22"/>
                <w:szCs w:val="22"/>
                <w:lang w:val="en-GB" w:eastAsia="en-GB"/>
                <w14:ligatures w14:val="none"/>
              </w:rPr>
            </w:pPr>
            <w:r w:rsidRPr="00591676">
              <w:rPr>
                <w:rFonts w:ascii="Calibri" w:eastAsia="Times New Roman" w:hAnsi="Calibri" w:cs="Calibri"/>
                <w:color w:val="000000"/>
                <w:kern w:val="0"/>
                <w:sz w:val="22"/>
                <w:szCs w:val="22"/>
                <w:lang w:val="en-GB" w:eastAsia="en-GB"/>
                <w14:ligatures w14:val="none"/>
              </w:rPr>
              <w:t>49.7%</w:t>
            </w:r>
          </w:p>
        </w:tc>
      </w:tr>
      <w:tr w:rsidR="00D07D1A" w:rsidRPr="00591676" w14:paraId="0AB7A364" w14:textId="77777777" w:rsidTr="00D07D1A">
        <w:trPr>
          <w:trHeight w:val="320"/>
        </w:trPr>
        <w:tc>
          <w:tcPr>
            <w:tcW w:w="0" w:type="auto"/>
            <w:tcBorders>
              <w:top w:val="nil"/>
              <w:left w:val="nil"/>
              <w:bottom w:val="single" w:sz="4" w:space="0" w:color="auto"/>
              <w:right w:val="nil"/>
            </w:tcBorders>
            <w:shd w:val="clear" w:color="auto" w:fill="auto"/>
            <w:noWrap/>
            <w:vAlign w:val="bottom"/>
            <w:hideMark/>
          </w:tcPr>
          <w:p w14:paraId="6353F490" w14:textId="77777777" w:rsidR="00D07D1A" w:rsidRPr="00591676" w:rsidRDefault="00D07D1A" w:rsidP="00D07D1A">
            <w:pPr>
              <w:rPr>
                <w:rFonts w:ascii="Calibri" w:eastAsia="Times New Roman" w:hAnsi="Calibri" w:cs="Calibri"/>
                <w:b/>
                <w:bCs/>
                <w:color w:val="000000"/>
                <w:kern w:val="0"/>
                <w:sz w:val="22"/>
                <w:szCs w:val="22"/>
                <w:lang w:val="en-GB" w:eastAsia="en-GB"/>
                <w14:ligatures w14:val="none"/>
              </w:rPr>
            </w:pPr>
            <w:r w:rsidRPr="00591676">
              <w:rPr>
                <w:rFonts w:ascii="Calibri" w:eastAsia="Times New Roman" w:hAnsi="Calibri" w:cs="Calibri"/>
                <w:b/>
                <w:bCs/>
                <w:color w:val="000000"/>
                <w:kern w:val="0"/>
                <w:sz w:val="22"/>
                <w:szCs w:val="22"/>
                <w:lang w:val="en-GB" w:eastAsia="en-GB"/>
                <w14:ligatures w14:val="none"/>
              </w:rPr>
              <w:t xml:space="preserve">2-year survival </w:t>
            </w:r>
          </w:p>
        </w:tc>
        <w:tc>
          <w:tcPr>
            <w:tcW w:w="0" w:type="auto"/>
            <w:tcBorders>
              <w:top w:val="nil"/>
              <w:left w:val="nil"/>
              <w:bottom w:val="single" w:sz="4" w:space="0" w:color="auto"/>
              <w:right w:val="nil"/>
            </w:tcBorders>
            <w:shd w:val="clear" w:color="auto" w:fill="auto"/>
            <w:noWrap/>
            <w:vAlign w:val="bottom"/>
            <w:hideMark/>
          </w:tcPr>
          <w:p w14:paraId="26DA2928" w14:textId="77777777" w:rsidR="00D07D1A" w:rsidRPr="00591676" w:rsidRDefault="00D07D1A" w:rsidP="00D07D1A">
            <w:pPr>
              <w:jc w:val="center"/>
              <w:rPr>
                <w:rFonts w:ascii="Calibri" w:eastAsia="Times New Roman" w:hAnsi="Calibri" w:cs="Calibri"/>
                <w:color w:val="000000"/>
                <w:kern w:val="0"/>
                <w:sz w:val="22"/>
                <w:szCs w:val="22"/>
                <w:lang w:val="en-GB" w:eastAsia="en-GB"/>
                <w14:ligatures w14:val="none"/>
              </w:rPr>
            </w:pPr>
            <w:r w:rsidRPr="00591676">
              <w:rPr>
                <w:rFonts w:ascii="Calibri" w:eastAsia="Times New Roman" w:hAnsi="Calibri" w:cs="Calibri"/>
                <w:color w:val="000000"/>
                <w:kern w:val="0"/>
                <w:sz w:val="22"/>
                <w:szCs w:val="22"/>
                <w:lang w:val="en-GB" w:eastAsia="en-GB"/>
                <w14:ligatures w14:val="none"/>
              </w:rPr>
              <w:t>25.9%</w:t>
            </w:r>
          </w:p>
        </w:tc>
        <w:tc>
          <w:tcPr>
            <w:tcW w:w="0" w:type="auto"/>
            <w:tcBorders>
              <w:top w:val="nil"/>
              <w:left w:val="nil"/>
              <w:bottom w:val="single" w:sz="4" w:space="0" w:color="auto"/>
              <w:right w:val="nil"/>
            </w:tcBorders>
            <w:shd w:val="clear" w:color="auto" w:fill="auto"/>
            <w:noWrap/>
            <w:vAlign w:val="bottom"/>
            <w:hideMark/>
          </w:tcPr>
          <w:p w14:paraId="1A69AC24" w14:textId="77777777" w:rsidR="00D07D1A" w:rsidRPr="00591676" w:rsidRDefault="00D07D1A" w:rsidP="00D07D1A">
            <w:pPr>
              <w:jc w:val="center"/>
              <w:rPr>
                <w:rFonts w:ascii="Calibri" w:eastAsia="Times New Roman" w:hAnsi="Calibri" w:cs="Calibri"/>
                <w:color w:val="000000"/>
                <w:kern w:val="0"/>
                <w:sz w:val="22"/>
                <w:szCs w:val="22"/>
                <w:lang w:val="en-GB" w:eastAsia="en-GB"/>
                <w14:ligatures w14:val="none"/>
              </w:rPr>
            </w:pPr>
            <w:r w:rsidRPr="00591676">
              <w:rPr>
                <w:rFonts w:ascii="Calibri" w:eastAsia="Times New Roman" w:hAnsi="Calibri" w:cs="Calibri"/>
                <w:color w:val="000000"/>
                <w:kern w:val="0"/>
                <w:sz w:val="22"/>
                <w:szCs w:val="22"/>
                <w:lang w:val="en-GB" w:eastAsia="en-GB"/>
                <w14:ligatures w14:val="none"/>
              </w:rPr>
              <w:t>36.8%</w:t>
            </w:r>
          </w:p>
        </w:tc>
        <w:tc>
          <w:tcPr>
            <w:tcW w:w="0" w:type="auto"/>
            <w:tcBorders>
              <w:top w:val="nil"/>
              <w:left w:val="nil"/>
              <w:bottom w:val="single" w:sz="4" w:space="0" w:color="auto"/>
              <w:right w:val="nil"/>
            </w:tcBorders>
            <w:shd w:val="clear" w:color="auto" w:fill="auto"/>
            <w:noWrap/>
            <w:vAlign w:val="bottom"/>
            <w:hideMark/>
          </w:tcPr>
          <w:p w14:paraId="62FD94ED" w14:textId="77777777" w:rsidR="00D07D1A" w:rsidRPr="00591676" w:rsidRDefault="00D07D1A" w:rsidP="00D07D1A">
            <w:pPr>
              <w:jc w:val="center"/>
              <w:rPr>
                <w:rFonts w:ascii="Calibri" w:eastAsia="Times New Roman" w:hAnsi="Calibri" w:cs="Calibri"/>
                <w:color w:val="000000"/>
                <w:kern w:val="0"/>
                <w:sz w:val="22"/>
                <w:szCs w:val="22"/>
                <w:lang w:val="en-GB" w:eastAsia="en-GB"/>
                <w14:ligatures w14:val="none"/>
              </w:rPr>
            </w:pPr>
            <w:r w:rsidRPr="00591676">
              <w:rPr>
                <w:rFonts w:ascii="Calibri" w:eastAsia="Times New Roman" w:hAnsi="Calibri" w:cs="Calibri"/>
                <w:color w:val="000000"/>
                <w:kern w:val="0"/>
                <w:sz w:val="22"/>
                <w:szCs w:val="22"/>
                <w:lang w:val="en-GB" w:eastAsia="en-GB"/>
                <w14:ligatures w14:val="none"/>
              </w:rPr>
              <w:t>36.5%</w:t>
            </w:r>
          </w:p>
        </w:tc>
        <w:tc>
          <w:tcPr>
            <w:tcW w:w="0" w:type="auto"/>
            <w:tcBorders>
              <w:top w:val="nil"/>
              <w:left w:val="nil"/>
              <w:bottom w:val="single" w:sz="4" w:space="0" w:color="auto"/>
              <w:right w:val="nil"/>
            </w:tcBorders>
            <w:shd w:val="clear" w:color="auto" w:fill="auto"/>
            <w:noWrap/>
            <w:vAlign w:val="bottom"/>
            <w:hideMark/>
          </w:tcPr>
          <w:p w14:paraId="35473C9D" w14:textId="77777777" w:rsidR="00D07D1A" w:rsidRPr="00591676" w:rsidRDefault="00D07D1A" w:rsidP="00D07D1A">
            <w:pPr>
              <w:jc w:val="center"/>
              <w:rPr>
                <w:rFonts w:ascii="Calibri" w:eastAsia="Times New Roman" w:hAnsi="Calibri" w:cs="Calibri"/>
                <w:color w:val="000000"/>
                <w:kern w:val="0"/>
                <w:sz w:val="22"/>
                <w:szCs w:val="22"/>
                <w:lang w:val="en-GB" w:eastAsia="en-GB"/>
                <w14:ligatures w14:val="none"/>
              </w:rPr>
            </w:pPr>
            <w:r w:rsidRPr="00591676">
              <w:rPr>
                <w:rFonts w:ascii="Calibri" w:eastAsia="Times New Roman" w:hAnsi="Calibri" w:cs="Calibri"/>
                <w:color w:val="000000"/>
                <w:kern w:val="0"/>
                <w:sz w:val="22"/>
                <w:szCs w:val="22"/>
                <w:lang w:val="en-GB" w:eastAsia="en-GB"/>
                <w14:ligatures w14:val="none"/>
              </w:rPr>
              <w:t>25.6%</w:t>
            </w:r>
          </w:p>
        </w:tc>
        <w:tc>
          <w:tcPr>
            <w:tcW w:w="0" w:type="auto"/>
            <w:tcBorders>
              <w:top w:val="nil"/>
              <w:left w:val="nil"/>
              <w:bottom w:val="single" w:sz="4" w:space="0" w:color="auto"/>
              <w:right w:val="nil"/>
            </w:tcBorders>
            <w:shd w:val="clear" w:color="auto" w:fill="auto"/>
            <w:noWrap/>
            <w:vAlign w:val="bottom"/>
            <w:hideMark/>
          </w:tcPr>
          <w:p w14:paraId="08ED17D3" w14:textId="77777777" w:rsidR="00D07D1A" w:rsidRPr="00591676" w:rsidRDefault="00D07D1A" w:rsidP="00D07D1A">
            <w:pPr>
              <w:jc w:val="center"/>
              <w:rPr>
                <w:rFonts w:ascii="Calibri" w:eastAsia="Times New Roman" w:hAnsi="Calibri" w:cs="Calibri"/>
                <w:color w:val="000000"/>
                <w:kern w:val="0"/>
                <w:sz w:val="22"/>
                <w:szCs w:val="22"/>
                <w:lang w:val="en-GB" w:eastAsia="en-GB"/>
                <w14:ligatures w14:val="none"/>
              </w:rPr>
            </w:pPr>
            <w:r w:rsidRPr="00591676">
              <w:rPr>
                <w:rFonts w:ascii="Calibri" w:eastAsia="Times New Roman" w:hAnsi="Calibri" w:cs="Calibri"/>
                <w:color w:val="000000"/>
                <w:kern w:val="0"/>
                <w:sz w:val="22"/>
                <w:szCs w:val="22"/>
                <w:lang w:val="en-GB" w:eastAsia="en-GB"/>
                <w14:ligatures w14:val="none"/>
              </w:rPr>
              <w:t>30.8%</w:t>
            </w:r>
          </w:p>
        </w:tc>
      </w:tr>
      <w:tr w:rsidR="00D07D1A" w:rsidRPr="00591676" w14:paraId="24F8C030" w14:textId="77777777" w:rsidTr="00712CB3">
        <w:trPr>
          <w:trHeight w:val="320"/>
        </w:trPr>
        <w:tc>
          <w:tcPr>
            <w:tcW w:w="0" w:type="auto"/>
            <w:gridSpan w:val="6"/>
            <w:tcBorders>
              <w:top w:val="single" w:sz="4" w:space="0" w:color="auto"/>
              <w:left w:val="nil"/>
              <w:right w:val="nil"/>
            </w:tcBorders>
            <w:shd w:val="clear" w:color="auto" w:fill="auto"/>
            <w:noWrap/>
            <w:vAlign w:val="bottom"/>
          </w:tcPr>
          <w:p w14:paraId="32092C64" w14:textId="2C46738A" w:rsidR="00D07D1A" w:rsidRPr="00591676" w:rsidRDefault="00D07D1A" w:rsidP="00D07D1A">
            <w:pPr>
              <w:rPr>
                <w:rFonts w:ascii="Calibri" w:eastAsia="Times New Roman" w:hAnsi="Calibri" w:cs="Calibri"/>
                <w:color w:val="000000"/>
                <w:kern w:val="0"/>
                <w:sz w:val="22"/>
                <w:szCs w:val="22"/>
                <w:lang w:val="en-GB" w:eastAsia="en-GB"/>
                <w14:ligatures w14:val="none"/>
              </w:rPr>
            </w:pPr>
            <w:r w:rsidRPr="00591676">
              <w:rPr>
                <w:rFonts w:ascii="Calibri" w:eastAsia="Times New Roman" w:hAnsi="Calibri" w:cs="Calibri"/>
                <w:color w:val="000000"/>
                <w:kern w:val="0"/>
                <w:sz w:val="16"/>
                <w:szCs w:val="16"/>
                <w:lang w:val="en-GB" w:eastAsia="en-GB"/>
                <w14:ligatures w14:val="none"/>
              </w:rPr>
              <w:t>SQ=Squamous cell carcinoma; NSQ=</w:t>
            </w:r>
            <w:proofErr w:type="gramStart"/>
            <w:r w:rsidR="00205A56" w:rsidRPr="00591676">
              <w:rPr>
                <w:rFonts w:ascii="Calibri" w:eastAsia="Times New Roman" w:hAnsi="Calibri" w:cs="Calibri"/>
                <w:color w:val="000000"/>
                <w:kern w:val="0"/>
                <w:sz w:val="16"/>
                <w:szCs w:val="16"/>
                <w:lang w:val="en-GB" w:eastAsia="en-GB"/>
                <w14:ligatures w14:val="none"/>
              </w:rPr>
              <w:t>Non-squamous</w:t>
            </w:r>
            <w:proofErr w:type="gramEnd"/>
            <w:r w:rsidRPr="00591676">
              <w:rPr>
                <w:rFonts w:ascii="Calibri" w:eastAsia="Times New Roman" w:hAnsi="Calibri" w:cs="Calibri"/>
                <w:color w:val="000000"/>
                <w:kern w:val="0"/>
                <w:sz w:val="16"/>
                <w:szCs w:val="16"/>
                <w:lang w:val="en-GB" w:eastAsia="en-GB"/>
                <w14:ligatures w14:val="none"/>
              </w:rPr>
              <w:t xml:space="preserve"> cell carcinoma</w:t>
            </w:r>
          </w:p>
        </w:tc>
      </w:tr>
    </w:tbl>
    <w:p w14:paraId="16E1E9FC" w14:textId="77777777" w:rsidR="006A4586" w:rsidRPr="005200AB" w:rsidRDefault="006A4586">
      <w:pPr>
        <w:rPr>
          <w:rFonts w:ascii="Calibri" w:hAnsi="Calibri" w:cs="Calibri"/>
        </w:rPr>
      </w:pPr>
    </w:p>
    <w:p w14:paraId="13632D7B" w14:textId="77777777" w:rsidR="006A4586" w:rsidRDefault="006A4586" w:rsidP="005200AB"/>
    <w:p w14:paraId="6E7E19F6" w14:textId="77777777" w:rsidR="008E08D3" w:rsidRPr="008E08D3" w:rsidRDefault="008E08D3" w:rsidP="008E08D3"/>
    <w:p w14:paraId="604BA1D3" w14:textId="77777777" w:rsidR="008E08D3" w:rsidRPr="008E08D3" w:rsidRDefault="008E08D3" w:rsidP="008E08D3"/>
    <w:p w14:paraId="290CFE21" w14:textId="77777777" w:rsidR="008E08D3" w:rsidRPr="008E08D3" w:rsidRDefault="008E08D3" w:rsidP="008E08D3"/>
    <w:p w14:paraId="68C10C39" w14:textId="77777777" w:rsidR="008E08D3" w:rsidRPr="008E08D3" w:rsidRDefault="008E08D3" w:rsidP="008E08D3"/>
    <w:p w14:paraId="58A0875B" w14:textId="77777777" w:rsidR="008E08D3" w:rsidRPr="008E08D3" w:rsidRDefault="008E08D3" w:rsidP="008E08D3"/>
    <w:p w14:paraId="38E4E672" w14:textId="77777777" w:rsidR="008E08D3" w:rsidRPr="008E08D3" w:rsidRDefault="008E08D3" w:rsidP="008E08D3"/>
    <w:p w14:paraId="29BD7AE0" w14:textId="77777777" w:rsidR="008E08D3" w:rsidRPr="008E08D3" w:rsidRDefault="008E08D3" w:rsidP="008E08D3"/>
    <w:p w14:paraId="5C850059" w14:textId="77777777" w:rsidR="008E08D3" w:rsidRDefault="008E08D3" w:rsidP="008E08D3"/>
    <w:p w14:paraId="581EDCA7" w14:textId="113EFC86" w:rsidR="009637FA" w:rsidRPr="009637FA" w:rsidRDefault="008E08D3" w:rsidP="009637FA">
      <w:pPr>
        <w:widowControl w:val="0"/>
        <w:autoSpaceDE w:val="0"/>
        <w:autoSpaceDN w:val="0"/>
        <w:adjustRightInd w:val="0"/>
        <w:ind w:left="640" w:hanging="640"/>
        <w:rPr>
          <w:rFonts w:ascii="Calibri" w:hAnsi="Calibri" w:cs="Calibri"/>
          <w:sz w:val="22"/>
          <w:szCs w:val="22"/>
        </w:rPr>
      </w:pPr>
      <w:r w:rsidRPr="009637FA">
        <w:rPr>
          <w:rFonts w:ascii="Calibri" w:hAnsi="Calibri" w:cs="Calibri"/>
          <w:sz w:val="22"/>
          <w:szCs w:val="22"/>
        </w:rPr>
        <w:fldChar w:fldCharType="begin" w:fldLock="1"/>
      </w:r>
      <w:r w:rsidRPr="009637FA">
        <w:rPr>
          <w:rFonts w:ascii="Calibri" w:hAnsi="Calibri" w:cs="Calibri"/>
          <w:sz w:val="22"/>
          <w:szCs w:val="22"/>
        </w:rPr>
        <w:instrText xml:space="preserve">ADDIN Mendeley Bibliography CSL_BIBLIOGRAPHY </w:instrText>
      </w:r>
      <w:r w:rsidRPr="009637FA">
        <w:rPr>
          <w:rFonts w:ascii="Calibri" w:hAnsi="Calibri" w:cs="Calibri"/>
          <w:sz w:val="22"/>
          <w:szCs w:val="22"/>
        </w:rPr>
        <w:fldChar w:fldCharType="separate"/>
      </w:r>
      <w:r w:rsidR="009637FA" w:rsidRPr="009637FA">
        <w:rPr>
          <w:rFonts w:ascii="Calibri" w:hAnsi="Calibri" w:cs="Calibri"/>
          <w:sz w:val="22"/>
          <w:szCs w:val="22"/>
        </w:rPr>
        <w:t>[1]</w:t>
      </w:r>
      <w:r w:rsidR="009637FA" w:rsidRPr="009637FA">
        <w:rPr>
          <w:rFonts w:ascii="Calibri" w:hAnsi="Calibri" w:cs="Calibri"/>
          <w:sz w:val="22"/>
          <w:szCs w:val="22"/>
        </w:rPr>
        <w:tab/>
        <w:t>Griesinger F, Pérol M, Girard N, Durand-Zaleski I, Zacharias S, Bosquet L, et al. Impact of immune checkpoint inhibitors on the management of locally advanced or metastatic non-small cell lung cancer in real-life practice in patients initiating treatment between 2015 and 2018 in France and Germany. Lung Cancer 2022;172:65–74. https://doi.org/10.1016/j.lungcan.2022.08.001.</w:t>
      </w:r>
    </w:p>
    <w:p w14:paraId="30A765AB" w14:textId="3303CD42" w:rsidR="008E08D3" w:rsidRPr="008E08D3" w:rsidRDefault="008E08D3" w:rsidP="009637FA">
      <w:pPr>
        <w:widowControl w:val="0"/>
        <w:autoSpaceDE w:val="0"/>
        <w:autoSpaceDN w:val="0"/>
        <w:adjustRightInd w:val="0"/>
      </w:pPr>
      <w:r w:rsidRPr="009637FA">
        <w:rPr>
          <w:rFonts w:ascii="Calibri" w:hAnsi="Calibri" w:cs="Calibri"/>
          <w:sz w:val="22"/>
          <w:szCs w:val="22"/>
        </w:rPr>
        <w:fldChar w:fldCharType="end"/>
      </w:r>
    </w:p>
    <w:sectPr w:rsidR="008E08D3" w:rsidRPr="008E08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96E"/>
    <w:rsid w:val="0017096E"/>
    <w:rsid w:val="001E65FC"/>
    <w:rsid w:val="00204F88"/>
    <w:rsid w:val="00205A56"/>
    <w:rsid w:val="002D0226"/>
    <w:rsid w:val="0043226F"/>
    <w:rsid w:val="004A1301"/>
    <w:rsid w:val="004A6351"/>
    <w:rsid w:val="005200AB"/>
    <w:rsid w:val="005366CD"/>
    <w:rsid w:val="00591676"/>
    <w:rsid w:val="00635A0C"/>
    <w:rsid w:val="006A4586"/>
    <w:rsid w:val="007601FB"/>
    <w:rsid w:val="00824AC7"/>
    <w:rsid w:val="0084075C"/>
    <w:rsid w:val="008A4721"/>
    <w:rsid w:val="008E08D3"/>
    <w:rsid w:val="009637FA"/>
    <w:rsid w:val="00980559"/>
    <w:rsid w:val="00A234A1"/>
    <w:rsid w:val="00B91EB2"/>
    <w:rsid w:val="00D07D1A"/>
    <w:rsid w:val="00DC59AD"/>
    <w:rsid w:val="00E5105F"/>
    <w:rsid w:val="00F8788E"/>
    <w:rsid w:val="00FA16D7"/>
    <w:rsid w:val="00FA47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FDBCA"/>
  <w15:chartTrackingRefBased/>
  <w15:docId w15:val="{F5AA476E-7216-9D47-A697-F118A08F9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1709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09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09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09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09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096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096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096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096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96E"/>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17096E"/>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17096E"/>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17096E"/>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17096E"/>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17096E"/>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17096E"/>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17096E"/>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17096E"/>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17096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096E"/>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17096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096E"/>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17096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7096E"/>
    <w:rPr>
      <w:i/>
      <w:iCs/>
      <w:color w:val="404040" w:themeColor="text1" w:themeTint="BF"/>
      <w:lang w:val="en-US"/>
    </w:rPr>
  </w:style>
  <w:style w:type="paragraph" w:styleId="ListParagraph">
    <w:name w:val="List Paragraph"/>
    <w:basedOn w:val="Normal"/>
    <w:uiPriority w:val="34"/>
    <w:qFormat/>
    <w:rsid w:val="0017096E"/>
    <w:pPr>
      <w:ind w:left="720"/>
      <w:contextualSpacing/>
    </w:pPr>
  </w:style>
  <w:style w:type="character" w:styleId="IntenseEmphasis">
    <w:name w:val="Intense Emphasis"/>
    <w:basedOn w:val="DefaultParagraphFont"/>
    <w:uiPriority w:val="21"/>
    <w:qFormat/>
    <w:rsid w:val="0017096E"/>
    <w:rPr>
      <w:i/>
      <w:iCs/>
      <w:color w:val="0F4761" w:themeColor="accent1" w:themeShade="BF"/>
    </w:rPr>
  </w:style>
  <w:style w:type="paragraph" w:styleId="IntenseQuote">
    <w:name w:val="Intense Quote"/>
    <w:basedOn w:val="Normal"/>
    <w:next w:val="Normal"/>
    <w:link w:val="IntenseQuoteChar"/>
    <w:uiPriority w:val="30"/>
    <w:qFormat/>
    <w:rsid w:val="001709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096E"/>
    <w:rPr>
      <w:i/>
      <w:iCs/>
      <w:color w:val="0F4761" w:themeColor="accent1" w:themeShade="BF"/>
      <w:lang w:val="en-US"/>
    </w:rPr>
  </w:style>
  <w:style w:type="character" w:styleId="IntenseReference">
    <w:name w:val="Intense Reference"/>
    <w:basedOn w:val="DefaultParagraphFont"/>
    <w:uiPriority w:val="32"/>
    <w:qFormat/>
    <w:rsid w:val="001709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4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ACEC7-41F2-9B41-9BEC-3F42F341A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957</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Suazo Zepeda, E (epi)</dc:creator>
  <cp:keywords/>
  <dc:description/>
  <cp:lastModifiedBy>Suazo Zepeda, E (epi)</cp:lastModifiedBy>
  <cp:revision>6</cp:revision>
  <dcterms:created xsi:type="dcterms:W3CDTF">2024-01-19T13:04:00Z</dcterms:created>
  <dcterms:modified xsi:type="dcterms:W3CDTF">2024-01-25T13:30:00Z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24de0761-e21f-308f-b983-7fd2d3abb86f</vt:lpwstr>
  </property>
  <property fmtid="{D5CDD505-2E9C-101B-9397-08002B2CF9AE}" pid="4" name="Mendeley Citation Style_1">
    <vt:lpwstr>http://www.zotero.org/styles/cancer-treatment-reviews</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http://www.zotero.org/styles/cancer-treatment-reviews</vt:lpwstr>
  </property>
  <property fmtid="{D5CDD505-2E9C-101B-9397-08002B2CF9AE}" pid="12" name="Mendeley Recent Style Name 3_1">
    <vt:lpwstr>Cancer Treatment Reviews</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