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after="156" w:afterLines="50" w:line="440" w:lineRule="exact"/>
        <w:jc w:val="center"/>
        <w:textAlignment w:val="auto"/>
        <w:outlineLvl w:val="1"/>
        <w:rPr>
          <w:rFonts w:hint="default" w:ascii="Times New Roman" w:hAnsi="Times New Roman" w:cs="Times New Roman"/>
          <w:b/>
          <w:bCs/>
          <w:color w:val="auto"/>
          <w:sz w:val="28"/>
          <w:szCs w:val="36"/>
        </w:rPr>
      </w:pPr>
      <w:r>
        <w:rPr>
          <w:rFonts w:hint="default" w:ascii="Times New Roman" w:hAnsi="Times New Roman" w:cs="Times New Roman"/>
          <w:b/>
          <w:bCs/>
          <w:color w:val="auto"/>
          <w:sz w:val="28"/>
          <w:szCs w:val="36"/>
        </w:rPr>
        <w:t>Appendix</w:t>
      </w:r>
      <w:bookmarkStart w:id="0" w:name="_GoBack"/>
      <w:bookmarkEnd w:id="0"/>
    </w:p>
    <w:p>
      <w:pPr>
        <w:keepNext w:val="0"/>
        <w:keepLines w:val="0"/>
        <w:pageBreakBefore w:val="0"/>
        <w:widowControl w:val="0"/>
        <w:kinsoku/>
        <w:wordWrap/>
        <w:overflowPunct/>
        <w:topLinePunct w:val="0"/>
        <w:autoSpaceDE/>
        <w:autoSpaceDN/>
        <w:bidi w:val="0"/>
        <w:adjustRightInd/>
        <w:snapToGrid/>
        <w:spacing w:after="156" w:afterLines="50" w:line="440" w:lineRule="exact"/>
        <w:jc w:val="both"/>
        <w:textAlignment w:val="auto"/>
        <w:outlineLvl w:val="2"/>
        <w:rPr>
          <w:rFonts w:hint="default" w:ascii="Times New Roman" w:hAnsi="Times New Roman" w:cs="Times New Roman"/>
          <w:b/>
          <w:bCs/>
          <w:color w:val="auto"/>
          <w:sz w:val="28"/>
          <w:szCs w:val="36"/>
          <w:lang w:val="en-US" w:eastAsia="zh-CN"/>
        </w:rPr>
      </w:pPr>
      <w:r>
        <w:rPr>
          <w:rFonts w:hint="eastAsia" w:ascii="Times New Roman" w:hAnsi="Times New Roman" w:cs="Times New Roman"/>
          <w:b/>
          <w:bCs/>
          <w:color w:val="auto"/>
          <w:sz w:val="28"/>
          <w:szCs w:val="36"/>
          <w:lang w:val="en-US" w:eastAsia="zh-CN"/>
        </w:rPr>
        <w:t>1 Meta-Analysis Result</w:t>
      </w:r>
    </w:p>
    <w:p>
      <w:pPr>
        <w:keepNext w:val="0"/>
        <w:keepLines w:val="0"/>
        <w:pageBreakBefore w:val="0"/>
        <w:widowControl w:val="0"/>
        <w:kinsoku/>
        <w:wordWrap/>
        <w:overflowPunct/>
        <w:topLinePunct w:val="0"/>
        <w:autoSpaceDE/>
        <w:autoSpaceDN/>
        <w:bidi w:val="0"/>
        <w:adjustRightInd/>
        <w:snapToGrid/>
        <w:spacing w:after="156" w:afterLines="50" w:line="440" w:lineRule="exact"/>
        <w:jc w:val="both"/>
        <w:textAlignment w:val="auto"/>
        <w:outlineLvl w:val="3"/>
        <w:rPr>
          <w:rFonts w:hint="default" w:ascii="Times New Roman" w:hAnsi="Times New Roman" w:cs="Times New Roman" w:eastAsiaTheme="minorEastAsia"/>
          <w:b/>
          <w:bCs/>
          <w:color w:val="auto"/>
          <w:sz w:val="24"/>
          <w:szCs w:val="32"/>
          <w:lang w:val="en-US" w:eastAsia="zh-CN"/>
        </w:rPr>
      </w:pPr>
      <w:r>
        <w:rPr>
          <w:rFonts w:hint="eastAsia" w:ascii="Times New Roman" w:hAnsi="Times New Roman" w:cs="Times New Roman"/>
          <w:b/>
          <w:bCs/>
          <w:color w:val="auto"/>
          <w:sz w:val="24"/>
          <w:szCs w:val="32"/>
          <w:lang w:val="en-US" w:eastAsia="zh-CN"/>
        </w:rPr>
        <w:t>1.1Leadership and Employee Resilience</w:t>
      </w:r>
    </w:p>
    <w:p>
      <w:pPr>
        <w:spacing w:line="440" w:lineRule="exact"/>
        <w:rPr>
          <w:rFonts w:ascii="Times New Roman" w:hAnsi="Times New Roman" w:cs="Times New Roman"/>
          <w:sz w:val="24"/>
          <w:szCs w:val="32"/>
        </w:rPr>
      </w:pPr>
      <w:r>
        <w:rPr>
          <w:rFonts w:hint="eastAsia" w:ascii="Times New Roman" w:hAnsi="Times New Roman" w:cs="Times New Roman"/>
          <w:sz w:val="24"/>
          <w:szCs w:val="32"/>
        </w:rPr>
        <w:t>This part was conducted by aggregating the relevant analyses of existing relationship leaders, and finally, 23 relevant pieces of literature were included in the meta-analysis, with a total of 7,170 people, as shown in Table 1.</w:t>
      </w:r>
    </w:p>
    <w:tbl>
      <w:tblPr>
        <w:tblStyle w:val="2"/>
        <w:tblW w:w="8561" w:type="dxa"/>
        <w:tblInd w:w="98" w:type="dxa"/>
        <w:tblLayout w:type="autofit"/>
        <w:tblCellMar>
          <w:top w:w="0" w:type="dxa"/>
          <w:left w:w="108" w:type="dxa"/>
          <w:bottom w:w="0" w:type="dxa"/>
          <w:right w:w="108" w:type="dxa"/>
        </w:tblCellMar>
      </w:tblPr>
      <w:tblGrid>
        <w:gridCol w:w="2778"/>
        <w:gridCol w:w="850"/>
        <w:gridCol w:w="1134"/>
        <w:gridCol w:w="1531"/>
        <w:gridCol w:w="1134"/>
        <w:gridCol w:w="1134"/>
      </w:tblGrid>
      <w:tr>
        <w:tblPrEx>
          <w:tblCellMar>
            <w:top w:w="0" w:type="dxa"/>
            <w:left w:w="108" w:type="dxa"/>
            <w:bottom w:w="0" w:type="dxa"/>
            <w:right w:w="108" w:type="dxa"/>
          </w:tblCellMar>
        </w:tblPrEx>
        <w:trPr>
          <w:trHeight w:val="294" w:hRule="atLeast"/>
        </w:trPr>
        <w:tc>
          <w:tcPr>
            <w:tcW w:w="8561" w:type="dxa"/>
            <w:gridSpan w:val="6"/>
            <w:tcBorders>
              <w:top w:val="nil"/>
              <w:left w:val="nil"/>
              <w:bottom w:val="nil"/>
              <w:right w:val="nil"/>
            </w:tcBorders>
            <w:shd w:val="clear" w:color="auto" w:fill="auto"/>
            <w:noWrap/>
            <w:vAlign w:val="center"/>
          </w:tcPr>
          <w:p>
            <w:pPr>
              <w:widowControl/>
              <w:textAlignment w:val="center"/>
              <w:rPr>
                <w:rFonts w:ascii="Times New Roman" w:hAnsi="Times New Roman" w:eastAsia="宋体" w:cs="Times New Roman"/>
                <w:color w:val="000000"/>
                <w:kern w:val="0"/>
                <w:szCs w:val="21"/>
                <w:lang w:bidi="ar"/>
              </w:rPr>
            </w:pPr>
            <w:r>
              <w:rPr>
                <w:rFonts w:hint="eastAsia" w:ascii="Times New Roman" w:hAnsi="Times New Roman" w:eastAsia="TimesNewRomanPS-ItalicMT" w:cs="Times New Roman"/>
                <w:b/>
                <w:bCs/>
                <w:color w:val="000000"/>
                <w:kern w:val="0"/>
                <w:szCs w:val="21"/>
                <w:lang w:bidi="ar"/>
              </w:rPr>
              <w:t>Table 1</w:t>
            </w:r>
          </w:p>
        </w:tc>
      </w:tr>
      <w:tr>
        <w:tblPrEx>
          <w:tblCellMar>
            <w:top w:w="0" w:type="dxa"/>
            <w:left w:w="108" w:type="dxa"/>
            <w:bottom w:w="0" w:type="dxa"/>
            <w:right w:w="108" w:type="dxa"/>
          </w:tblCellMar>
        </w:tblPrEx>
        <w:trPr>
          <w:trHeight w:val="280" w:hRule="atLeast"/>
        </w:trPr>
        <w:tc>
          <w:tcPr>
            <w:tcW w:w="8561" w:type="dxa"/>
            <w:gridSpan w:val="6"/>
            <w:tcBorders>
              <w:top w:val="nil"/>
              <w:left w:val="nil"/>
              <w:bottom w:val="single" w:color="auto" w:sz="4" w:space="0"/>
              <w:right w:val="nil"/>
            </w:tcBorders>
            <w:shd w:val="clear" w:color="auto" w:fill="auto"/>
            <w:noWrap/>
            <w:vAlign w:val="center"/>
          </w:tcPr>
          <w:p>
            <w:pPr>
              <w:widowControl/>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b/>
                <w:bCs/>
                <w:color w:val="000000"/>
                <w:kern w:val="0"/>
                <w:szCs w:val="21"/>
                <w:lang w:bidi="ar"/>
              </w:rPr>
              <w:t>Basic data of the original study included in the meta-analysis</w:t>
            </w:r>
          </w:p>
        </w:tc>
      </w:tr>
      <w:tr>
        <w:tblPrEx>
          <w:tblCellMar>
            <w:top w:w="0" w:type="dxa"/>
            <w:left w:w="108" w:type="dxa"/>
            <w:bottom w:w="0" w:type="dxa"/>
            <w:right w:w="108" w:type="dxa"/>
          </w:tblCellMar>
        </w:tblPrEx>
        <w:trPr>
          <w:trHeight w:val="23" w:hRule="atLeast"/>
        </w:trPr>
        <w:tc>
          <w:tcPr>
            <w:tcW w:w="2778" w:type="dxa"/>
            <w:tcBorders>
              <w:top w:val="single" w:color="auto" w:sz="4" w:space="0"/>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The First Author</w:t>
            </w:r>
          </w:p>
        </w:tc>
        <w:tc>
          <w:tcPr>
            <w:tcW w:w="850" w:type="dxa"/>
            <w:tcBorders>
              <w:top w:val="single" w:color="auto" w:sz="4" w:space="0"/>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Year</w:t>
            </w:r>
          </w:p>
        </w:tc>
        <w:tc>
          <w:tcPr>
            <w:tcW w:w="1134" w:type="dxa"/>
            <w:tcBorders>
              <w:top w:val="single" w:color="auto" w:sz="4" w:space="0"/>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Sample Size</w:t>
            </w:r>
          </w:p>
        </w:tc>
        <w:tc>
          <w:tcPr>
            <w:tcW w:w="1531" w:type="dxa"/>
            <w:tcBorders>
              <w:top w:val="single" w:color="auto" w:sz="4" w:space="0"/>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Study Population</w:t>
            </w:r>
          </w:p>
        </w:tc>
        <w:tc>
          <w:tcPr>
            <w:tcW w:w="1134" w:type="dxa"/>
            <w:tcBorders>
              <w:top w:val="single" w:color="auto" w:sz="4" w:space="0"/>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Percentage of Females</w:t>
            </w:r>
          </w:p>
        </w:tc>
        <w:tc>
          <w:tcPr>
            <w:tcW w:w="1134" w:type="dxa"/>
            <w:tcBorders>
              <w:top w:val="single" w:color="auto" w:sz="4" w:space="0"/>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Correlation Coefficient</w:t>
            </w:r>
          </w:p>
        </w:tc>
      </w:tr>
      <w:tr>
        <w:tblPrEx>
          <w:tblCellMar>
            <w:top w:w="0" w:type="dxa"/>
            <w:left w:w="108" w:type="dxa"/>
            <w:bottom w:w="0" w:type="dxa"/>
            <w:right w:w="108" w:type="dxa"/>
          </w:tblCellMar>
        </w:tblPrEx>
        <w:trPr>
          <w:trHeight w:val="23" w:hRule="atLeast"/>
        </w:trPr>
        <w:tc>
          <w:tcPr>
            <w:tcW w:w="2778" w:type="dxa"/>
            <w:tcBorders>
              <w:top w:val="single" w:color="000000" w:sz="4" w:space="0"/>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Pilar</w:t>
            </w:r>
          </w:p>
        </w:tc>
        <w:tc>
          <w:tcPr>
            <w:tcW w:w="850" w:type="dxa"/>
            <w:tcBorders>
              <w:top w:val="single" w:color="000000" w:sz="4" w:space="0"/>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2019</w:t>
            </w:r>
          </w:p>
        </w:tc>
        <w:tc>
          <w:tcPr>
            <w:tcW w:w="1134" w:type="dxa"/>
            <w:tcBorders>
              <w:top w:val="single" w:color="000000" w:sz="4" w:space="0"/>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277</w:t>
            </w:r>
          </w:p>
        </w:tc>
        <w:tc>
          <w:tcPr>
            <w:tcW w:w="1531" w:type="dxa"/>
            <w:tcBorders>
              <w:top w:val="single" w:color="000000" w:sz="4" w:space="0"/>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O</w:t>
            </w:r>
          </w:p>
        </w:tc>
        <w:tc>
          <w:tcPr>
            <w:tcW w:w="1134" w:type="dxa"/>
            <w:tcBorders>
              <w:top w:val="single" w:color="000000" w:sz="4" w:space="0"/>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46.6</w:t>
            </w:r>
          </w:p>
        </w:tc>
        <w:tc>
          <w:tcPr>
            <w:tcW w:w="1134" w:type="dxa"/>
            <w:tcBorders>
              <w:top w:val="single" w:color="000000" w:sz="4" w:space="0"/>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0.37</w:t>
            </w:r>
          </w:p>
        </w:tc>
      </w:tr>
      <w:tr>
        <w:tblPrEx>
          <w:tblCellMar>
            <w:top w:w="0" w:type="dxa"/>
            <w:left w:w="108" w:type="dxa"/>
            <w:bottom w:w="0" w:type="dxa"/>
            <w:right w:w="108" w:type="dxa"/>
          </w:tblCellMar>
        </w:tblPrEx>
        <w:trPr>
          <w:trHeight w:val="23" w:hRule="atLeast"/>
        </w:trPr>
        <w:tc>
          <w:tcPr>
            <w:tcW w:w="2778"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Huseyin</w:t>
            </w:r>
          </w:p>
        </w:tc>
        <w:tc>
          <w:tcPr>
            <w:tcW w:w="850"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2020</w:t>
            </w:r>
          </w:p>
        </w:tc>
        <w:tc>
          <w:tcPr>
            <w:tcW w:w="1134"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557</w:t>
            </w:r>
          </w:p>
        </w:tc>
        <w:tc>
          <w:tcPr>
            <w:tcW w:w="1531"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O</w:t>
            </w:r>
          </w:p>
        </w:tc>
        <w:tc>
          <w:tcPr>
            <w:tcW w:w="1134"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60</w:t>
            </w:r>
          </w:p>
        </w:tc>
        <w:tc>
          <w:tcPr>
            <w:tcW w:w="1134"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0.09</w:t>
            </w:r>
          </w:p>
        </w:tc>
      </w:tr>
      <w:tr>
        <w:tblPrEx>
          <w:tblCellMar>
            <w:top w:w="0" w:type="dxa"/>
            <w:left w:w="108" w:type="dxa"/>
            <w:bottom w:w="0" w:type="dxa"/>
            <w:right w:w="108" w:type="dxa"/>
          </w:tblCellMar>
        </w:tblPrEx>
        <w:trPr>
          <w:trHeight w:val="23" w:hRule="atLeast"/>
        </w:trPr>
        <w:tc>
          <w:tcPr>
            <w:tcW w:w="2778"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Najam</w:t>
            </w:r>
          </w:p>
        </w:tc>
        <w:tc>
          <w:tcPr>
            <w:tcW w:w="850"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2020</w:t>
            </w:r>
          </w:p>
        </w:tc>
        <w:tc>
          <w:tcPr>
            <w:tcW w:w="1134"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348</w:t>
            </w:r>
          </w:p>
        </w:tc>
        <w:tc>
          <w:tcPr>
            <w:tcW w:w="1531"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O</w:t>
            </w:r>
          </w:p>
        </w:tc>
        <w:tc>
          <w:tcPr>
            <w:tcW w:w="1134"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40.2</w:t>
            </w:r>
          </w:p>
        </w:tc>
        <w:tc>
          <w:tcPr>
            <w:tcW w:w="1134"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0.489</w:t>
            </w:r>
          </w:p>
        </w:tc>
      </w:tr>
      <w:tr>
        <w:tblPrEx>
          <w:tblCellMar>
            <w:top w:w="0" w:type="dxa"/>
            <w:left w:w="108" w:type="dxa"/>
            <w:bottom w:w="0" w:type="dxa"/>
            <w:right w:w="108" w:type="dxa"/>
          </w:tblCellMar>
        </w:tblPrEx>
        <w:trPr>
          <w:trHeight w:val="23" w:hRule="atLeast"/>
        </w:trPr>
        <w:tc>
          <w:tcPr>
            <w:tcW w:w="2778"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Cantante-Rodrigues</w:t>
            </w:r>
          </w:p>
        </w:tc>
        <w:tc>
          <w:tcPr>
            <w:tcW w:w="850"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2021</w:t>
            </w:r>
          </w:p>
        </w:tc>
        <w:tc>
          <w:tcPr>
            <w:tcW w:w="1134"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249</w:t>
            </w:r>
          </w:p>
        </w:tc>
        <w:tc>
          <w:tcPr>
            <w:tcW w:w="1531"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O</w:t>
            </w:r>
          </w:p>
        </w:tc>
        <w:tc>
          <w:tcPr>
            <w:tcW w:w="1134"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65</w:t>
            </w:r>
          </w:p>
        </w:tc>
        <w:tc>
          <w:tcPr>
            <w:tcW w:w="1134"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0.13</w:t>
            </w:r>
          </w:p>
        </w:tc>
      </w:tr>
      <w:tr>
        <w:tblPrEx>
          <w:tblCellMar>
            <w:top w:w="0" w:type="dxa"/>
            <w:left w:w="108" w:type="dxa"/>
            <w:bottom w:w="0" w:type="dxa"/>
            <w:right w:w="108" w:type="dxa"/>
          </w:tblCellMar>
        </w:tblPrEx>
        <w:trPr>
          <w:trHeight w:val="23" w:hRule="atLeast"/>
        </w:trPr>
        <w:tc>
          <w:tcPr>
            <w:tcW w:w="2778"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Salehzadeh</w:t>
            </w:r>
          </w:p>
        </w:tc>
        <w:tc>
          <w:tcPr>
            <w:tcW w:w="850"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2019</w:t>
            </w:r>
          </w:p>
        </w:tc>
        <w:tc>
          <w:tcPr>
            <w:tcW w:w="1134"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468</w:t>
            </w:r>
          </w:p>
        </w:tc>
        <w:tc>
          <w:tcPr>
            <w:tcW w:w="1531"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O</w:t>
            </w:r>
          </w:p>
        </w:tc>
        <w:tc>
          <w:tcPr>
            <w:tcW w:w="1134" w:type="dxa"/>
            <w:tcBorders>
              <w:top w:val="nil"/>
              <w:left w:val="nil"/>
              <w:bottom w:val="nil"/>
              <w:right w:val="nil"/>
            </w:tcBorders>
            <w:shd w:val="clear" w:color="auto" w:fill="auto"/>
            <w:noWrap/>
            <w:vAlign w:val="center"/>
          </w:tcPr>
          <w:p>
            <w:pPr>
              <w:widowControl/>
              <w:jc w:val="center"/>
              <w:rPr>
                <w:rFonts w:ascii="Times New Roman" w:hAnsi="Times New Roman" w:eastAsia="宋体" w:cs="Times New Roman"/>
                <w:color w:val="000000"/>
                <w:sz w:val="18"/>
                <w:szCs w:val="18"/>
              </w:rPr>
            </w:pPr>
            <w:r>
              <w:rPr>
                <w:rFonts w:hint="eastAsia" w:ascii="Times New Roman" w:hAnsi="Times New Roman" w:eastAsia="宋体" w:cs="Times New Roman"/>
                <w:color w:val="000000"/>
                <w:sz w:val="18"/>
                <w:szCs w:val="18"/>
              </w:rPr>
              <w:t>50</w:t>
            </w:r>
          </w:p>
        </w:tc>
        <w:tc>
          <w:tcPr>
            <w:tcW w:w="1134"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0.579</w:t>
            </w:r>
          </w:p>
        </w:tc>
      </w:tr>
      <w:tr>
        <w:tblPrEx>
          <w:tblCellMar>
            <w:top w:w="0" w:type="dxa"/>
            <w:left w:w="108" w:type="dxa"/>
            <w:bottom w:w="0" w:type="dxa"/>
            <w:right w:w="108" w:type="dxa"/>
          </w:tblCellMar>
        </w:tblPrEx>
        <w:trPr>
          <w:trHeight w:val="23" w:hRule="atLeast"/>
        </w:trPr>
        <w:tc>
          <w:tcPr>
            <w:tcW w:w="2778"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Salehzadeh</w:t>
            </w:r>
          </w:p>
        </w:tc>
        <w:tc>
          <w:tcPr>
            <w:tcW w:w="850"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2019</w:t>
            </w:r>
          </w:p>
        </w:tc>
        <w:tc>
          <w:tcPr>
            <w:tcW w:w="1134"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468</w:t>
            </w:r>
          </w:p>
        </w:tc>
        <w:tc>
          <w:tcPr>
            <w:tcW w:w="1531"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O</w:t>
            </w:r>
          </w:p>
        </w:tc>
        <w:tc>
          <w:tcPr>
            <w:tcW w:w="1134" w:type="dxa"/>
            <w:tcBorders>
              <w:top w:val="nil"/>
              <w:left w:val="nil"/>
              <w:bottom w:val="nil"/>
              <w:right w:val="nil"/>
            </w:tcBorders>
            <w:shd w:val="clear" w:color="auto" w:fill="auto"/>
            <w:noWrap/>
            <w:vAlign w:val="center"/>
          </w:tcPr>
          <w:p>
            <w:pPr>
              <w:widowControl/>
              <w:jc w:val="center"/>
              <w:rPr>
                <w:rFonts w:ascii="Times New Roman" w:hAnsi="Times New Roman" w:eastAsia="宋体" w:cs="Times New Roman"/>
                <w:color w:val="000000"/>
                <w:sz w:val="18"/>
                <w:szCs w:val="18"/>
              </w:rPr>
            </w:pPr>
            <w:r>
              <w:rPr>
                <w:rFonts w:hint="eastAsia" w:ascii="Times New Roman" w:hAnsi="Times New Roman" w:eastAsia="宋体" w:cs="Times New Roman"/>
                <w:color w:val="000000"/>
                <w:sz w:val="18"/>
                <w:szCs w:val="18"/>
              </w:rPr>
              <w:t>50</w:t>
            </w:r>
          </w:p>
        </w:tc>
        <w:tc>
          <w:tcPr>
            <w:tcW w:w="1134"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-0.453</w:t>
            </w:r>
          </w:p>
        </w:tc>
      </w:tr>
      <w:tr>
        <w:tblPrEx>
          <w:tblCellMar>
            <w:top w:w="0" w:type="dxa"/>
            <w:left w:w="108" w:type="dxa"/>
            <w:bottom w:w="0" w:type="dxa"/>
            <w:right w:w="108" w:type="dxa"/>
          </w:tblCellMar>
        </w:tblPrEx>
        <w:trPr>
          <w:trHeight w:val="23" w:hRule="atLeast"/>
        </w:trPr>
        <w:tc>
          <w:tcPr>
            <w:tcW w:w="2778"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Mustamil</w:t>
            </w:r>
          </w:p>
        </w:tc>
        <w:tc>
          <w:tcPr>
            <w:tcW w:w="850"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2020</w:t>
            </w:r>
          </w:p>
        </w:tc>
        <w:tc>
          <w:tcPr>
            <w:tcW w:w="1134"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301</w:t>
            </w:r>
          </w:p>
        </w:tc>
        <w:tc>
          <w:tcPr>
            <w:tcW w:w="1531"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O</w:t>
            </w:r>
          </w:p>
        </w:tc>
        <w:tc>
          <w:tcPr>
            <w:tcW w:w="1134"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40.5</w:t>
            </w:r>
          </w:p>
        </w:tc>
        <w:tc>
          <w:tcPr>
            <w:tcW w:w="1134"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0.762</w:t>
            </w:r>
          </w:p>
        </w:tc>
      </w:tr>
      <w:tr>
        <w:tblPrEx>
          <w:tblCellMar>
            <w:top w:w="0" w:type="dxa"/>
            <w:left w:w="108" w:type="dxa"/>
            <w:bottom w:w="0" w:type="dxa"/>
            <w:right w:w="108" w:type="dxa"/>
          </w:tblCellMar>
        </w:tblPrEx>
        <w:trPr>
          <w:trHeight w:val="23" w:hRule="atLeast"/>
        </w:trPr>
        <w:tc>
          <w:tcPr>
            <w:tcW w:w="2778"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Mehmood</w:t>
            </w:r>
          </w:p>
        </w:tc>
        <w:tc>
          <w:tcPr>
            <w:tcW w:w="850"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2021</w:t>
            </w:r>
          </w:p>
        </w:tc>
        <w:tc>
          <w:tcPr>
            <w:tcW w:w="1134"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210</w:t>
            </w:r>
          </w:p>
        </w:tc>
        <w:tc>
          <w:tcPr>
            <w:tcW w:w="1531"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O</w:t>
            </w:r>
          </w:p>
        </w:tc>
        <w:tc>
          <w:tcPr>
            <w:tcW w:w="1134" w:type="dxa"/>
            <w:tcBorders>
              <w:top w:val="nil"/>
              <w:left w:val="nil"/>
              <w:bottom w:val="nil"/>
              <w:right w:val="nil"/>
            </w:tcBorders>
            <w:shd w:val="clear" w:color="auto" w:fill="auto"/>
            <w:noWrap/>
            <w:vAlign w:val="center"/>
          </w:tcPr>
          <w:p>
            <w:pPr>
              <w:widowControl/>
              <w:jc w:val="center"/>
              <w:rPr>
                <w:rFonts w:ascii="Times New Roman" w:hAnsi="Times New Roman" w:eastAsia="宋体" w:cs="Times New Roman"/>
                <w:color w:val="000000"/>
                <w:sz w:val="18"/>
                <w:szCs w:val="18"/>
              </w:rPr>
            </w:pPr>
            <w:r>
              <w:rPr>
                <w:rFonts w:hint="eastAsia" w:ascii="Times New Roman" w:hAnsi="Times New Roman" w:eastAsia="宋体" w:cs="Times New Roman"/>
                <w:color w:val="000000"/>
                <w:sz w:val="18"/>
                <w:szCs w:val="18"/>
              </w:rPr>
              <w:t>50</w:t>
            </w:r>
          </w:p>
        </w:tc>
        <w:tc>
          <w:tcPr>
            <w:tcW w:w="1134"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0.47</w:t>
            </w:r>
          </w:p>
        </w:tc>
      </w:tr>
      <w:tr>
        <w:tblPrEx>
          <w:tblCellMar>
            <w:top w:w="0" w:type="dxa"/>
            <w:left w:w="108" w:type="dxa"/>
            <w:bottom w:w="0" w:type="dxa"/>
            <w:right w:w="108" w:type="dxa"/>
          </w:tblCellMar>
        </w:tblPrEx>
        <w:trPr>
          <w:trHeight w:val="23" w:hRule="atLeast"/>
        </w:trPr>
        <w:tc>
          <w:tcPr>
            <w:tcW w:w="2778"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Geoff Plimmer</w:t>
            </w:r>
          </w:p>
        </w:tc>
        <w:tc>
          <w:tcPr>
            <w:tcW w:w="850"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2021</w:t>
            </w:r>
          </w:p>
        </w:tc>
        <w:tc>
          <w:tcPr>
            <w:tcW w:w="1134"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1652</w:t>
            </w:r>
          </w:p>
        </w:tc>
        <w:tc>
          <w:tcPr>
            <w:tcW w:w="1531"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O</w:t>
            </w:r>
          </w:p>
        </w:tc>
        <w:tc>
          <w:tcPr>
            <w:tcW w:w="1134"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59.7</w:t>
            </w:r>
          </w:p>
        </w:tc>
        <w:tc>
          <w:tcPr>
            <w:tcW w:w="1134"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0.27</w:t>
            </w:r>
          </w:p>
        </w:tc>
      </w:tr>
      <w:tr>
        <w:tblPrEx>
          <w:tblCellMar>
            <w:top w:w="0" w:type="dxa"/>
            <w:left w:w="108" w:type="dxa"/>
            <w:bottom w:w="0" w:type="dxa"/>
            <w:right w:w="108" w:type="dxa"/>
          </w:tblCellMar>
        </w:tblPrEx>
        <w:trPr>
          <w:trHeight w:val="23" w:hRule="atLeast"/>
        </w:trPr>
        <w:tc>
          <w:tcPr>
            <w:tcW w:w="2778"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 xml:space="preserve">Zhu </w:t>
            </w:r>
          </w:p>
        </w:tc>
        <w:tc>
          <w:tcPr>
            <w:tcW w:w="850"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2019</w:t>
            </w:r>
          </w:p>
        </w:tc>
        <w:tc>
          <w:tcPr>
            <w:tcW w:w="1134"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434</w:t>
            </w:r>
          </w:p>
        </w:tc>
        <w:tc>
          <w:tcPr>
            <w:tcW w:w="1531"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O</w:t>
            </w:r>
          </w:p>
        </w:tc>
        <w:tc>
          <w:tcPr>
            <w:tcW w:w="1134"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51</w:t>
            </w:r>
          </w:p>
        </w:tc>
        <w:tc>
          <w:tcPr>
            <w:tcW w:w="1134"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0.4</w:t>
            </w:r>
          </w:p>
        </w:tc>
      </w:tr>
      <w:tr>
        <w:tblPrEx>
          <w:tblCellMar>
            <w:top w:w="0" w:type="dxa"/>
            <w:left w:w="108" w:type="dxa"/>
            <w:bottom w:w="0" w:type="dxa"/>
            <w:right w:w="108" w:type="dxa"/>
          </w:tblCellMar>
        </w:tblPrEx>
        <w:trPr>
          <w:trHeight w:val="23" w:hRule="atLeast"/>
        </w:trPr>
        <w:tc>
          <w:tcPr>
            <w:tcW w:w="2778"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Al-Hawari</w:t>
            </w:r>
          </w:p>
        </w:tc>
        <w:tc>
          <w:tcPr>
            <w:tcW w:w="850"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2019</w:t>
            </w:r>
          </w:p>
        </w:tc>
        <w:tc>
          <w:tcPr>
            <w:tcW w:w="1134"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192</w:t>
            </w:r>
          </w:p>
        </w:tc>
        <w:tc>
          <w:tcPr>
            <w:tcW w:w="1531"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O</w:t>
            </w:r>
          </w:p>
        </w:tc>
        <w:tc>
          <w:tcPr>
            <w:tcW w:w="1134"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51</w:t>
            </w:r>
          </w:p>
        </w:tc>
        <w:tc>
          <w:tcPr>
            <w:tcW w:w="1134"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-0.14</w:t>
            </w:r>
          </w:p>
        </w:tc>
      </w:tr>
      <w:tr>
        <w:tblPrEx>
          <w:tblCellMar>
            <w:top w:w="0" w:type="dxa"/>
            <w:left w:w="108" w:type="dxa"/>
            <w:bottom w:w="0" w:type="dxa"/>
            <w:right w:w="108" w:type="dxa"/>
          </w:tblCellMar>
        </w:tblPrEx>
        <w:trPr>
          <w:trHeight w:val="23" w:hRule="atLeast"/>
        </w:trPr>
        <w:tc>
          <w:tcPr>
            <w:tcW w:w="2778"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kern w:val="0"/>
                <w:sz w:val="18"/>
                <w:szCs w:val="18"/>
                <w:lang w:bidi="ar"/>
              </w:rPr>
            </w:pPr>
            <w:r>
              <w:rPr>
                <w:rFonts w:ascii="Times New Roman" w:hAnsi="Times New Roman" w:eastAsia="宋体" w:cs="Times New Roman"/>
                <w:color w:val="000000"/>
                <w:kern w:val="0"/>
                <w:sz w:val="18"/>
                <w:szCs w:val="18"/>
                <w:lang w:bidi="ar"/>
              </w:rPr>
              <w:t>Nguyen</w:t>
            </w:r>
          </w:p>
        </w:tc>
        <w:tc>
          <w:tcPr>
            <w:tcW w:w="850"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kern w:val="0"/>
                <w:sz w:val="18"/>
                <w:szCs w:val="18"/>
                <w:lang w:bidi="ar"/>
              </w:rPr>
            </w:pPr>
            <w:r>
              <w:rPr>
                <w:rFonts w:hint="eastAsia" w:ascii="Times New Roman" w:hAnsi="Times New Roman" w:eastAsia="宋体" w:cs="Times New Roman"/>
                <w:color w:val="000000"/>
                <w:kern w:val="0"/>
                <w:sz w:val="18"/>
                <w:szCs w:val="18"/>
                <w:lang w:bidi="ar"/>
              </w:rPr>
              <w:t>2016</w:t>
            </w:r>
          </w:p>
        </w:tc>
        <w:tc>
          <w:tcPr>
            <w:tcW w:w="1134"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kern w:val="0"/>
                <w:sz w:val="18"/>
                <w:szCs w:val="18"/>
                <w:lang w:bidi="ar"/>
              </w:rPr>
            </w:pPr>
            <w:r>
              <w:rPr>
                <w:rFonts w:hint="eastAsia" w:ascii="Times New Roman" w:hAnsi="Times New Roman" w:eastAsia="宋体" w:cs="Times New Roman"/>
                <w:color w:val="000000"/>
                <w:kern w:val="0"/>
                <w:sz w:val="18"/>
                <w:szCs w:val="18"/>
                <w:lang w:bidi="ar"/>
              </w:rPr>
              <w:t>269</w:t>
            </w:r>
          </w:p>
        </w:tc>
        <w:tc>
          <w:tcPr>
            <w:tcW w:w="1531"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kern w:val="0"/>
                <w:sz w:val="18"/>
                <w:szCs w:val="18"/>
                <w:lang w:bidi="ar"/>
              </w:rPr>
            </w:pPr>
            <w:r>
              <w:rPr>
                <w:rFonts w:hint="eastAsia" w:ascii="Times New Roman" w:hAnsi="Times New Roman" w:eastAsia="宋体" w:cs="Times New Roman"/>
                <w:color w:val="000000"/>
                <w:kern w:val="0"/>
                <w:sz w:val="18"/>
                <w:szCs w:val="18"/>
                <w:lang w:bidi="ar"/>
              </w:rPr>
              <w:t>O</w:t>
            </w:r>
          </w:p>
        </w:tc>
        <w:tc>
          <w:tcPr>
            <w:tcW w:w="1134"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kern w:val="0"/>
                <w:sz w:val="18"/>
                <w:szCs w:val="18"/>
                <w:lang w:bidi="ar"/>
              </w:rPr>
            </w:pPr>
            <w:r>
              <w:rPr>
                <w:rFonts w:hint="eastAsia" w:ascii="Times New Roman" w:hAnsi="Times New Roman" w:eastAsia="宋体" w:cs="Times New Roman"/>
                <w:color w:val="000000"/>
                <w:kern w:val="0"/>
                <w:sz w:val="18"/>
                <w:szCs w:val="18"/>
                <w:lang w:bidi="ar"/>
              </w:rPr>
              <w:t>61.5</w:t>
            </w:r>
          </w:p>
        </w:tc>
        <w:tc>
          <w:tcPr>
            <w:tcW w:w="1134"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kern w:val="0"/>
                <w:sz w:val="18"/>
                <w:szCs w:val="18"/>
                <w:lang w:bidi="ar"/>
              </w:rPr>
            </w:pPr>
            <w:r>
              <w:rPr>
                <w:rFonts w:hint="eastAsia" w:ascii="Times New Roman" w:hAnsi="Times New Roman" w:eastAsia="宋体" w:cs="Times New Roman"/>
                <w:color w:val="000000"/>
                <w:kern w:val="0"/>
                <w:sz w:val="18"/>
                <w:szCs w:val="18"/>
                <w:lang w:bidi="ar"/>
              </w:rPr>
              <w:t>0.24</w:t>
            </w:r>
          </w:p>
        </w:tc>
      </w:tr>
      <w:tr>
        <w:tblPrEx>
          <w:tblCellMar>
            <w:top w:w="0" w:type="dxa"/>
            <w:left w:w="108" w:type="dxa"/>
            <w:bottom w:w="0" w:type="dxa"/>
            <w:right w:w="108" w:type="dxa"/>
          </w:tblCellMar>
        </w:tblPrEx>
        <w:trPr>
          <w:trHeight w:val="23" w:hRule="atLeast"/>
        </w:trPr>
        <w:tc>
          <w:tcPr>
            <w:tcW w:w="2778"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Nguyen</w:t>
            </w:r>
          </w:p>
        </w:tc>
        <w:tc>
          <w:tcPr>
            <w:tcW w:w="850"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2016</w:t>
            </w:r>
          </w:p>
        </w:tc>
        <w:tc>
          <w:tcPr>
            <w:tcW w:w="1134"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269</w:t>
            </w:r>
          </w:p>
        </w:tc>
        <w:tc>
          <w:tcPr>
            <w:tcW w:w="1531"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O</w:t>
            </w:r>
          </w:p>
        </w:tc>
        <w:tc>
          <w:tcPr>
            <w:tcW w:w="1134"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61.5</w:t>
            </w:r>
          </w:p>
        </w:tc>
        <w:tc>
          <w:tcPr>
            <w:tcW w:w="1134"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0.37</w:t>
            </w:r>
          </w:p>
        </w:tc>
      </w:tr>
      <w:tr>
        <w:tblPrEx>
          <w:tblCellMar>
            <w:top w:w="0" w:type="dxa"/>
            <w:left w:w="108" w:type="dxa"/>
            <w:bottom w:w="0" w:type="dxa"/>
            <w:right w:w="108" w:type="dxa"/>
          </w:tblCellMar>
        </w:tblPrEx>
        <w:trPr>
          <w:trHeight w:val="23" w:hRule="atLeast"/>
        </w:trPr>
        <w:tc>
          <w:tcPr>
            <w:tcW w:w="2778"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Hui</w:t>
            </w:r>
          </w:p>
        </w:tc>
        <w:tc>
          <w:tcPr>
            <w:tcW w:w="850"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2017</w:t>
            </w:r>
          </w:p>
        </w:tc>
        <w:tc>
          <w:tcPr>
            <w:tcW w:w="1134"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236</w:t>
            </w:r>
          </w:p>
        </w:tc>
        <w:tc>
          <w:tcPr>
            <w:tcW w:w="1531"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P</w:t>
            </w:r>
          </w:p>
        </w:tc>
        <w:tc>
          <w:tcPr>
            <w:tcW w:w="1134"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60.9</w:t>
            </w:r>
          </w:p>
        </w:tc>
        <w:tc>
          <w:tcPr>
            <w:tcW w:w="1134"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0.29</w:t>
            </w:r>
          </w:p>
        </w:tc>
      </w:tr>
      <w:tr>
        <w:tblPrEx>
          <w:tblCellMar>
            <w:top w:w="0" w:type="dxa"/>
            <w:left w:w="108" w:type="dxa"/>
            <w:bottom w:w="0" w:type="dxa"/>
            <w:right w:w="108" w:type="dxa"/>
          </w:tblCellMar>
        </w:tblPrEx>
        <w:trPr>
          <w:trHeight w:val="23" w:hRule="atLeast"/>
        </w:trPr>
        <w:tc>
          <w:tcPr>
            <w:tcW w:w="2778"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Athota</w:t>
            </w:r>
          </w:p>
        </w:tc>
        <w:tc>
          <w:tcPr>
            <w:tcW w:w="850"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2019</w:t>
            </w:r>
          </w:p>
        </w:tc>
        <w:tc>
          <w:tcPr>
            <w:tcW w:w="1134"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257</w:t>
            </w:r>
          </w:p>
        </w:tc>
        <w:tc>
          <w:tcPr>
            <w:tcW w:w="1531"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O</w:t>
            </w:r>
          </w:p>
        </w:tc>
        <w:tc>
          <w:tcPr>
            <w:tcW w:w="1134"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42.8</w:t>
            </w:r>
          </w:p>
        </w:tc>
        <w:tc>
          <w:tcPr>
            <w:tcW w:w="1134"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0.19</w:t>
            </w:r>
          </w:p>
        </w:tc>
      </w:tr>
      <w:tr>
        <w:tblPrEx>
          <w:tblCellMar>
            <w:top w:w="0" w:type="dxa"/>
            <w:left w:w="108" w:type="dxa"/>
            <w:bottom w:w="0" w:type="dxa"/>
            <w:right w:w="108" w:type="dxa"/>
          </w:tblCellMar>
        </w:tblPrEx>
        <w:trPr>
          <w:trHeight w:val="23" w:hRule="atLeast"/>
        </w:trPr>
        <w:tc>
          <w:tcPr>
            <w:tcW w:w="2778"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De Clercq</w:t>
            </w:r>
          </w:p>
        </w:tc>
        <w:tc>
          <w:tcPr>
            <w:tcW w:w="850"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2020</w:t>
            </w:r>
          </w:p>
        </w:tc>
        <w:tc>
          <w:tcPr>
            <w:tcW w:w="1134"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299</w:t>
            </w:r>
          </w:p>
        </w:tc>
        <w:tc>
          <w:tcPr>
            <w:tcW w:w="1531"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O</w:t>
            </w:r>
          </w:p>
        </w:tc>
        <w:tc>
          <w:tcPr>
            <w:tcW w:w="1134"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37</w:t>
            </w:r>
          </w:p>
        </w:tc>
        <w:tc>
          <w:tcPr>
            <w:tcW w:w="1134"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-0.185</w:t>
            </w:r>
          </w:p>
        </w:tc>
      </w:tr>
      <w:tr>
        <w:tblPrEx>
          <w:tblCellMar>
            <w:top w:w="0" w:type="dxa"/>
            <w:left w:w="108" w:type="dxa"/>
            <w:bottom w:w="0" w:type="dxa"/>
            <w:right w:w="108" w:type="dxa"/>
          </w:tblCellMar>
        </w:tblPrEx>
        <w:trPr>
          <w:trHeight w:val="23" w:hRule="atLeast"/>
        </w:trPr>
        <w:tc>
          <w:tcPr>
            <w:tcW w:w="2778"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Fu</w:t>
            </w:r>
          </w:p>
        </w:tc>
        <w:tc>
          <w:tcPr>
            <w:tcW w:w="850"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2021</w:t>
            </w:r>
          </w:p>
        </w:tc>
        <w:tc>
          <w:tcPr>
            <w:tcW w:w="1134"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329</w:t>
            </w:r>
          </w:p>
        </w:tc>
        <w:tc>
          <w:tcPr>
            <w:tcW w:w="1531"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O</w:t>
            </w:r>
          </w:p>
        </w:tc>
        <w:tc>
          <w:tcPr>
            <w:tcW w:w="1134"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37.1</w:t>
            </w:r>
          </w:p>
        </w:tc>
        <w:tc>
          <w:tcPr>
            <w:tcW w:w="1134"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-0.261</w:t>
            </w:r>
          </w:p>
        </w:tc>
      </w:tr>
      <w:tr>
        <w:tblPrEx>
          <w:tblCellMar>
            <w:top w:w="0" w:type="dxa"/>
            <w:left w:w="108" w:type="dxa"/>
            <w:bottom w:w="0" w:type="dxa"/>
            <w:right w:w="108" w:type="dxa"/>
          </w:tblCellMar>
        </w:tblPrEx>
        <w:trPr>
          <w:trHeight w:val="23" w:hRule="atLeast"/>
        </w:trPr>
        <w:tc>
          <w:tcPr>
            <w:tcW w:w="2778"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Franken</w:t>
            </w:r>
          </w:p>
        </w:tc>
        <w:tc>
          <w:tcPr>
            <w:tcW w:w="850"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2019</w:t>
            </w:r>
          </w:p>
        </w:tc>
        <w:tc>
          <w:tcPr>
            <w:tcW w:w="1134"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233</w:t>
            </w:r>
          </w:p>
        </w:tc>
        <w:tc>
          <w:tcPr>
            <w:tcW w:w="1531"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P</w:t>
            </w:r>
          </w:p>
        </w:tc>
        <w:tc>
          <w:tcPr>
            <w:tcW w:w="1134"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52.7</w:t>
            </w:r>
          </w:p>
        </w:tc>
        <w:tc>
          <w:tcPr>
            <w:tcW w:w="1134"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0.2</w:t>
            </w:r>
          </w:p>
        </w:tc>
      </w:tr>
      <w:tr>
        <w:tblPrEx>
          <w:tblCellMar>
            <w:top w:w="0" w:type="dxa"/>
            <w:left w:w="108" w:type="dxa"/>
            <w:bottom w:w="0" w:type="dxa"/>
            <w:right w:w="108" w:type="dxa"/>
          </w:tblCellMar>
        </w:tblPrEx>
        <w:trPr>
          <w:trHeight w:val="23" w:hRule="atLeast"/>
        </w:trPr>
        <w:tc>
          <w:tcPr>
            <w:tcW w:w="2778"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Franken</w:t>
            </w:r>
          </w:p>
        </w:tc>
        <w:tc>
          <w:tcPr>
            <w:tcW w:w="850"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2019</w:t>
            </w:r>
          </w:p>
        </w:tc>
        <w:tc>
          <w:tcPr>
            <w:tcW w:w="1134"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233</w:t>
            </w:r>
          </w:p>
        </w:tc>
        <w:tc>
          <w:tcPr>
            <w:tcW w:w="1531"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P</w:t>
            </w:r>
          </w:p>
        </w:tc>
        <w:tc>
          <w:tcPr>
            <w:tcW w:w="1134"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52.7</w:t>
            </w:r>
          </w:p>
        </w:tc>
        <w:tc>
          <w:tcPr>
            <w:tcW w:w="1134"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0.23</w:t>
            </w:r>
          </w:p>
        </w:tc>
      </w:tr>
      <w:tr>
        <w:tblPrEx>
          <w:tblCellMar>
            <w:top w:w="0" w:type="dxa"/>
            <w:left w:w="108" w:type="dxa"/>
            <w:bottom w:w="0" w:type="dxa"/>
            <w:right w:w="108" w:type="dxa"/>
          </w:tblCellMar>
        </w:tblPrEx>
        <w:trPr>
          <w:trHeight w:val="23" w:hRule="atLeast"/>
        </w:trPr>
        <w:tc>
          <w:tcPr>
            <w:tcW w:w="2778"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Bani-Melhem</w:t>
            </w:r>
          </w:p>
        </w:tc>
        <w:tc>
          <w:tcPr>
            <w:tcW w:w="850"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2021</w:t>
            </w:r>
          </w:p>
        </w:tc>
        <w:tc>
          <w:tcPr>
            <w:tcW w:w="1134"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205</w:t>
            </w:r>
          </w:p>
        </w:tc>
        <w:tc>
          <w:tcPr>
            <w:tcW w:w="1531"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O</w:t>
            </w:r>
          </w:p>
        </w:tc>
        <w:tc>
          <w:tcPr>
            <w:tcW w:w="1134"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38</w:t>
            </w:r>
          </w:p>
        </w:tc>
        <w:tc>
          <w:tcPr>
            <w:tcW w:w="1134"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-0.2</w:t>
            </w:r>
          </w:p>
        </w:tc>
      </w:tr>
      <w:tr>
        <w:tblPrEx>
          <w:tblCellMar>
            <w:top w:w="0" w:type="dxa"/>
            <w:left w:w="108" w:type="dxa"/>
            <w:bottom w:w="0" w:type="dxa"/>
            <w:right w:w="108" w:type="dxa"/>
          </w:tblCellMar>
        </w:tblPrEx>
        <w:trPr>
          <w:trHeight w:val="23" w:hRule="atLeast"/>
        </w:trPr>
        <w:tc>
          <w:tcPr>
            <w:tcW w:w="2778"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Franken</w:t>
            </w:r>
          </w:p>
        </w:tc>
        <w:tc>
          <w:tcPr>
            <w:tcW w:w="850"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2019</w:t>
            </w:r>
          </w:p>
        </w:tc>
        <w:tc>
          <w:tcPr>
            <w:tcW w:w="1134"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233</w:t>
            </w:r>
          </w:p>
        </w:tc>
        <w:tc>
          <w:tcPr>
            <w:tcW w:w="1531"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P</w:t>
            </w:r>
          </w:p>
        </w:tc>
        <w:tc>
          <w:tcPr>
            <w:tcW w:w="1134"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52.7</w:t>
            </w:r>
          </w:p>
        </w:tc>
        <w:tc>
          <w:tcPr>
            <w:tcW w:w="1134"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0.16</w:t>
            </w:r>
          </w:p>
        </w:tc>
      </w:tr>
      <w:tr>
        <w:tblPrEx>
          <w:tblCellMar>
            <w:top w:w="0" w:type="dxa"/>
            <w:left w:w="108" w:type="dxa"/>
            <w:bottom w:w="0" w:type="dxa"/>
            <w:right w:w="108" w:type="dxa"/>
          </w:tblCellMar>
        </w:tblPrEx>
        <w:trPr>
          <w:trHeight w:val="23" w:hRule="atLeast"/>
        </w:trPr>
        <w:tc>
          <w:tcPr>
            <w:tcW w:w="2778"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Kuntz</w:t>
            </w:r>
          </w:p>
        </w:tc>
        <w:tc>
          <w:tcPr>
            <w:tcW w:w="850"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2017</w:t>
            </w:r>
          </w:p>
        </w:tc>
        <w:tc>
          <w:tcPr>
            <w:tcW w:w="1134"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162</w:t>
            </w:r>
          </w:p>
        </w:tc>
        <w:tc>
          <w:tcPr>
            <w:tcW w:w="1531"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O</w:t>
            </w:r>
          </w:p>
        </w:tc>
        <w:tc>
          <w:tcPr>
            <w:tcW w:w="1134"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51</w:t>
            </w:r>
          </w:p>
        </w:tc>
        <w:tc>
          <w:tcPr>
            <w:tcW w:w="1134"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0.2</w:t>
            </w:r>
          </w:p>
        </w:tc>
      </w:tr>
      <w:tr>
        <w:tblPrEx>
          <w:tblCellMar>
            <w:top w:w="0" w:type="dxa"/>
            <w:left w:w="108" w:type="dxa"/>
            <w:bottom w:w="0" w:type="dxa"/>
            <w:right w:w="108" w:type="dxa"/>
          </w:tblCellMar>
        </w:tblPrEx>
        <w:trPr>
          <w:trHeight w:val="23" w:hRule="atLeast"/>
        </w:trPr>
        <w:tc>
          <w:tcPr>
            <w:tcW w:w="2778" w:type="dxa"/>
            <w:tcBorders>
              <w:top w:val="nil"/>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Oluwaseyi Ojo</w:t>
            </w:r>
          </w:p>
        </w:tc>
        <w:tc>
          <w:tcPr>
            <w:tcW w:w="850" w:type="dxa"/>
            <w:tcBorders>
              <w:top w:val="nil"/>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2021</w:t>
            </w:r>
          </w:p>
        </w:tc>
        <w:tc>
          <w:tcPr>
            <w:tcW w:w="1134" w:type="dxa"/>
            <w:tcBorders>
              <w:top w:val="nil"/>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259</w:t>
            </w:r>
          </w:p>
        </w:tc>
        <w:tc>
          <w:tcPr>
            <w:tcW w:w="1531" w:type="dxa"/>
            <w:tcBorders>
              <w:top w:val="nil"/>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O</w:t>
            </w:r>
          </w:p>
        </w:tc>
        <w:tc>
          <w:tcPr>
            <w:tcW w:w="1134" w:type="dxa"/>
            <w:tcBorders>
              <w:top w:val="nil"/>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41.3</w:t>
            </w:r>
          </w:p>
        </w:tc>
        <w:tc>
          <w:tcPr>
            <w:tcW w:w="1134" w:type="dxa"/>
            <w:tcBorders>
              <w:top w:val="nil"/>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0.243</w:t>
            </w:r>
          </w:p>
        </w:tc>
      </w:tr>
      <w:tr>
        <w:tblPrEx>
          <w:tblCellMar>
            <w:top w:w="0" w:type="dxa"/>
            <w:left w:w="108" w:type="dxa"/>
            <w:bottom w:w="0" w:type="dxa"/>
            <w:right w:w="108" w:type="dxa"/>
          </w:tblCellMar>
        </w:tblPrEx>
        <w:trPr>
          <w:trHeight w:val="280" w:hRule="atLeast"/>
        </w:trPr>
        <w:tc>
          <w:tcPr>
            <w:tcW w:w="8561" w:type="dxa"/>
            <w:gridSpan w:val="6"/>
            <w:tcBorders>
              <w:top w:val="single" w:color="000000" w:sz="4" w:space="0"/>
              <w:left w:val="nil"/>
              <w:bottom w:val="nil"/>
              <w:right w:val="nil"/>
            </w:tcBorders>
            <w:shd w:val="clear" w:color="auto" w:fill="auto"/>
            <w:noWrap/>
            <w:vAlign w:val="center"/>
          </w:tcPr>
          <w:p>
            <w:pPr>
              <w:widowControl/>
              <w:textAlignment w:val="center"/>
              <w:rPr>
                <w:rFonts w:ascii="Times New Roman" w:hAnsi="Times New Roman" w:eastAsia="宋体" w:cs="Times New Roman"/>
                <w:color w:val="000000"/>
                <w:kern w:val="0"/>
                <w:sz w:val="18"/>
                <w:szCs w:val="18"/>
                <w:lang w:bidi="ar"/>
              </w:rPr>
            </w:pPr>
            <w:r>
              <w:rPr>
                <w:rFonts w:ascii="Times New Roman" w:hAnsi="Times New Roman" w:eastAsia="宋体" w:cs="Times New Roman"/>
                <w:color w:val="000000"/>
                <w:kern w:val="0"/>
                <w:sz w:val="18"/>
                <w:szCs w:val="18"/>
                <w:lang w:bidi="ar"/>
              </w:rPr>
              <w:t>Study Population</w:t>
            </w:r>
            <w:r>
              <w:rPr>
                <w:rFonts w:hint="eastAsia" w:ascii="Times New Roman" w:hAnsi="Times New Roman" w:eastAsia="宋体" w:cs="Times New Roman"/>
                <w:color w:val="000000"/>
                <w:kern w:val="0"/>
                <w:sz w:val="18"/>
                <w:szCs w:val="18"/>
                <w:lang w:bidi="ar"/>
              </w:rPr>
              <w:t>：O-other, P-public</w:t>
            </w:r>
          </w:p>
        </w:tc>
      </w:tr>
    </w:tbl>
    <w:p>
      <w:pPr>
        <w:spacing w:line="440" w:lineRule="exact"/>
        <w:rPr>
          <w:rFonts w:ascii="Times New Roman" w:hAnsi="Times New Roman" w:cs="Times New Roman"/>
          <w:b/>
          <w:bCs/>
          <w:i w:val="0"/>
          <w:iCs w:val="0"/>
          <w:sz w:val="24"/>
          <w:szCs w:val="32"/>
        </w:rPr>
      </w:pPr>
      <w:r>
        <w:rPr>
          <w:rFonts w:ascii="Times New Roman" w:hAnsi="Times New Roman" w:cs="Times New Roman"/>
          <w:b/>
          <w:bCs/>
          <w:i w:val="0"/>
          <w:iCs w:val="0"/>
          <w:sz w:val="24"/>
          <w:szCs w:val="32"/>
        </w:rPr>
        <w:t>Published bias test</w:t>
      </w:r>
    </w:p>
    <w:p>
      <w:pPr>
        <w:spacing w:line="440" w:lineRule="exact"/>
        <w:rPr>
          <w:rFonts w:ascii="Times New Roman" w:hAnsi="Times New Roman" w:cs="Times New Roman"/>
          <w:sz w:val="24"/>
          <w:szCs w:val="32"/>
        </w:rPr>
      </w:pPr>
      <w:r>
        <w:rPr>
          <w:rFonts w:ascii="Times New Roman" w:hAnsi="Times New Roman" w:cs="Times New Roman"/>
          <w:sz w:val="24"/>
          <w:szCs w:val="32"/>
        </w:rPr>
        <w:t>First, the funnel plot was used to check for publication bias, and the funnel plot in Figure 1 shows that the effect values are concentrated at the top of the graph and evenly distributed on both sides of the total effect.</w:t>
      </w:r>
      <w:r>
        <w:rPr>
          <w:rFonts w:hint="eastAsia" w:ascii="Times New Roman" w:hAnsi="Times New Roman" w:cs="Times New Roman"/>
          <w:sz w:val="24"/>
          <w:szCs w:val="32"/>
        </w:rPr>
        <w:t xml:space="preserve"> </w:t>
      </w:r>
      <w:r>
        <w:rPr>
          <w:rFonts w:ascii="Times New Roman" w:hAnsi="Times New Roman" w:cs="Times New Roman"/>
          <w:sz w:val="24"/>
          <w:szCs w:val="32"/>
        </w:rPr>
        <w:t>Collectively, the overall publication bias present in this paper has little impact and is suitable for conducting a meta-analysis</w:t>
      </w:r>
      <w:r>
        <w:rPr>
          <w:rFonts w:hint="eastAsia" w:ascii="Times New Roman" w:hAnsi="Times New Roman" w:cs="Times New Roman"/>
          <w:sz w:val="24"/>
          <w:szCs w:val="32"/>
        </w:rPr>
        <w:t>.</w:t>
      </w:r>
    </w:p>
    <w:p>
      <w:pPr>
        <w:jc w:val="center"/>
        <w:rPr>
          <w:rFonts w:ascii="Times New Roman" w:hAnsi="Times New Roman" w:cs="Times New Roman"/>
          <w:sz w:val="24"/>
          <w:szCs w:val="32"/>
        </w:rPr>
      </w:pPr>
      <w:r>
        <w:drawing>
          <wp:anchor distT="0" distB="0" distL="114935" distR="114935" simplePos="0" relativeHeight="251659264" behindDoc="0" locked="0" layoutInCell="1" allowOverlap="1">
            <wp:simplePos x="0" y="0"/>
            <wp:positionH relativeFrom="column">
              <wp:posOffset>-21590</wp:posOffset>
            </wp:positionH>
            <wp:positionV relativeFrom="paragraph">
              <wp:posOffset>193675</wp:posOffset>
            </wp:positionV>
            <wp:extent cx="5274310" cy="3186430"/>
            <wp:effectExtent l="0" t="0" r="8890" b="1270"/>
            <wp:wrapTopAndBottom/>
            <wp:docPr id="2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1"/>
                    <pic:cNvPicPr>
                      <a:picLocks noChangeAspect="1"/>
                    </pic:cNvPicPr>
                  </pic:nvPicPr>
                  <pic:blipFill>
                    <a:blip r:embed="rId4"/>
                    <a:stretch>
                      <a:fillRect/>
                    </a:stretch>
                  </pic:blipFill>
                  <pic:spPr>
                    <a:xfrm>
                      <a:off x="0" y="0"/>
                      <a:ext cx="5274310" cy="3186430"/>
                    </a:xfrm>
                    <a:prstGeom prst="rect">
                      <a:avLst/>
                    </a:prstGeom>
                    <a:noFill/>
                    <a:ln>
                      <a:noFill/>
                    </a:ln>
                  </pic:spPr>
                </pic:pic>
              </a:graphicData>
            </a:graphic>
          </wp:anchor>
        </w:drawing>
      </w:r>
      <w:r>
        <w:rPr>
          <w:rFonts w:ascii="Times New Roman" w:hAnsi="Times New Roman" w:cs="Times New Roman"/>
          <w:b/>
          <w:bCs/>
          <w:szCs w:val="21"/>
        </w:rPr>
        <w:t xml:space="preserve">Figure </w:t>
      </w:r>
      <w:r>
        <w:rPr>
          <w:rFonts w:ascii="Times New Roman" w:hAnsi="Times New Roman" w:cs="Times New Roman"/>
          <w:b/>
          <w:bCs/>
          <w:szCs w:val="21"/>
        </w:rPr>
        <w:fldChar w:fldCharType="begin"/>
      </w:r>
      <w:r>
        <w:rPr>
          <w:rFonts w:ascii="Times New Roman" w:hAnsi="Times New Roman" w:cs="Times New Roman"/>
          <w:b/>
          <w:bCs/>
          <w:szCs w:val="21"/>
        </w:rPr>
        <w:instrText xml:space="preserve"> SEQ 图 \* ARABIC </w:instrText>
      </w:r>
      <w:r>
        <w:rPr>
          <w:rFonts w:ascii="Times New Roman" w:hAnsi="Times New Roman" w:cs="Times New Roman"/>
          <w:b/>
          <w:bCs/>
          <w:szCs w:val="21"/>
        </w:rPr>
        <w:fldChar w:fldCharType="separate"/>
      </w:r>
      <w:r>
        <w:rPr>
          <w:rFonts w:ascii="Times New Roman" w:hAnsi="Times New Roman" w:cs="Times New Roman"/>
          <w:b/>
          <w:bCs/>
          <w:szCs w:val="21"/>
        </w:rPr>
        <w:t>1</w:t>
      </w:r>
      <w:r>
        <w:rPr>
          <w:rFonts w:ascii="Times New Roman" w:hAnsi="Times New Roman" w:cs="Times New Roman"/>
          <w:b/>
          <w:bCs/>
          <w:szCs w:val="21"/>
        </w:rPr>
        <w:fldChar w:fldCharType="end"/>
      </w:r>
      <w:r>
        <w:rPr>
          <w:rFonts w:ascii="Times New Roman" w:hAnsi="Times New Roman" w:cs="Times New Roman"/>
          <w:b/>
          <w:bCs/>
          <w:szCs w:val="21"/>
        </w:rPr>
        <w:t xml:space="preserve"> Funnel Plot</w:t>
      </w:r>
    </w:p>
    <w:p>
      <w:pPr>
        <w:spacing w:line="440" w:lineRule="exact"/>
        <w:rPr>
          <w:rFonts w:ascii="Times New Roman" w:hAnsi="Times New Roman" w:cs="Times New Roman"/>
          <w:b/>
          <w:bCs/>
          <w:sz w:val="24"/>
          <w:szCs w:val="32"/>
        </w:rPr>
      </w:pPr>
      <w:r>
        <w:rPr>
          <w:rFonts w:ascii="Times New Roman" w:hAnsi="Times New Roman" w:cs="Times New Roman"/>
          <w:b/>
          <w:bCs/>
          <w:sz w:val="24"/>
          <w:szCs w:val="32"/>
        </w:rPr>
        <w:t>Heterogeneity test</w:t>
      </w:r>
    </w:p>
    <w:p>
      <w:pPr>
        <w:spacing w:line="440" w:lineRule="exact"/>
        <w:rPr>
          <w:rFonts w:ascii="Times New Roman" w:hAnsi="Times New Roman" w:cs="Times New Roman"/>
          <w:sz w:val="24"/>
          <w:szCs w:val="32"/>
        </w:rPr>
      </w:pPr>
      <w:r>
        <w:rPr>
          <w:rFonts w:hint="eastAsia" w:ascii="Times New Roman" w:hAnsi="Times New Roman" w:cs="Times New Roman"/>
          <w:sz w:val="24"/>
          <w:szCs w:val="32"/>
        </w:rPr>
        <w:t>The results of the heterogeneity test for the relationship between leadership and employee resilience are shown in Table 2. the results indicate that the Q-test for effect values is significant (p &lt; 0.001) and I</w:t>
      </w:r>
      <w:r>
        <w:rPr>
          <w:rFonts w:hint="eastAsia" w:ascii="Times New Roman" w:hAnsi="Times New Roman" w:cs="Times New Roman"/>
          <w:sz w:val="24"/>
          <w:szCs w:val="32"/>
          <w:vertAlign w:val="superscript"/>
        </w:rPr>
        <w:t>2</w:t>
      </w:r>
      <w:r>
        <w:rPr>
          <w:rFonts w:hint="eastAsia" w:ascii="Times New Roman" w:hAnsi="Times New Roman" w:cs="Times New Roman"/>
          <w:sz w:val="24"/>
          <w:szCs w:val="32"/>
        </w:rPr>
        <w:t xml:space="preserve"> = 97.240% ≥ 75%, indicating that 97.240% of the variance in the relationship between leadership and employee resilience is caused by the true difference in effect values, and there is non-negligible heterogeneity among the studies in the meta-analysis. The Tau</w:t>
      </w:r>
      <w:r>
        <w:rPr>
          <w:rFonts w:hint="eastAsia" w:ascii="Times New Roman" w:hAnsi="Times New Roman" w:cs="Times New Roman"/>
          <w:sz w:val="24"/>
          <w:szCs w:val="32"/>
          <w:vertAlign w:val="superscript"/>
        </w:rPr>
        <w:t>2</w:t>
      </w:r>
      <w:r>
        <w:rPr>
          <w:rFonts w:hint="eastAsia" w:ascii="Times New Roman" w:hAnsi="Times New Roman" w:cs="Times New Roman"/>
          <w:sz w:val="24"/>
          <w:szCs w:val="32"/>
        </w:rPr>
        <w:t xml:space="preserve"> value of 0.104 indicates that 10.4% of the variance in effect sizes across studies is available for weight calculation. Drawing on the treatment of previous studies, a random effects model was chosen to further investigate the available data.</w:t>
      </w:r>
    </w:p>
    <w:tbl>
      <w:tblPr>
        <w:tblStyle w:val="2"/>
        <w:tblpPr w:leftFromText="180" w:rightFromText="180" w:vertAnchor="text" w:horzAnchor="page" w:tblpX="1891" w:tblpY="415"/>
        <w:tblOverlap w:val="never"/>
        <w:tblW w:w="8571" w:type="dxa"/>
        <w:tblInd w:w="0" w:type="dxa"/>
        <w:tblLayout w:type="fixed"/>
        <w:tblCellMar>
          <w:top w:w="0" w:type="dxa"/>
          <w:left w:w="108" w:type="dxa"/>
          <w:bottom w:w="0" w:type="dxa"/>
          <w:right w:w="108" w:type="dxa"/>
        </w:tblCellMar>
      </w:tblPr>
      <w:tblGrid>
        <w:gridCol w:w="960"/>
        <w:gridCol w:w="1417"/>
        <w:gridCol w:w="979"/>
        <w:gridCol w:w="777"/>
        <w:gridCol w:w="661"/>
        <w:gridCol w:w="800"/>
        <w:gridCol w:w="677"/>
        <w:gridCol w:w="639"/>
        <w:gridCol w:w="961"/>
        <w:gridCol w:w="700"/>
      </w:tblGrid>
      <w:tr>
        <w:tblPrEx>
          <w:tblCellMar>
            <w:top w:w="0" w:type="dxa"/>
            <w:left w:w="108" w:type="dxa"/>
            <w:bottom w:w="0" w:type="dxa"/>
            <w:right w:w="108" w:type="dxa"/>
          </w:tblCellMar>
        </w:tblPrEx>
        <w:trPr>
          <w:trHeight w:val="90" w:hRule="atLeast"/>
        </w:trPr>
        <w:tc>
          <w:tcPr>
            <w:tcW w:w="8571" w:type="dxa"/>
            <w:gridSpan w:val="10"/>
            <w:tcBorders>
              <w:top w:val="nil"/>
              <w:left w:val="nil"/>
              <w:bottom w:val="nil"/>
              <w:right w:val="nil"/>
            </w:tcBorders>
            <w:shd w:val="clear" w:color="auto" w:fill="auto"/>
            <w:noWrap/>
            <w:vAlign w:val="center"/>
          </w:tcPr>
          <w:p>
            <w:pPr>
              <w:widowControl/>
              <w:jc w:val="left"/>
              <w:textAlignment w:val="center"/>
              <w:rPr>
                <w:rFonts w:ascii="Times New Roman" w:hAnsi="Times New Roman" w:eastAsia="DY1" w:cs="Times New Roman"/>
                <w:b/>
                <w:bCs/>
                <w:color w:val="000000"/>
                <w:kern w:val="0"/>
                <w:szCs w:val="21"/>
                <w:lang w:bidi="ar"/>
              </w:rPr>
            </w:pPr>
            <w:r>
              <w:rPr>
                <w:rFonts w:hint="eastAsia" w:ascii="Times New Roman" w:hAnsi="Times New Roman" w:eastAsia="宋体" w:cs="Times New Roman"/>
                <w:b/>
                <w:bCs/>
                <w:color w:val="000000"/>
                <w:kern w:val="0"/>
                <w:szCs w:val="21"/>
                <w:lang w:bidi="ar"/>
              </w:rPr>
              <w:t>Table2</w:t>
            </w:r>
          </w:p>
        </w:tc>
      </w:tr>
      <w:tr>
        <w:tblPrEx>
          <w:tblCellMar>
            <w:top w:w="0" w:type="dxa"/>
            <w:left w:w="108" w:type="dxa"/>
            <w:bottom w:w="0" w:type="dxa"/>
            <w:right w:w="108" w:type="dxa"/>
          </w:tblCellMar>
        </w:tblPrEx>
        <w:trPr>
          <w:trHeight w:val="280" w:hRule="atLeast"/>
        </w:trPr>
        <w:tc>
          <w:tcPr>
            <w:tcW w:w="8571" w:type="dxa"/>
            <w:gridSpan w:val="10"/>
            <w:tcBorders>
              <w:top w:val="nil"/>
              <w:left w:val="nil"/>
              <w:right w:val="nil"/>
            </w:tcBorders>
            <w:shd w:val="clear" w:color="auto" w:fill="auto"/>
            <w:noWrap/>
            <w:vAlign w:val="center"/>
          </w:tcPr>
          <w:p>
            <w:pPr>
              <w:widowControl/>
              <w:jc w:val="left"/>
              <w:textAlignment w:val="center"/>
              <w:rPr>
                <w:rFonts w:ascii="Times New Roman" w:hAnsi="Times New Roman" w:eastAsia="DY1" w:cs="Times New Roman"/>
                <w:b/>
                <w:bCs/>
                <w:color w:val="000000"/>
                <w:kern w:val="0"/>
                <w:szCs w:val="21"/>
                <w:lang w:bidi="ar"/>
              </w:rPr>
            </w:pPr>
            <w:r>
              <w:rPr>
                <w:rFonts w:ascii="Times New Roman" w:hAnsi="Times New Roman" w:eastAsia="DY1" w:cs="Times New Roman"/>
                <w:b/>
                <w:bCs/>
                <w:color w:val="000000"/>
                <w:kern w:val="0"/>
                <w:szCs w:val="21"/>
                <w:lang w:bidi="ar"/>
              </w:rPr>
              <w:t>Results of the test for heterogeneity of effect values (Q-statistics)</w:t>
            </w:r>
          </w:p>
        </w:tc>
      </w:tr>
      <w:tr>
        <w:tblPrEx>
          <w:tblCellMar>
            <w:top w:w="0" w:type="dxa"/>
            <w:left w:w="108" w:type="dxa"/>
            <w:bottom w:w="0" w:type="dxa"/>
            <w:right w:w="108" w:type="dxa"/>
          </w:tblCellMar>
        </w:tblPrEx>
        <w:trPr>
          <w:trHeight w:val="280" w:hRule="atLeast"/>
        </w:trPr>
        <w:tc>
          <w:tcPr>
            <w:tcW w:w="960" w:type="dxa"/>
            <w:vMerge w:val="restart"/>
            <w:tcBorders>
              <w:top w:val="single" w:color="000000" w:sz="4" w:space="0"/>
              <w:left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Model</w:t>
            </w:r>
          </w:p>
        </w:tc>
        <w:tc>
          <w:tcPr>
            <w:tcW w:w="1417" w:type="dxa"/>
            <w:vMerge w:val="restart"/>
            <w:tcBorders>
              <w:top w:val="single" w:color="000000" w:sz="4" w:space="0"/>
              <w:left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Number Studies</w:t>
            </w:r>
          </w:p>
        </w:tc>
        <w:tc>
          <w:tcPr>
            <w:tcW w:w="3217" w:type="dxa"/>
            <w:gridSpan w:val="4"/>
            <w:tcBorders>
              <w:top w:val="single" w:color="000000" w:sz="4" w:space="0"/>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Heterogeneity</w:t>
            </w:r>
          </w:p>
        </w:tc>
        <w:tc>
          <w:tcPr>
            <w:tcW w:w="2977" w:type="dxa"/>
            <w:gridSpan w:val="4"/>
            <w:tcBorders>
              <w:top w:val="single" w:color="000000" w:sz="4" w:space="0"/>
              <w:left w:val="nil"/>
              <w:bottom w:val="single" w:color="000000" w:sz="4" w:space="0"/>
              <w:right w:val="nil"/>
            </w:tcBorders>
            <w:shd w:val="clear" w:color="auto" w:fill="auto"/>
            <w:vAlign w:val="center"/>
          </w:tcPr>
          <w:p>
            <w:pPr>
              <w:widowControl/>
              <w:jc w:val="center"/>
              <w:textAlignment w:val="center"/>
              <w:rPr>
                <w:rFonts w:ascii="Times New Roman" w:hAnsi="Times New Roman" w:eastAsia="DY1" w:cs="Times New Roman"/>
                <w:color w:val="000000"/>
                <w:sz w:val="18"/>
                <w:szCs w:val="18"/>
              </w:rPr>
            </w:pPr>
            <w:r>
              <w:rPr>
                <w:rFonts w:ascii="Times New Roman" w:hAnsi="Times New Roman" w:eastAsia="DY1" w:cs="Times New Roman"/>
                <w:color w:val="000000"/>
                <w:kern w:val="0"/>
                <w:sz w:val="18"/>
                <w:szCs w:val="18"/>
                <w:lang w:bidi="ar"/>
              </w:rPr>
              <w:t>Tau2</w:t>
            </w:r>
          </w:p>
        </w:tc>
      </w:tr>
      <w:tr>
        <w:tblPrEx>
          <w:tblCellMar>
            <w:top w:w="0" w:type="dxa"/>
            <w:left w:w="108" w:type="dxa"/>
            <w:bottom w:w="0" w:type="dxa"/>
            <w:right w:w="108" w:type="dxa"/>
          </w:tblCellMar>
        </w:tblPrEx>
        <w:trPr>
          <w:trHeight w:val="280" w:hRule="atLeast"/>
        </w:trPr>
        <w:tc>
          <w:tcPr>
            <w:tcW w:w="960" w:type="dxa"/>
            <w:vMerge w:val="continue"/>
            <w:tcBorders>
              <w:left w:val="nil"/>
              <w:bottom w:val="single" w:color="000000" w:sz="4" w:space="0"/>
              <w:right w:val="nil"/>
            </w:tcBorders>
            <w:shd w:val="clear" w:color="auto" w:fill="auto"/>
            <w:noWrap/>
            <w:vAlign w:val="center"/>
          </w:tcPr>
          <w:p>
            <w:pPr>
              <w:jc w:val="center"/>
              <w:rPr>
                <w:rFonts w:ascii="Times New Roman" w:hAnsi="Times New Roman" w:eastAsia="宋体" w:cs="Times New Roman"/>
                <w:color w:val="000000"/>
                <w:sz w:val="18"/>
                <w:szCs w:val="18"/>
              </w:rPr>
            </w:pPr>
          </w:p>
        </w:tc>
        <w:tc>
          <w:tcPr>
            <w:tcW w:w="1417" w:type="dxa"/>
            <w:vMerge w:val="continue"/>
            <w:tcBorders>
              <w:left w:val="nil"/>
              <w:bottom w:val="single" w:color="000000" w:sz="4" w:space="0"/>
              <w:right w:val="nil"/>
            </w:tcBorders>
            <w:shd w:val="clear" w:color="auto" w:fill="auto"/>
            <w:noWrap/>
            <w:vAlign w:val="center"/>
          </w:tcPr>
          <w:p>
            <w:pPr>
              <w:jc w:val="center"/>
              <w:rPr>
                <w:rFonts w:ascii="Times New Roman" w:hAnsi="Times New Roman" w:eastAsia="宋体" w:cs="Times New Roman"/>
                <w:color w:val="000000"/>
                <w:sz w:val="18"/>
                <w:szCs w:val="18"/>
              </w:rPr>
            </w:pPr>
          </w:p>
        </w:tc>
        <w:tc>
          <w:tcPr>
            <w:tcW w:w="979" w:type="dxa"/>
            <w:tcBorders>
              <w:top w:val="single" w:color="000000" w:sz="4" w:space="0"/>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Q</w:t>
            </w:r>
          </w:p>
        </w:tc>
        <w:tc>
          <w:tcPr>
            <w:tcW w:w="777" w:type="dxa"/>
            <w:tcBorders>
              <w:top w:val="single" w:color="000000" w:sz="4" w:space="0"/>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df(Q)</w:t>
            </w:r>
          </w:p>
        </w:tc>
        <w:tc>
          <w:tcPr>
            <w:tcW w:w="661" w:type="dxa"/>
            <w:tcBorders>
              <w:top w:val="single" w:color="000000" w:sz="4" w:space="0"/>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P</w:t>
            </w:r>
          </w:p>
        </w:tc>
        <w:tc>
          <w:tcPr>
            <w:tcW w:w="800" w:type="dxa"/>
            <w:tcBorders>
              <w:top w:val="single" w:color="000000" w:sz="4" w:space="0"/>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I</w:t>
            </w:r>
            <w:r>
              <w:rPr>
                <w:rFonts w:ascii="Times New Roman" w:hAnsi="Times New Roman" w:eastAsia="宋体" w:cs="Times New Roman"/>
                <w:color w:val="000000"/>
                <w:kern w:val="0"/>
                <w:sz w:val="18"/>
                <w:szCs w:val="18"/>
                <w:vertAlign w:val="superscript"/>
                <w:lang w:bidi="ar"/>
              </w:rPr>
              <w:t>2</w:t>
            </w:r>
          </w:p>
        </w:tc>
        <w:tc>
          <w:tcPr>
            <w:tcW w:w="677" w:type="dxa"/>
            <w:tcBorders>
              <w:top w:val="single" w:color="000000" w:sz="4" w:space="0"/>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DY1" w:cs="Times New Roman"/>
                <w:color w:val="000000"/>
                <w:sz w:val="18"/>
                <w:szCs w:val="18"/>
              </w:rPr>
            </w:pPr>
            <w:r>
              <w:rPr>
                <w:rFonts w:ascii="Times New Roman" w:hAnsi="Times New Roman" w:eastAsia="DY1" w:cs="Times New Roman"/>
                <w:color w:val="000000"/>
                <w:kern w:val="0"/>
                <w:sz w:val="18"/>
                <w:szCs w:val="18"/>
                <w:lang w:bidi="ar"/>
              </w:rPr>
              <w:t>Tau</w:t>
            </w:r>
            <w:r>
              <w:rPr>
                <w:rFonts w:ascii="Times New Roman" w:hAnsi="Times New Roman" w:eastAsia="DY1" w:cs="Times New Roman"/>
                <w:color w:val="000000"/>
                <w:kern w:val="0"/>
                <w:sz w:val="18"/>
                <w:szCs w:val="18"/>
                <w:vertAlign w:val="superscript"/>
                <w:lang w:bidi="ar"/>
              </w:rPr>
              <w:t>2</w:t>
            </w:r>
          </w:p>
        </w:tc>
        <w:tc>
          <w:tcPr>
            <w:tcW w:w="639" w:type="dxa"/>
            <w:tcBorders>
              <w:top w:val="single" w:color="000000" w:sz="4" w:space="0"/>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SE</w:t>
            </w:r>
          </w:p>
        </w:tc>
        <w:tc>
          <w:tcPr>
            <w:tcW w:w="961" w:type="dxa"/>
            <w:tcBorders>
              <w:top w:val="single" w:color="000000" w:sz="4" w:space="0"/>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Variance</w:t>
            </w:r>
          </w:p>
        </w:tc>
        <w:tc>
          <w:tcPr>
            <w:tcW w:w="700" w:type="dxa"/>
            <w:tcBorders>
              <w:top w:val="single" w:color="000000" w:sz="4" w:space="0"/>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Tau</w:t>
            </w:r>
          </w:p>
        </w:tc>
      </w:tr>
      <w:tr>
        <w:tblPrEx>
          <w:tblCellMar>
            <w:top w:w="0" w:type="dxa"/>
            <w:left w:w="108" w:type="dxa"/>
            <w:bottom w:w="0" w:type="dxa"/>
            <w:right w:w="108" w:type="dxa"/>
          </w:tblCellMar>
        </w:tblPrEx>
        <w:trPr>
          <w:trHeight w:val="280" w:hRule="atLeast"/>
        </w:trPr>
        <w:tc>
          <w:tcPr>
            <w:tcW w:w="960" w:type="dxa"/>
            <w:tcBorders>
              <w:top w:val="single" w:color="000000" w:sz="4" w:space="0"/>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Random</w:t>
            </w:r>
          </w:p>
        </w:tc>
        <w:tc>
          <w:tcPr>
            <w:tcW w:w="1417" w:type="dxa"/>
            <w:tcBorders>
              <w:top w:val="single" w:color="000000" w:sz="4" w:space="0"/>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23</w:t>
            </w:r>
          </w:p>
        </w:tc>
        <w:tc>
          <w:tcPr>
            <w:tcW w:w="979" w:type="dxa"/>
            <w:tcBorders>
              <w:top w:val="single" w:color="000000" w:sz="4" w:space="0"/>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796.966</w:t>
            </w:r>
          </w:p>
        </w:tc>
        <w:tc>
          <w:tcPr>
            <w:tcW w:w="777" w:type="dxa"/>
            <w:tcBorders>
              <w:top w:val="single" w:color="000000" w:sz="4" w:space="0"/>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22</w:t>
            </w:r>
          </w:p>
        </w:tc>
        <w:tc>
          <w:tcPr>
            <w:tcW w:w="661" w:type="dxa"/>
            <w:tcBorders>
              <w:top w:val="single" w:color="000000" w:sz="4" w:space="0"/>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0</w:t>
            </w:r>
            <w:r>
              <w:rPr>
                <w:rFonts w:hint="eastAsia" w:ascii="Times New Roman" w:hAnsi="Times New Roman" w:eastAsia="宋体" w:cs="Times New Roman"/>
                <w:color w:val="000000"/>
                <w:kern w:val="0"/>
                <w:sz w:val="18"/>
                <w:szCs w:val="18"/>
                <w:lang w:bidi="ar"/>
              </w:rPr>
              <w:t>.000</w:t>
            </w:r>
          </w:p>
        </w:tc>
        <w:tc>
          <w:tcPr>
            <w:tcW w:w="800" w:type="dxa"/>
            <w:tcBorders>
              <w:top w:val="single" w:color="000000" w:sz="4" w:space="0"/>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97.24</w:t>
            </w:r>
            <w:r>
              <w:rPr>
                <w:rFonts w:hint="eastAsia" w:ascii="Times New Roman" w:hAnsi="Times New Roman" w:eastAsia="宋体" w:cs="Times New Roman"/>
                <w:color w:val="000000"/>
                <w:kern w:val="0"/>
                <w:sz w:val="18"/>
                <w:szCs w:val="18"/>
                <w:lang w:bidi="ar"/>
              </w:rPr>
              <w:t>0</w:t>
            </w:r>
          </w:p>
        </w:tc>
        <w:tc>
          <w:tcPr>
            <w:tcW w:w="677" w:type="dxa"/>
            <w:tcBorders>
              <w:top w:val="single" w:color="000000" w:sz="4" w:space="0"/>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0.104</w:t>
            </w:r>
          </w:p>
        </w:tc>
        <w:tc>
          <w:tcPr>
            <w:tcW w:w="639" w:type="dxa"/>
            <w:tcBorders>
              <w:top w:val="single" w:color="000000" w:sz="4" w:space="0"/>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0.039</w:t>
            </w:r>
          </w:p>
        </w:tc>
        <w:tc>
          <w:tcPr>
            <w:tcW w:w="961" w:type="dxa"/>
            <w:tcBorders>
              <w:top w:val="single" w:color="000000" w:sz="4" w:space="0"/>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0.002</w:t>
            </w:r>
          </w:p>
        </w:tc>
        <w:tc>
          <w:tcPr>
            <w:tcW w:w="700" w:type="dxa"/>
            <w:tcBorders>
              <w:top w:val="single" w:color="000000" w:sz="4" w:space="0"/>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0.032</w:t>
            </w:r>
          </w:p>
        </w:tc>
      </w:tr>
    </w:tbl>
    <w:p>
      <w:pPr>
        <w:spacing w:line="440" w:lineRule="exact"/>
        <w:ind w:firstLine="420"/>
        <w:rPr>
          <w:rFonts w:ascii="Times New Roman" w:hAnsi="Times New Roman" w:cs="Times New Roman"/>
          <w:sz w:val="24"/>
          <w:szCs w:val="32"/>
        </w:rPr>
      </w:pPr>
    </w:p>
    <w:p>
      <w:pPr>
        <w:spacing w:line="440" w:lineRule="exact"/>
        <w:rPr>
          <w:rFonts w:ascii="Times New Roman" w:hAnsi="Times New Roman" w:cs="Times New Roman"/>
          <w:b/>
          <w:bCs/>
          <w:sz w:val="24"/>
          <w:szCs w:val="32"/>
        </w:rPr>
      </w:pPr>
      <w:r>
        <w:rPr>
          <w:rFonts w:ascii="Times New Roman" w:hAnsi="Times New Roman" w:cs="Times New Roman"/>
          <w:b/>
          <w:bCs/>
          <w:sz w:val="24"/>
          <w:szCs w:val="32"/>
        </w:rPr>
        <w:t>Main effects test</w:t>
      </w:r>
    </w:p>
    <w:p>
      <w:pPr>
        <w:spacing w:line="440" w:lineRule="exact"/>
        <w:rPr>
          <w:rFonts w:ascii="Times New Roman" w:hAnsi="Times New Roman" w:cs="Times New Roman"/>
          <w:sz w:val="24"/>
          <w:szCs w:val="32"/>
        </w:rPr>
      </w:pPr>
      <w:r>
        <w:rPr>
          <w:rFonts w:ascii="Times New Roman" w:hAnsi="Times New Roman" w:cs="Times New Roman"/>
          <w:sz w:val="24"/>
          <w:szCs w:val="32"/>
        </w:rPr>
        <w:t>A random effects model was used to explore the degree of overall correlation between leadership and employee resilience, and results (see Table 3) showed a correlation coefficient of 0.21 and a 95% confidence interval of [0.079,0.3342] for the effect size. According to previous suggestions, r = 0.1, r = 0.2, and r = 0. 3 are low, moderate, and strong correlations, respectively. Therefore, it can be concluded that there is a moderate degree of positive correlation between leadership and employee resilience.</w:t>
      </w:r>
    </w:p>
    <w:tbl>
      <w:tblPr>
        <w:tblStyle w:val="2"/>
        <w:tblpPr w:leftFromText="180" w:rightFromText="180" w:vertAnchor="text" w:horzAnchor="page" w:tblpX="1891" w:tblpY="415"/>
        <w:tblOverlap w:val="never"/>
        <w:tblW w:w="8571" w:type="dxa"/>
        <w:tblInd w:w="0" w:type="dxa"/>
        <w:tblLayout w:type="fixed"/>
        <w:tblCellMar>
          <w:top w:w="0" w:type="dxa"/>
          <w:left w:w="108" w:type="dxa"/>
          <w:bottom w:w="0" w:type="dxa"/>
          <w:right w:w="108" w:type="dxa"/>
        </w:tblCellMar>
      </w:tblPr>
      <w:tblGrid>
        <w:gridCol w:w="960"/>
        <w:gridCol w:w="1417"/>
        <w:gridCol w:w="1756"/>
        <w:gridCol w:w="661"/>
        <w:gridCol w:w="800"/>
        <w:gridCol w:w="1316"/>
        <w:gridCol w:w="1661"/>
      </w:tblGrid>
      <w:tr>
        <w:tblPrEx>
          <w:tblCellMar>
            <w:top w:w="0" w:type="dxa"/>
            <w:left w:w="108" w:type="dxa"/>
            <w:bottom w:w="0" w:type="dxa"/>
            <w:right w:w="108" w:type="dxa"/>
          </w:tblCellMar>
        </w:tblPrEx>
        <w:trPr>
          <w:trHeight w:val="280" w:hRule="atLeast"/>
        </w:trPr>
        <w:tc>
          <w:tcPr>
            <w:tcW w:w="8571" w:type="dxa"/>
            <w:gridSpan w:val="7"/>
            <w:tcBorders>
              <w:top w:val="nil"/>
              <w:left w:val="nil"/>
              <w:bottom w:val="nil"/>
              <w:right w:val="nil"/>
            </w:tcBorders>
            <w:shd w:val="clear" w:color="auto" w:fill="auto"/>
            <w:noWrap/>
            <w:vAlign w:val="center"/>
          </w:tcPr>
          <w:p>
            <w:pPr>
              <w:widowControl/>
              <w:jc w:val="left"/>
              <w:textAlignment w:val="center"/>
              <w:rPr>
                <w:rFonts w:ascii="Times New Roman" w:hAnsi="Times New Roman" w:eastAsia="DY1" w:cs="Times New Roman"/>
                <w:b/>
                <w:bCs/>
                <w:color w:val="000000"/>
                <w:kern w:val="0"/>
                <w:szCs w:val="21"/>
                <w:lang w:bidi="ar"/>
              </w:rPr>
            </w:pPr>
            <w:r>
              <w:rPr>
                <w:rFonts w:hint="eastAsia" w:ascii="Times New Roman" w:hAnsi="Times New Roman" w:eastAsia="宋体" w:cs="Times New Roman"/>
                <w:b/>
                <w:bCs/>
                <w:color w:val="000000"/>
                <w:kern w:val="0"/>
                <w:szCs w:val="21"/>
                <w:lang w:bidi="ar"/>
              </w:rPr>
              <w:t>Table 3</w:t>
            </w:r>
          </w:p>
        </w:tc>
      </w:tr>
      <w:tr>
        <w:tblPrEx>
          <w:tblCellMar>
            <w:top w:w="0" w:type="dxa"/>
            <w:left w:w="108" w:type="dxa"/>
            <w:bottom w:w="0" w:type="dxa"/>
            <w:right w:w="108" w:type="dxa"/>
          </w:tblCellMar>
        </w:tblPrEx>
        <w:trPr>
          <w:trHeight w:val="280" w:hRule="atLeast"/>
        </w:trPr>
        <w:tc>
          <w:tcPr>
            <w:tcW w:w="8571" w:type="dxa"/>
            <w:gridSpan w:val="7"/>
            <w:tcBorders>
              <w:top w:val="nil"/>
              <w:left w:val="nil"/>
              <w:right w:val="nil"/>
            </w:tcBorders>
            <w:shd w:val="clear" w:color="auto" w:fill="auto"/>
            <w:noWrap/>
            <w:vAlign w:val="center"/>
          </w:tcPr>
          <w:p>
            <w:pPr>
              <w:widowControl/>
              <w:jc w:val="left"/>
              <w:textAlignment w:val="center"/>
              <w:rPr>
                <w:rFonts w:ascii="Times New Roman" w:hAnsi="Times New Roman" w:eastAsia="DY1" w:cs="Times New Roman"/>
                <w:b/>
                <w:bCs/>
                <w:color w:val="000000"/>
                <w:kern w:val="0"/>
                <w:szCs w:val="21"/>
                <w:lang w:bidi="ar"/>
              </w:rPr>
            </w:pPr>
            <w:r>
              <w:rPr>
                <w:rFonts w:ascii="Times New Roman" w:hAnsi="Times New Roman" w:eastAsia="DY1" w:cs="Times New Roman"/>
                <w:b/>
                <w:bCs/>
                <w:color w:val="000000"/>
                <w:kern w:val="0"/>
                <w:szCs w:val="21"/>
                <w:lang w:bidi="ar"/>
              </w:rPr>
              <w:t>Results of the main effects test of leadership and employee resilience</w:t>
            </w:r>
          </w:p>
        </w:tc>
      </w:tr>
      <w:tr>
        <w:tblPrEx>
          <w:tblCellMar>
            <w:top w:w="0" w:type="dxa"/>
            <w:left w:w="108" w:type="dxa"/>
            <w:bottom w:w="0" w:type="dxa"/>
            <w:right w:w="108" w:type="dxa"/>
          </w:tblCellMar>
        </w:tblPrEx>
        <w:trPr>
          <w:trHeight w:val="304" w:hRule="atLeast"/>
        </w:trPr>
        <w:tc>
          <w:tcPr>
            <w:tcW w:w="960" w:type="dxa"/>
            <w:vMerge w:val="restart"/>
            <w:tcBorders>
              <w:top w:val="single" w:color="000000" w:sz="4" w:space="0"/>
              <w:left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Model</w:t>
            </w:r>
          </w:p>
        </w:tc>
        <w:tc>
          <w:tcPr>
            <w:tcW w:w="1417" w:type="dxa"/>
            <w:vMerge w:val="restart"/>
            <w:tcBorders>
              <w:top w:val="single" w:color="000000" w:sz="4" w:space="0"/>
              <w:left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Number Studies</w:t>
            </w:r>
          </w:p>
        </w:tc>
        <w:tc>
          <w:tcPr>
            <w:tcW w:w="3217" w:type="dxa"/>
            <w:gridSpan w:val="3"/>
            <w:tcBorders>
              <w:top w:val="single" w:color="000000" w:sz="4" w:space="0"/>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Correlation and 95% CI</w:t>
            </w:r>
          </w:p>
        </w:tc>
        <w:tc>
          <w:tcPr>
            <w:tcW w:w="2977" w:type="dxa"/>
            <w:gridSpan w:val="2"/>
            <w:tcBorders>
              <w:top w:val="single" w:color="000000" w:sz="4" w:space="0"/>
              <w:left w:val="nil"/>
              <w:bottom w:val="single" w:color="000000" w:sz="4" w:space="0"/>
              <w:right w:val="nil"/>
            </w:tcBorders>
            <w:shd w:val="clear" w:color="auto" w:fill="auto"/>
            <w:vAlign w:val="center"/>
          </w:tcPr>
          <w:p>
            <w:pPr>
              <w:widowControl/>
              <w:jc w:val="center"/>
              <w:textAlignment w:val="center"/>
              <w:rPr>
                <w:rFonts w:ascii="Times New Roman" w:hAnsi="Times New Roman" w:eastAsia="DY1" w:cs="Times New Roman"/>
                <w:color w:val="000000"/>
                <w:sz w:val="18"/>
                <w:szCs w:val="18"/>
              </w:rPr>
            </w:pPr>
            <w:r>
              <w:rPr>
                <w:rFonts w:ascii="Times New Roman" w:hAnsi="Times New Roman" w:eastAsia="DY1" w:cs="Times New Roman"/>
                <w:color w:val="000000"/>
                <w:kern w:val="0"/>
                <w:sz w:val="18"/>
                <w:szCs w:val="18"/>
                <w:lang w:bidi="ar"/>
              </w:rPr>
              <w:t>Two</w:t>
            </w:r>
            <w:r>
              <w:rPr>
                <w:rFonts w:hint="eastAsia" w:ascii="Times New Roman" w:hAnsi="Times New Roman" w:eastAsia="DY1" w:cs="Times New Roman"/>
                <w:color w:val="000000"/>
                <w:kern w:val="0"/>
                <w:sz w:val="18"/>
                <w:szCs w:val="18"/>
                <w:lang w:bidi="ar"/>
              </w:rPr>
              <w:t>-</w:t>
            </w:r>
            <w:r>
              <w:rPr>
                <w:rFonts w:ascii="Times New Roman" w:hAnsi="Times New Roman" w:eastAsia="DY1" w:cs="Times New Roman"/>
                <w:color w:val="000000"/>
                <w:kern w:val="0"/>
                <w:sz w:val="18"/>
                <w:szCs w:val="18"/>
                <w:lang w:bidi="ar"/>
              </w:rPr>
              <w:t>tailed</w:t>
            </w:r>
            <w:r>
              <w:rPr>
                <w:rFonts w:hint="eastAsia" w:ascii="Times New Roman" w:hAnsi="Times New Roman" w:eastAsia="DY1" w:cs="Times New Roman"/>
                <w:color w:val="000000"/>
                <w:kern w:val="0"/>
                <w:sz w:val="18"/>
                <w:szCs w:val="18"/>
                <w:lang w:bidi="ar"/>
              </w:rPr>
              <w:t xml:space="preserve"> </w:t>
            </w:r>
            <w:r>
              <w:rPr>
                <w:rFonts w:ascii="Times New Roman" w:hAnsi="Times New Roman" w:eastAsia="DY1" w:cs="Times New Roman"/>
                <w:color w:val="000000"/>
                <w:kern w:val="0"/>
                <w:sz w:val="18"/>
                <w:szCs w:val="18"/>
                <w:lang w:bidi="ar"/>
              </w:rPr>
              <w:t>test</w:t>
            </w:r>
          </w:p>
        </w:tc>
      </w:tr>
      <w:tr>
        <w:tblPrEx>
          <w:tblCellMar>
            <w:top w:w="0" w:type="dxa"/>
            <w:left w:w="108" w:type="dxa"/>
            <w:bottom w:w="0" w:type="dxa"/>
            <w:right w:w="108" w:type="dxa"/>
          </w:tblCellMar>
        </w:tblPrEx>
        <w:trPr>
          <w:trHeight w:val="280" w:hRule="atLeast"/>
        </w:trPr>
        <w:tc>
          <w:tcPr>
            <w:tcW w:w="960" w:type="dxa"/>
            <w:vMerge w:val="continue"/>
            <w:tcBorders>
              <w:left w:val="nil"/>
              <w:bottom w:val="single" w:color="000000" w:sz="4" w:space="0"/>
              <w:right w:val="nil"/>
            </w:tcBorders>
            <w:shd w:val="clear" w:color="auto" w:fill="auto"/>
            <w:noWrap/>
            <w:vAlign w:val="center"/>
          </w:tcPr>
          <w:p>
            <w:pPr>
              <w:jc w:val="center"/>
              <w:rPr>
                <w:rFonts w:ascii="Times New Roman" w:hAnsi="Times New Roman" w:eastAsia="宋体" w:cs="Times New Roman"/>
                <w:color w:val="000000"/>
                <w:sz w:val="18"/>
                <w:szCs w:val="18"/>
              </w:rPr>
            </w:pPr>
          </w:p>
        </w:tc>
        <w:tc>
          <w:tcPr>
            <w:tcW w:w="1417" w:type="dxa"/>
            <w:vMerge w:val="continue"/>
            <w:tcBorders>
              <w:left w:val="nil"/>
              <w:bottom w:val="single" w:color="000000" w:sz="4" w:space="0"/>
              <w:right w:val="nil"/>
            </w:tcBorders>
            <w:shd w:val="clear" w:color="auto" w:fill="auto"/>
            <w:noWrap/>
            <w:vAlign w:val="center"/>
          </w:tcPr>
          <w:p>
            <w:pPr>
              <w:jc w:val="center"/>
              <w:rPr>
                <w:rFonts w:ascii="Times New Roman" w:hAnsi="Times New Roman" w:eastAsia="宋体" w:cs="Times New Roman"/>
                <w:color w:val="000000"/>
                <w:sz w:val="18"/>
                <w:szCs w:val="18"/>
              </w:rPr>
            </w:pPr>
          </w:p>
        </w:tc>
        <w:tc>
          <w:tcPr>
            <w:tcW w:w="1756" w:type="dxa"/>
            <w:tcBorders>
              <w:top w:val="single" w:color="000000" w:sz="4" w:space="0"/>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Correlation</w:t>
            </w:r>
          </w:p>
        </w:tc>
        <w:tc>
          <w:tcPr>
            <w:tcW w:w="661" w:type="dxa"/>
            <w:tcBorders>
              <w:top w:val="single" w:color="000000" w:sz="4" w:space="0"/>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hint="eastAsia" w:ascii="Times New Roman" w:hAnsi="Times New Roman" w:eastAsia="宋体" w:cs="Times New Roman"/>
                <w:color w:val="000000"/>
                <w:kern w:val="0"/>
                <w:sz w:val="18"/>
                <w:szCs w:val="18"/>
                <w:lang w:bidi="ar"/>
              </w:rPr>
              <w:t>LLCI</w:t>
            </w:r>
          </w:p>
        </w:tc>
        <w:tc>
          <w:tcPr>
            <w:tcW w:w="800" w:type="dxa"/>
            <w:tcBorders>
              <w:top w:val="single" w:color="000000" w:sz="4" w:space="0"/>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hint="eastAsia" w:ascii="Times New Roman" w:hAnsi="Times New Roman" w:eastAsia="宋体" w:cs="Times New Roman"/>
                <w:color w:val="000000"/>
                <w:kern w:val="0"/>
                <w:sz w:val="18"/>
                <w:szCs w:val="18"/>
                <w:lang w:bidi="ar"/>
              </w:rPr>
              <w:t>ULCI</w:t>
            </w:r>
          </w:p>
        </w:tc>
        <w:tc>
          <w:tcPr>
            <w:tcW w:w="1316" w:type="dxa"/>
            <w:tcBorders>
              <w:top w:val="single" w:color="000000" w:sz="4" w:space="0"/>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hint="eastAsia" w:ascii="Times New Roman" w:hAnsi="Times New Roman" w:eastAsia="宋体" w:cs="Times New Roman"/>
                <w:color w:val="000000"/>
                <w:sz w:val="18"/>
                <w:szCs w:val="18"/>
              </w:rPr>
              <w:t>Z</w:t>
            </w:r>
          </w:p>
        </w:tc>
        <w:tc>
          <w:tcPr>
            <w:tcW w:w="1661" w:type="dxa"/>
            <w:tcBorders>
              <w:top w:val="single" w:color="000000" w:sz="4" w:space="0"/>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hint="eastAsia" w:ascii="Times New Roman" w:hAnsi="Times New Roman" w:eastAsia="宋体" w:cs="Times New Roman"/>
                <w:color w:val="000000"/>
                <w:sz w:val="18"/>
                <w:szCs w:val="18"/>
              </w:rPr>
              <w:t>P</w:t>
            </w:r>
          </w:p>
        </w:tc>
      </w:tr>
      <w:tr>
        <w:tblPrEx>
          <w:tblCellMar>
            <w:top w:w="0" w:type="dxa"/>
            <w:left w:w="108" w:type="dxa"/>
            <w:bottom w:w="0" w:type="dxa"/>
            <w:right w:w="108" w:type="dxa"/>
          </w:tblCellMar>
        </w:tblPrEx>
        <w:trPr>
          <w:trHeight w:val="280" w:hRule="atLeast"/>
        </w:trPr>
        <w:tc>
          <w:tcPr>
            <w:tcW w:w="960" w:type="dxa"/>
            <w:tcBorders>
              <w:top w:val="single" w:color="000000" w:sz="4" w:space="0"/>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Random</w:t>
            </w:r>
          </w:p>
        </w:tc>
        <w:tc>
          <w:tcPr>
            <w:tcW w:w="1417" w:type="dxa"/>
            <w:tcBorders>
              <w:top w:val="single" w:color="000000" w:sz="4" w:space="0"/>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23</w:t>
            </w:r>
          </w:p>
        </w:tc>
        <w:tc>
          <w:tcPr>
            <w:tcW w:w="1756" w:type="dxa"/>
            <w:tcBorders>
              <w:top w:val="single" w:color="000000" w:sz="4" w:space="0"/>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hint="eastAsia" w:ascii="Times New Roman" w:hAnsi="Times New Roman" w:eastAsia="宋体" w:cs="Times New Roman"/>
                <w:color w:val="000000"/>
                <w:sz w:val="18"/>
                <w:szCs w:val="18"/>
              </w:rPr>
              <w:t>0.21</w:t>
            </w:r>
          </w:p>
        </w:tc>
        <w:tc>
          <w:tcPr>
            <w:tcW w:w="661" w:type="dxa"/>
            <w:tcBorders>
              <w:top w:val="single" w:color="000000" w:sz="4" w:space="0"/>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0</w:t>
            </w:r>
            <w:r>
              <w:rPr>
                <w:rFonts w:hint="eastAsia" w:ascii="Times New Roman" w:hAnsi="Times New Roman" w:eastAsia="宋体" w:cs="Times New Roman"/>
                <w:color w:val="000000"/>
                <w:kern w:val="0"/>
                <w:sz w:val="18"/>
                <w:szCs w:val="18"/>
                <w:lang w:bidi="ar"/>
              </w:rPr>
              <w:t>.079</w:t>
            </w:r>
          </w:p>
        </w:tc>
        <w:tc>
          <w:tcPr>
            <w:tcW w:w="800" w:type="dxa"/>
            <w:tcBorders>
              <w:top w:val="single" w:color="000000" w:sz="4" w:space="0"/>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hint="eastAsia" w:ascii="Times New Roman" w:hAnsi="Times New Roman" w:eastAsia="宋体" w:cs="Times New Roman"/>
                <w:color w:val="000000"/>
                <w:kern w:val="0"/>
                <w:sz w:val="18"/>
                <w:szCs w:val="18"/>
                <w:lang w:bidi="ar"/>
              </w:rPr>
              <w:t>0.334</w:t>
            </w:r>
          </w:p>
        </w:tc>
        <w:tc>
          <w:tcPr>
            <w:tcW w:w="1316" w:type="dxa"/>
            <w:tcBorders>
              <w:top w:val="single" w:color="000000" w:sz="4" w:space="0"/>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hint="eastAsia" w:ascii="Times New Roman" w:hAnsi="Times New Roman" w:eastAsia="宋体" w:cs="Times New Roman"/>
                <w:color w:val="000000"/>
                <w:sz w:val="18"/>
                <w:szCs w:val="18"/>
              </w:rPr>
              <w:t>3.126</w:t>
            </w:r>
          </w:p>
        </w:tc>
        <w:tc>
          <w:tcPr>
            <w:tcW w:w="1661" w:type="dxa"/>
            <w:tcBorders>
              <w:top w:val="single" w:color="000000" w:sz="4" w:space="0"/>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0.002</w:t>
            </w:r>
          </w:p>
        </w:tc>
      </w:tr>
    </w:tbl>
    <w:p>
      <w:pPr>
        <w:spacing w:line="440" w:lineRule="exact"/>
        <w:rPr>
          <w:rFonts w:ascii="Times New Roman" w:hAnsi="Times New Roman" w:cs="Times New Roman"/>
          <w:sz w:val="24"/>
          <w:szCs w:val="32"/>
        </w:rPr>
      </w:pPr>
    </w:p>
    <w:p>
      <w:pPr>
        <w:spacing w:line="440" w:lineRule="exact"/>
        <w:ind w:firstLine="420"/>
        <w:rPr>
          <w:rFonts w:hint="eastAsia" w:ascii="Times New Roman" w:hAnsi="Times New Roman" w:cs="Times New Roman"/>
          <w:sz w:val="24"/>
          <w:szCs w:val="32"/>
        </w:rPr>
      </w:pPr>
      <w:r>
        <w:rPr>
          <w:rFonts w:hint="eastAsia" w:ascii="Times New Roman" w:hAnsi="Times New Roman" w:cs="Times New Roman"/>
          <w:sz w:val="24"/>
          <w:szCs w:val="32"/>
        </w:rPr>
        <w:t>This part examined the degree of correlation between leadership and employee resilience through a meta-analysis of 23 studies. Individual studies revealed inconsistent correlation coefficients between different leadership and employee resilience; Combining the 23 relevant studies, the final results showed a moderate positive correlation between the two. The main reason for this result may be that wrong leadership behaviors may decrease employee resilience (e.g., abusive supervision), while positive leadership behaviors increase employee resilience. The process by which leadership works essentially changes through the differences in employee perceptions, and therefore, the relationship plays an important role.</w:t>
      </w:r>
    </w:p>
    <w:p>
      <w:pPr>
        <w:spacing w:line="440" w:lineRule="exact"/>
        <w:ind w:firstLine="420"/>
        <w:rPr>
          <w:rFonts w:hint="eastAsia" w:ascii="Times New Roman" w:hAnsi="Times New Roman" w:cs="Times New Roman"/>
          <w:sz w:val="24"/>
          <w:szCs w:val="32"/>
        </w:rPr>
      </w:pPr>
    </w:p>
    <w:p>
      <w:pPr>
        <w:spacing w:line="360" w:lineRule="auto"/>
        <w:outlineLvl w:val="3"/>
        <w:rPr>
          <w:rFonts w:ascii="Times New Roman" w:hAnsi="Times New Roman" w:cs="Times New Roman"/>
          <w:b/>
          <w:bCs/>
          <w:sz w:val="24"/>
          <w:szCs w:val="32"/>
        </w:rPr>
      </w:pPr>
      <w:r>
        <w:rPr>
          <w:rFonts w:hint="eastAsia" w:ascii="Times New Roman" w:hAnsi="Times New Roman" w:cs="Times New Roman"/>
          <w:b/>
          <w:bCs/>
          <w:sz w:val="24"/>
          <w:szCs w:val="32"/>
          <w:lang w:val="en-US" w:eastAsia="zh-CN"/>
        </w:rPr>
        <w:t xml:space="preserve">1.2 </w:t>
      </w:r>
      <w:r>
        <w:rPr>
          <w:rFonts w:hint="eastAsia" w:ascii="Times New Roman" w:hAnsi="Times New Roman" w:cs="Times New Roman"/>
          <w:b/>
          <w:bCs/>
          <w:sz w:val="24"/>
          <w:szCs w:val="32"/>
        </w:rPr>
        <w:t xml:space="preserve">Workplace </w:t>
      </w:r>
      <w:r>
        <w:rPr>
          <w:rFonts w:ascii="Times New Roman" w:hAnsi="Times New Roman" w:cs="Times New Roman"/>
          <w:b/>
          <w:bCs/>
          <w:sz w:val="24"/>
          <w:szCs w:val="32"/>
        </w:rPr>
        <w:t>interpersonal relationships</w:t>
      </w:r>
      <w:r>
        <w:rPr>
          <w:rFonts w:hint="eastAsia" w:ascii="Times New Roman" w:hAnsi="Times New Roman" w:cs="Times New Roman"/>
          <w:b/>
          <w:bCs/>
          <w:sz w:val="24"/>
          <w:szCs w:val="32"/>
        </w:rPr>
        <w:t xml:space="preserve"> and employee resilience</w:t>
      </w:r>
    </w:p>
    <w:p>
      <w:pPr>
        <w:spacing w:line="440" w:lineRule="exact"/>
        <w:rPr>
          <w:rFonts w:ascii="Times New Roman" w:hAnsi="Times New Roman" w:cs="Times New Roman"/>
          <w:sz w:val="24"/>
          <w:szCs w:val="32"/>
        </w:rPr>
      </w:pPr>
      <w:r>
        <w:rPr>
          <w:rFonts w:hint="eastAsia" w:ascii="Times New Roman" w:hAnsi="Times New Roman" w:cs="Times New Roman"/>
          <w:sz w:val="24"/>
          <w:szCs w:val="32"/>
        </w:rPr>
        <w:t>The study was conducted by aggregating the relevant analyses of existing workplace interpersonal relationships, and 13 relevant pieces of literature were included in the meta-analysis, with a total of 3,338 people, as shown in Table 4.</w:t>
      </w:r>
    </w:p>
    <w:tbl>
      <w:tblPr>
        <w:tblStyle w:val="2"/>
        <w:tblW w:w="8561" w:type="dxa"/>
        <w:tblInd w:w="98" w:type="dxa"/>
        <w:tblLayout w:type="autofit"/>
        <w:tblCellMar>
          <w:top w:w="0" w:type="dxa"/>
          <w:left w:w="108" w:type="dxa"/>
          <w:bottom w:w="0" w:type="dxa"/>
          <w:right w:w="108" w:type="dxa"/>
        </w:tblCellMar>
      </w:tblPr>
      <w:tblGrid>
        <w:gridCol w:w="2778"/>
        <w:gridCol w:w="850"/>
        <w:gridCol w:w="1134"/>
        <w:gridCol w:w="1531"/>
        <w:gridCol w:w="1134"/>
        <w:gridCol w:w="1134"/>
      </w:tblGrid>
      <w:tr>
        <w:tblPrEx>
          <w:tblCellMar>
            <w:top w:w="0" w:type="dxa"/>
            <w:left w:w="108" w:type="dxa"/>
            <w:bottom w:w="0" w:type="dxa"/>
            <w:right w:w="108" w:type="dxa"/>
          </w:tblCellMar>
        </w:tblPrEx>
        <w:trPr>
          <w:trHeight w:val="294" w:hRule="atLeast"/>
        </w:trPr>
        <w:tc>
          <w:tcPr>
            <w:tcW w:w="8561" w:type="dxa"/>
            <w:gridSpan w:val="6"/>
            <w:tcBorders>
              <w:top w:val="nil"/>
              <w:left w:val="nil"/>
              <w:bottom w:val="nil"/>
              <w:right w:val="nil"/>
            </w:tcBorders>
            <w:shd w:val="clear" w:color="auto" w:fill="auto"/>
            <w:noWrap/>
            <w:vAlign w:val="center"/>
          </w:tcPr>
          <w:p>
            <w:pPr>
              <w:widowControl/>
              <w:textAlignment w:val="center"/>
              <w:rPr>
                <w:rFonts w:ascii="Times New Roman" w:hAnsi="Times New Roman" w:eastAsia="宋体" w:cs="Times New Roman"/>
                <w:b/>
                <w:bCs/>
                <w:color w:val="000000"/>
                <w:kern w:val="0"/>
                <w:szCs w:val="21"/>
                <w:lang w:bidi="ar"/>
              </w:rPr>
            </w:pPr>
            <w:r>
              <w:rPr>
                <w:rFonts w:hint="eastAsia" w:ascii="Times New Roman" w:hAnsi="Times New Roman" w:eastAsia="TimesNewRomanPS-ItalicMT" w:cs="Times New Roman"/>
                <w:b/>
                <w:bCs/>
                <w:color w:val="000000"/>
                <w:kern w:val="0"/>
                <w:szCs w:val="21"/>
                <w:lang w:bidi="ar"/>
              </w:rPr>
              <w:t>Table 4</w:t>
            </w:r>
          </w:p>
        </w:tc>
      </w:tr>
      <w:tr>
        <w:tblPrEx>
          <w:tblCellMar>
            <w:top w:w="0" w:type="dxa"/>
            <w:left w:w="108" w:type="dxa"/>
            <w:bottom w:w="0" w:type="dxa"/>
            <w:right w:w="108" w:type="dxa"/>
          </w:tblCellMar>
        </w:tblPrEx>
        <w:trPr>
          <w:trHeight w:val="280" w:hRule="atLeast"/>
        </w:trPr>
        <w:tc>
          <w:tcPr>
            <w:tcW w:w="8561" w:type="dxa"/>
            <w:gridSpan w:val="6"/>
            <w:tcBorders>
              <w:top w:val="nil"/>
              <w:left w:val="nil"/>
              <w:bottom w:val="single" w:color="auto" w:sz="4" w:space="0"/>
              <w:right w:val="nil"/>
            </w:tcBorders>
            <w:shd w:val="clear" w:color="auto" w:fill="auto"/>
            <w:noWrap/>
            <w:vAlign w:val="center"/>
          </w:tcPr>
          <w:p>
            <w:pPr>
              <w:widowControl/>
              <w:textAlignment w:val="center"/>
              <w:rPr>
                <w:rFonts w:ascii="Times New Roman" w:hAnsi="Times New Roman" w:eastAsia="宋体" w:cs="Times New Roman"/>
                <w:b/>
                <w:bCs/>
                <w:color w:val="000000"/>
                <w:kern w:val="0"/>
                <w:szCs w:val="21"/>
                <w:lang w:bidi="ar"/>
              </w:rPr>
            </w:pPr>
            <w:r>
              <w:rPr>
                <w:rFonts w:ascii="Times New Roman" w:hAnsi="Times New Roman" w:eastAsia="宋体" w:cs="Times New Roman"/>
                <w:b/>
                <w:bCs/>
                <w:color w:val="000000"/>
                <w:kern w:val="0"/>
                <w:szCs w:val="21"/>
                <w:lang w:bidi="ar"/>
              </w:rPr>
              <w:t>Basic data of the original study included in the meta-analysis</w:t>
            </w:r>
          </w:p>
        </w:tc>
      </w:tr>
      <w:tr>
        <w:tblPrEx>
          <w:tblCellMar>
            <w:top w:w="0" w:type="dxa"/>
            <w:left w:w="108" w:type="dxa"/>
            <w:bottom w:w="0" w:type="dxa"/>
            <w:right w:w="108" w:type="dxa"/>
          </w:tblCellMar>
        </w:tblPrEx>
        <w:trPr>
          <w:trHeight w:val="283" w:hRule="atLeast"/>
        </w:trPr>
        <w:tc>
          <w:tcPr>
            <w:tcW w:w="2778" w:type="dxa"/>
            <w:tcBorders>
              <w:top w:val="single" w:color="auto" w:sz="4" w:space="0"/>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The First Author</w:t>
            </w:r>
          </w:p>
        </w:tc>
        <w:tc>
          <w:tcPr>
            <w:tcW w:w="850" w:type="dxa"/>
            <w:tcBorders>
              <w:top w:val="single" w:color="auto" w:sz="4" w:space="0"/>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Year</w:t>
            </w:r>
          </w:p>
        </w:tc>
        <w:tc>
          <w:tcPr>
            <w:tcW w:w="1134" w:type="dxa"/>
            <w:tcBorders>
              <w:top w:val="single" w:color="auto" w:sz="4" w:space="0"/>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Sample Size</w:t>
            </w:r>
          </w:p>
        </w:tc>
        <w:tc>
          <w:tcPr>
            <w:tcW w:w="1531" w:type="dxa"/>
            <w:tcBorders>
              <w:top w:val="single" w:color="auto" w:sz="4" w:space="0"/>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Study Population</w:t>
            </w:r>
          </w:p>
        </w:tc>
        <w:tc>
          <w:tcPr>
            <w:tcW w:w="1134" w:type="dxa"/>
            <w:tcBorders>
              <w:top w:val="single" w:color="auto" w:sz="4" w:space="0"/>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Percentage of Females</w:t>
            </w:r>
          </w:p>
        </w:tc>
        <w:tc>
          <w:tcPr>
            <w:tcW w:w="1134" w:type="dxa"/>
            <w:tcBorders>
              <w:top w:val="single" w:color="auto" w:sz="4" w:space="0"/>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Correlation Coefficient</w:t>
            </w:r>
          </w:p>
        </w:tc>
      </w:tr>
      <w:tr>
        <w:tblPrEx>
          <w:tblCellMar>
            <w:top w:w="0" w:type="dxa"/>
            <w:left w:w="108" w:type="dxa"/>
            <w:bottom w:w="0" w:type="dxa"/>
            <w:right w:w="108" w:type="dxa"/>
          </w:tblCellMar>
        </w:tblPrEx>
        <w:trPr>
          <w:trHeight w:val="283" w:hRule="atLeast"/>
        </w:trPr>
        <w:tc>
          <w:tcPr>
            <w:tcW w:w="2778" w:type="dxa"/>
            <w:tcBorders>
              <w:top w:val="single" w:color="000000" w:sz="4" w:space="0"/>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sz w:val="18"/>
                <w:szCs w:val="18"/>
              </w:rPr>
            </w:pPr>
            <w:r>
              <w:rPr>
                <w:rFonts w:ascii="Times New Roman" w:hAnsi="Times New Roman" w:eastAsia="宋体" w:cs="Times New Roman"/>
                <w:kern w:val="0"/>
                <w:sz w:val="18"/>
                <w:szCs w:val="18"/>
                <w:lang w:bidi="ar"/>
              </w:rPr>
              <w:t>Hui Meng</w:t>
            </w:r>
          </w:p>
        </w:tc>
        <w:tc>
          <w:tcPr>
            <w:tcW w:w="850" w:type="dxa"/>
            <w:tcBorders>
              <w:top w:val="single" w:color="000000" w:sz="4" w:space="0"/>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sz w:val="18"/>
                <w:szCs w:val="18"/>
              </w:rPr>
            </w:pPr>
            <w:r>
              <w:rPr>
                <w:rFonts w:ascii="Times New Roman" w:hAnsi="Times New Roman" w:eastAsia="宋体" w:cs="Times New Roman"/>
                <w:kern w:val="0"/>
                <w:sz w:val="18"/>
                <w:szCs w:val="18"/>
                <w:lang w:bidi="ar"/>
              </w:rPr>
              <w:t>2017</w:t>
            </w:r>
          </w:p>
        </w:tc>
        <w:tc>
          <w:tcPr>
            <w:tcW w:w="1134" w:type="dxa"/>
            <w:tcBorders>
              <w:top w:val="single" w:color="000000" w:sz="4" w:space="0"/>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sz w:val="18"/>
                <w:szCs w:val="18"/>
              </w:rPr>
            </w:pPr>
            <w:r>
              <w:rPr>
                <w:rFonts w:ascii="Times New Roman" w:hAnsi="Times New Roman" w:eastAsia="宋体" w:cs="Times New Roman"/>
                <w:kern w:val="0"/>
                <w:sz w:val="18"/>
                <w:szCs w:val="18"/>
                <w:lang w:bidi="ar"/>
              </w:rPr>
              <w:t>236</w:t>
            </w:r>
          </w:p>
        </w:tc>
        <w:tc>
          <w:tcPr>
            <w:tcW w:w="1531" w:type="dxa"/>
            <w:tcBorders>
              <w:top w:val="single" w:color="000000" w:sz="4" w:space="0"/>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sz w:val="18"/>
                <w:szCs w:val="18"/>
              </w:rPr>
            </w:pPr>
            <w:r>
              <w:rPr>
                <w:rFonts w:ascii="Times New Roman" w:hAnsi="Times New Roman" w:eastAsia="宋体" w:cs="Times New Roman"/>
                <w:kern w:val="0"/>
                <w:sz w:val="18"/>
                <w:szCs w:val="18"/>
                <w:lang w:bidi="ar"/>
              </w:rPr>
              <w:t>P</w:t>
            </w:r>
          </w:p>
        </w:tc>
        <w:tc>
          <w:tcPr>
            <w:tcW w:w="1134" w:type="dxa"/>
            <w:tcBorders>
              <w:top w:val="single" w:color="000000" w:sz="4" w:space="0"/>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sz w:val="18"/>
                <w:szCs w:val="18"/>
              </w:rPr>
            </w:pPr>
            <w:r>
              <w:rPr>
                <w:rFonts w:ascii="Times New Roman" w:hAnsi="Times New Roman" w:eastAsia="宋体" w:cs="Times New Roman"/>
                <w:kern w:val="0"/>
                <w:sz w:val="18"/>
                <w:szCs w:val="18"/>
                <w:lang w:bidi="ar"/>
              </w:rPr>
              <w:t>60.9</w:t>
            </w:r>
          </w:p>
        </w:tc>
        <w:tc>
          <w:tcPr>
            <w:tcW w:w="1134" w:type="dxa"/>
            <w:tcBorders>
              <w:top w:val="single" w:color="000000" w:sz="4" w:space="0"/>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sz w:val="18"/>
                <w:szCs w:val="18"/>
              </w:rPr>
            </w:pPr>
            <w:r>
              <w:rPr>
                <w:rFonts w:ascii="Times New Roman" w:hAnsi="Times New Roman" w:eastAsia="宋体" w:cs="Times New Roman"/>
                <w:kern w:val="0"/>
                <w:sz w:val="18"/>
                <w:szCs w:val="18"/>
                <w:lang w:bidi="ar"/>
              </w:rPr>
              <w:t>0.29</w:t>
            </w:r>
          </w:p>
        </w:tc>
      </w:tr>
      <w:tr>
        <w:tblPrEx>
          <w:tblCellMar>
            <w:top w:w="0" w:type="dxa"/>
            <w:left w:w="108" w:type="dxa"/>
            <w:bottom w:w="0" w:type="dxa"/>
            <w:right w:w="108" w:type="dxa"/>
          </w:tblCellMar>
        </w:tblPrEx>
        <w:trPr>
          <w:trHeight w:val="283" w:hRule="atLeast"/>
        </w:trPr>
        <w:tc>
          <w:tcPr>
            <w:tcW w:w="2778"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sz w:val="18"/>
                <w:szCs w:val="18"/>
              </w:rPr>
            </w:pPr>
            <w:r>
              <w:rPr>
                <w:rFonts w:ascii="Times New Roman" w:hAnsi="Times New Roman" w:eastAsia="宋体" w:cs="Times New Roman"/>
                <w:kern w:val="0"/>
                <w:sz w:val="18"/>
                <w:szCs w:val="18"/>
                <w:lang w:bidi="ar"/>
              </w:rPr>
              <w:t>Adedapo Oluwaseyi Ojo</w:t>
            </w:r>
          </w:p>
        </w:tc>
        <w:tc>
          <w:tcPr>
            <w:tcW w:w="850"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sz w:val="18"/>
                <w:szCs w:val="18"/>
              </w:rPr>
            </w:pPr>
            <w:r>
              <w:rPr>
                <w:rFonts w:ascii="Times New Roman" w:hAnsi="Times New Roman" w:eastAsia="宋体" w:cs="Times New Roman"/>
                <w:kern w:val="0"/>
                <w:sz w:val="18"/>
                <w:szCs w:val="18"/>
                <w:lang w:bidi="ar"/>
              </w:rPr>
              <w:t>2021</w:t>
            </w:r>
          </w:p>
        </w:tc>
        <w:tc>
          <w:tcPr>
            <w:tcW w:w="1134"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sz w:val="18"/>
                <w:szCs w:val="18"/>
              </w:rPr>
            </w:pPr>
            <w:r>
              <w:rPr>
                <w:rFonts w:ascii="Times New Roman" w:hAnsi="Times New Roman" w:eastAsia="宋体" w:cs="Times New Roman"/>
                <w:kern w:val="0"/>
                <w:sz w:val="18"/>
                <w:szCs w:val="18"/>
                <w:lang w:bidi="ar"/>
              </w:rPr>
              <w:t>259</w:t>
            </w:r>
          </w:p>
        </w:tc>
        <w:tc>
          <w:tcPr>
            <w:tcW w:w="1531"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sz w:val="18"/>
                <w:szCs w:val="18"/>
              </w:rPr>
            </w:pPr>
            <w:r>
              <w:rPr>
                <w:rFonts w:ascii="Times New Roman" w:hAnsi="Times New Roman" w:eastAsia="宋体" w:cs="Times New Roman"/>
                <w:kern w:val="0"/>
                <w:sz w:val="18"/>
                <w:szCs w:val="18"/>
                <w:lang w:bidi="ar"/>
              </w:rPr>
              <w:t>O</w:t>
            </w:r>
          </w:p>
        </w:tc>
        <w:tc>
          <w:tcPr>
            <w:tcW w:w="1134"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sz w:val="18"/>
                <w:szCs w:val="18"/>
              </w:rPr>
            </w:pPr>
            <w:r>
              <w:rPr>
                <w:rFonts w:ascii="Times New Roman" w:hAnsi="Times New Roman" w:eastAsia="宋体" w:cs="Times New Roman"/>
                <w:kern w:val="0"/>
                <w:sz w:val="18"/>
                <w:szCs w:val="18"/>
                <w:lang w:bidi="ar"/>
              </w:rPr>
              <w:t>41.3</w:t>
            </w:r>
          </w:p>
        </w:tc>
        <w:tc>
          <w:tcPr>
            <w:tcW w:w="1134"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sz w:val="18"/>
                <w:szCs w:val="18"/>
              </w:rPr>
            </w:pPr>
            <w:r>
              <w:rPr>
                <w:rFonts w:ascii="Times New Roman" w:hAnsi="Times New Roman" w:eastAsia="宋体" w:cs="Times New Roman"/>
                <w:kern w:val="0"/>
                <w:sz w:val="18"/>
                <w:szCs w:val="18"/>
                <w:lang w:bidi="ar"/>
              </w:rPr>
              <w:t>0.243</w:t>
            </w:r>
          </w:p>
        </w:tc>
      </w:tr>
      <w:tr>
        <w:tblPrEx>
          <w:tblCellMar>
            <w:top w:w="0" w:type="dxa"/>
            <w:left w:w="108" w:type="dxa"/>
            <w:bottom w:w="0" w:type="dxa"/>
            <w:right w:w="108" w:type="dxa"/>
          </w:tblCellMar>
        </w:tblPrEx>
        <w:trPr>
          <w:trHeight w:val="283" w:hRule="atLeast"/>
        </w:trPr>
        <w:tc>
          <w:tcPr>
            <w:tcW w:w="2778"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sz w:val="18"/>
                <w:szCs w:val="18"/>
              </w:rPr>
            </w:pPr>
            <w:r>
              <w:rPr>
                <w:rFonts w:ascii="Times New Roman" w:hAnsi="Times New Roman" w:eastAsia="宋体" w:cs="Times New Roman"/>
                <w:kern w:val="0"/>
                <w:sz w:val="18"/>
                <w:szCs w:val="18"/>
                <w:lang w:bidi="ar"/>
              </w:rPr>
              <w:t>Piyawan Charoensap-Kelly</w:t>
            </w:r>
          </w:p>
        </w:tc>
        <w:tc>
          <w:tcPr>
            <w:tcW w:w="850"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sz w:val="18"/>
                <w:szCs w:val="18"/>
              </w:rPr>
            </w:pPr>
            <w:r>
              <w:rPr>
                <w:rFonts w:ascii="Times New Roman" w:hAnsi="Times New Roman" w:eastAsia="宋体" w:cs="Times New Roman"/>
                <w:kern w:val="0"/>
                <w:sz w:val="18"/>
                <w:szCs w:val="18"/>
                <w:lang w:bidi="ar"/>
              </w:rPr>
              <w:t>2021</w:t>
            </w:r>
          </w:p>
        </w:tc>
        <w:tc>
          <w:tcPr>
            <w:tcW w:w="1134"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sz w:val="18"/>
                <w:szCs w:val="18"/>
              </w:rPr>
            </w:pPr>
            <w:r>
              <w:rPr>
                <w:rFonts w:ascii="Times New Roman" w:hAnsi="Times New Roman" w:eastAsia="宋体" w:cs="Times New Roman"/>
                <w:kern w:val="0"/>
                <w:sz w:val="18"/>
                <w:szCs w:val="18"/>
                <w:lang w:bidi="ar"/>
              </w:rPr>
              <w:t>317</w:t>
            </w:r>
          </w:p>
        </w:tc>
        <w:tc>
          <w:tcPr>
            <w:tcW w:w="1531"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sz w:val="18"/>
                <w:szCs w:val="18"/>
              </w:rPr>
            </w:pPr>
            <w:r>
              <w:rPr>
                <w:rFonts w:ascii="Times New Roman" w:hAnsi="Times New Roman" w:eastAsia="宋体" w:cs="Times New Roman"/>
                <w:kern w:val="0"/>
                <w:sz w:val="18"/>
                <w:szCs w:val="18"/>
                <w:lang w:bidi="ar"/>
              </w:rPr>
              <w:t>O</w:t>
            </w:r>
          </w:p>
        </w:tc>
        <w:tc>
          <w:tcPr>
            <w:tcW w:w="1134"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sz w:val="18"/>
                <w:szCs w:val="18"/>
              </w:rPr>
            </w:pPr>
            <w:r>
              <w:rPr>
                <w:rFonts w:ascii="Times New Roman" w:hAnsi="Times New Roman" w:eastAsia="宋体" w:cs="Times New Roman"/>
                <w:kern w:val="0"/>
                <w:sz w:val="18"/>
                <w:szCs w:val="18"/>
                <w:lang w:bidi="ar"/>
              </w:rPr>
              <w:t>70.7</w:t>
            </w:r>
          </w:p>
        </w:tc>
        <w:tc>
          <w:tcPr>
            <w:tcW w:w="1134"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sz w:val="18"/>
                <w:szCs w:val="18"/>
              </w:rPr>
            </w:pPr>
            <w:r>
              <w:rPr>
                <w:rFonts w:ascii="Times New Roman" w:hAnsi="Times New Roman" w:eastAsia="宋体" w:cs="Times New Roman"/>
                <w:kern w:val="0"/>
                <w:sz w:val="18"/>
                <w:szCs w:val="18"/>
                <w:lang w:bidi="ar"/>
              </w:rPr>
              <w:t>0.26</w:t>
            </w:r>
          </w:p>
        </w:tc>
      </w:tr>
      <w:tr>
        <w:tblPrEx>
          <w:tblCellMar>
            <w:top w:w="0" w:type="dxa"/>
            <w:left w:w="108" w:type="dxa"/>
            <w:bottom w:w="0" w:type="dxa"/>
            <w:right w:w="108" w:type="dxa"/>
          </w:tblCellMar>
        </w:tblPrEx>
        <w:trPr>
          <w:trHeight w:val="283" w:hRule="atLeast"/>
        </w:trPr>
        <w:tc>
          <w:tcPr>
            <w:tcW w:w="2778"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sz w:val="18"/>
                <w:szCs w:val="18"/>
              </w:rPr>
            </w:pPr>
            <w:r>
              <w:rPr>
                <w:rFonts w:ascii="Times New Roman" w:hAnsi="Times New Roman" w:eastAsia="宋体" w:cs="Times New Roman"/>
                <w:kern w:val="0"/>
                <w:sz w:val="18"/>
                <w:szCs w:val="18"/>
                <w:lang w:bidi="ar"/>
              </w:rPr>
              <w:t>Brian Cooper</w:t>
            </w:r>
          </w:p>
        </w:tc>
        <w:tc>
          <w:tcPr>
            <w:tcW w:w="850"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sz w:val="18"/>
                <w:szCs w:val="18"/>
              </w:rPr>
            </w:pPr>
            <w:r>
              <w:rPr>
                <w:rFonts w:ascii="Times New Roman" w:hAnsi="Times New Roman" w:eastAsia="宋体" w:cs="Times New Roman"/>
                <w:kern w:val="0"/>
                <w:sz w:val="18"/>
                <w:szCs w:val="18"/>
                <w:lang w:bidi="ar"/>
              </w:rPr>
              <w:t>2018</w:t>
            </w:r>
          </w:p>
        </w:tc>
        <w:tc>
          <w:tcPr>
            <w:tcW w:w="1134"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sz w:val="18"/>
                <w:szCs w:val="18"/>
              </w:rPr>
            </w:pPr>
            <w:r>
              <w:rPr>
                <w:rFonts w:ascii="Times New Roman" w:hAnsi="Times New Roman" w:eastAsia="宋体" w:cs="Times New Roman"/>
                <w:kern w:val="0"/>
                <w:sz w:val="18"/>
                <w:szCs w:val="18"/>
                <w:lang w:bidi="ar"/>
              </w:rPr>
              <w:t>561</w:t>
            </w:r>
          </w:p>
        </w:tc>
        <w:tc>
          <w:tcPr>
            <w:tcW w:w="1531"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sz w:val="18"/>
                <w:szCs w:val="18"/>
              </w:rPr>
            </w:pPr>
            <w:r>
              <w:rPr>
                <w:rFonts w:ascii="Times New Roman" w:hAnsi="Times New Roman" w:eastAsia="宋体" w:cs="Times New Roman"/>
                <w:kern w:val="0"/>
                <w:sz w:val="18"/>
                <w:szCs w:val="18"/>
                <w:lang w:bidi="ar"/>
              </w:rPr>
              <w:t>O</w:t>
            </w:r>
          </w:p>
        </w:tc>
        <w:tc>
          <w:tcPr>
            <w:tcW w:w="1134"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sz w:val="18"/>
                <w:szCs w:val="18"/>
              </w:rPr>
            </w:pPr>
            <w:r>
              <w:rPr>
                <w:rFonts w:ascii="Times New Roman" w:hAnsi="Times New Roman" w:eastAsia="宋体" w:cs="Times New Roman"/>
                <w:kern w:val="0"/>
                <w:sz w:val="18"/>
                <w:szCs w:val="18"/>
                <w:lang w:bidi="ar"/>
              </w:rPr>
              <w:t>53</w:t>
            </w:r>
          </w:p>
        </w:tc>
        <w:tc>
          <w:tcPr>
            <w:tcW w:w="1134"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sz w:val="18"/>
                <w:szCs w:val="18"/>
              </w:rPr>
            </w:pPr>
            <w:r>
              <w:rPr>
                <w:rFonts w:ascii="Times New Roman" w:hAnsi="Times New Roman" w:eastAsia="宋体" w:cs="Times New Roman"/>
                <w:kern w:val="0"/>
                <w:sz w:val="18"/>
                <w:szCs w:val="18"/>
                <w:lang w:bidi="ar"/>
              </w:rPr>
              <w:t>0.16</w:t>
            </w:r>
          </w:p>
        </w:tc>
      </w:tr>
      <w:tr>
        <w:tblPrEx>
          <w:tblCellMar>
            <w:top w:w="0" w:type="dxa"/>
            <w:left w:w="108" w:type="dxa"/>
            <w:bottom w:w="0" w:type="dxa"/>
            <w:right w:w="108" w:type="dxa"/>
          </w:tblCellMar>
        </w:tblPrEx>
        <w:trPr>
          <w:trHeight w:val="283" w:hRule="atLeast"/>
        </w:trPr>
        <w:tc>
          <w:tcPr>
            <w:tcW w:w="2778"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sz w:val="18"/>
                <w:szCs w:val="18"/>
              </w:rPr>
            </w:pPr>
            <w:r>
              <w:rPr>
                <w:rFonts w:ascii="Times New Roman" w:hAnsi="Times New Roman" w:eastAsia="宋体" w:cs="Times New Roman"/>
                <w:kern w:val="0"/>
                <w:sz w:val="18"/>
                <w:szCs w:val="18"/>
                <w:lang w:bidi="ar"/>
              </w:rPr>
              <w:t>Neha Gupta</w:t>
            </w:r>
          </w:p>
        </w:tc>
        <w:tc>
          <w:tcPr>
            <w:tcW w:w="850"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sz w:val="18"/>
                <w:szCs w:val="18"/>
              </w:rPr>
            </w:pPr>
            <w:r>
              <w:rPr>
                <w:rFonts w:ascii="Times New Roman" w:hAnsi="Times New Roman" w:eastAsia="宋体" w:cs="Times New Roman"/>
                <w:kern w:val="0"/>
                <w:sz w:val="18"/>
                <w:szCs w:val="18"/>
                <w:lang w:bidi="ar"/>
              </w:rPr>
              <w:t>2017</w:t>
            </w:r>
          </w:p>
        </w:tc>
        <w:tc>
          <w:tcPr>
            <w:tcW w:w="1134"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sz w:val="18"/>
                <w:szCs w:val="18"/>
              </w:rPr>
            </w:pPr>
            <w:r>
              <w:rPr>
                <w:rFonts w:ascii="Times New Roman" w:hAnsi="Times New Roman" w:eastAsia="宋体" w:cs="Times New Roman"/>
                <w:kern w:val="0"/>
                <w:sz w:val="18"/>
                <w:szCs w:val="18"/>
                <w:lang w:bidi="ar"/>
              </w:rPr>
              <w:t>328</w:t>
            </w:r>
          </w:p>
        </w:tc>
        <w:tc>
          <w:tcPr>
            <w:tcW w:w="1531"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sz w:val="18"/>
                <w:szCs w:val="18"/>
              </w:rPr>
            </w:pPr>
            <w:r>
              <w:rPr>
                <w:rFonts w:ascii="Times New Roman" w:hAnsi="Times New Roman" w:eastAsia="宋体" w:cs="Times New Roman"/>
                <w:kern w:val="0"/>
                <w:sz w:val="18"/>
                <w:szCs w:val="18"/>
                <w:lang w:bidi="ar"/>
              </w:rPr>
              <w:t>O</w:t>
            </w:r>
          </w:p>
        </w:tc>
        <w:tc>
          <w:tcPr>
            <w:tcW w:w="1134"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sz w:val="18"/>
                <w:szCs w:val="18"/>
              </w:rPr>
            </w:pPr>
            <w:r>
              <w:rPr>
                <w:rFonts w:ascii="Times New Roman" w:hAnsi="Times New Roman" w:eastAsia="宋体" w:cs="Times New Roman"/>
                <w:kern w:val="0"/>
                <w:sz w:val="18"/>
                <w:szCs w:val="18"/>
                <w:lang w:bidi="ar"/>
              </w:rPr>
              <w:t>14.2</w:t>
            </w:r>
          </w:p>
        </w:tc>
        <w:tc>
          <w:tcPr>
            <w:tcW w:w="1134"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sz w:val="18"/>
                <w:szCs w:val="18"/>
              </w:rPr>
            </w:pPr>
            <w:r>
              <w:rPr>
                <w:rFonts w:ascii="Times New Roman" w:hAnsi="Times New Roman" w:eastAsia="宋体" w:cs="Times New Roman"/>
                <w:kern w:val="0"/>
                <w:sz w:val="18"/>
                <w:szCs w:val="18"/>
                <w:lang w:bidi="ar"/>
              </w:rPr>
              <w:t>0.64</w:t>
            </w:r>
          </w:p>
        </w:tc>
      </w:tr>
      <w:tr>
        <w:tblPrEx>
          <w:tblCellMar>
            <w:top w:w="0" w:type="dxa"/>
            <w:left w:w="108" w:type="dxa"/>
            <w:bottom w:w="0" w:type="dxa"/>
            <w:right w:w="108" w:type="dxa"/>
          </w:tblCellMar>
        </w:tblPrEx>
        <w:trPr>
          <w:trHeight w:val="283" w:hRule="atLeast"/>
        </w:trPr>
        <w:tc>
          <w:tcPr>
            <w:tcW w:w="2778"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sz w:val="18"/>
                <w:szCs w:val="18"/>
              </w:rPr>
            </w:pPr>
            <w:r>
              <w:rPr>
                <w:rFonts w:ascii="Times New Roman" w:hAnsi="Times New Roman" w:eastAsia="宋体" w:cs="Times New Roman"/>
                <w:kern w:val="0"/>
                <w:sz w:val="18"/>
                <w:szCs w:val="18"/>
                <w:lang w:bidi="ar"/>
              </w:rPr>
              <w:t>Thomas J. Braun</w:t>
            </w:r>
          </w:p>
        </w:tc>
        <w:tc>
          <w:tcPr>
            <w:tcW w:w="850"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sz w:val="18"/>
                <w:szCs w:val="18"/>
              </w:rPr>
            </w:pPr>
            <w:r>
              <w:rPr>
                <w:rFonts w:ascii="Times New Roman" w:hAnsi="Times New Roman" w:eastAsia="宋体" w:cs="Times New Roman"/>
                <w:kern w:val="0"/>
                <w:sz w:val="18"/>
                <w:szCs w:val="18"/>
                <w:lang w:bidi="ar"/>
              </w:rPr>
              <w:t>2017</w:t>
            </w:r>
          </w:p>
        </w:tc>
        <w:tc>
          <w:tcPr>
            <w:tcW w:w="1134"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sz w:val="18"/>
                <w:szCs w:val="18"/>
              </w:rPr>
            </w:pPr>
            <w:r>
              <w:rPr>
                <w:rFonts w:ascii="Times New Roman" w:hAnsi="Times New Roman" w:eastAsia="宋体" w:cs="Times New Roman"/>
                <w:kern w:val="0"/>
                <w:sz w:val="18"/>
                <w:szCs w:val="18"/>
                <w:lang w:bidi="ar"/>
              </w:rPr>
              <w:t>347</w:t>
            </w:r>
          </w:p>
        </w:tc>
        <w:tc>
          <w:tcPr>
            <w:tcW w:w="1531"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sz w:val="18"/>
                <w:szCs w:val="18"/>
              </w:rPr>
            </w:pPr>
            <w:r>
              <w:rPr>
                <w:rFonts w:ascii="Times New Roman" w:hAnsi="Times New Roman" w:eastAsia="宋体" w:cs="Times New Roman"/>
                <w:kern w:val="0"/>
                <w:sz w:val="18"/>
                <w:szCs w:val="18"/>
                <w:lang w:bidi="ar"/>
              </w:rPr>
              <w:t>O</w:t>
            </w:r>
          </w:p>
        </w:tc>
        <w:tc>
          <w:tcPr>
            <w:tcW w:w="1134"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sz w:val="18"/>
                <w:szCs w:val="18"/>
              </w:rPr>
            </w:pPr>
            <w:r>
              <w:rPr>
                <w:rFonts w:ascii="Times New Roman" w:hAnsi="Times New Roman" w:eastAsia="宋体" w:cs="Times New Roman"/>
                <w:kern w:val="0"/>
                <w:sz w:val="18"/>
                <w:szCs w:val="18"/>
                <w:lang w:bidi="ar"/>
              </w:rPr>
              <w:t>50</w:t>
            </w:r>
          </w:p>
        </w:tc>
        <w:tc>
          <w:tcPr>
            <w:tcW w:w="1134"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sz w:val="18"/>
                <w:szCs w:val="18"/>
              </w:rPr>
            </w:pPr>
            <w:r>
              <w:rPr>
                <w:rFonts w:ascii="Times New Roman" w:hAnsi="Times New Roman" w:eastAsia="宋体" w:cs="Times New Roman"/>
                <w:kern w:val="0"/>
                <w:sz w:val="18"/>
                <w:szCs w:val="18"/>
                <w:lang w:bidi="ar"/>
              </w:rPr>
              <w:t>0.56</w:t>
            </w:r>
          </w:p>
        </w:tc>
      </w:tr>
      <w:tr>
        <w:tblPrEx>
          <w:tblCellMar>
            <w:top w:w="0" w:type="dxa"/>
            <w:left w:w="108" w:type="dxa"/>
            <w:bottom w:w="0" w:type="dxa"/>
            <w:right w:w="108" w:type="dxa"/>
          </w:tblCellMar>
        </w:tblPrEx>
        <w:trPr>
          <w:trHeight w:val="283" w:hRule="atLeast"/>
        </w:trPr>
        <w:tc>
          <w:tcPr>
            <w:tcW w:w="2778"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sz w:val="18"/>
                <w:szCs w:val="18"/>
              </w:rPr>
            </w:pPr>
            <w:r>
              <w:rPr>
                <w:rFonts w:ascii="Times New Roman" w:hAnsi="Times New Roman" w:eastAsia="宋体" w:cs="Times New Roman"/>
                <w:kern w:val="0"/>
                <w:sz w:val="18"/>
                <w:szCs w:val="18"/>
                <w:lang w:bidi="ar"/>
              </w:rPr>
              <w:t>Joana Kuntz</w:t>
            </w:r>
          </w:p>
        </w:tc>
        <w:tc>
          <w:tcPr>
            <w:tcW w:w="850"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sz w:val="18"/>
                <w:szCs w:val="18"/>
              </w:rPr>
            </w:pPr>
            <w:r>
              <w:rPr>
                <w:rFonts w:ascii="Times New Roman" w:hAnsi="Times New Roman" w:eastAsia="宋体" w:cs="Times New Roman"/>
                <w:kern w:val="0"/>
                <w:sz w:val="18"/>
                <w:szCs w:val="18"/>
                <w:lang w:bidi="ar"/>
              </w:rPr>
              <w:t>2017</w:t>
            </w:r>
          </w:p>
        </w:tc>
        <w:tc>
          <w:tcPr>
            <w:tcW w:w="1134"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sz w:val="18"/>
                <w:szCs w:val="18"/>
              </w:rPr>
            </w:pPr>
            <w:r>
              <w:rPr>
                <w:rFonts w:ascii="Times New Roman" w:hAnsi="Times New Roman" w:eastAsia="宋体" w:cs="Times New Roman"/>
                <w:kern w:val="0"/>
                <w:sz w:val="18"/>
                <w:szCs w:val="18"/>
                <w:lang w:bidi="ar"/>
              </w:rPr>
              <w:t>162</w:t>
            </w:r>
          </w:p>
        </w:tc>
        <w:tc>
          <w:tcPr>
            <w:tcW w:w="1531"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sz w:val="18"/>
                <w:szCs w:val="18"/>
              </w:rPr>
            </w:pPr>
            <w:r>
              <w:rPr>
                <w:rFonts w:ascii="Times New Roman" w:hAnsi="Times New Roman" w:eastAsia="宋体" w:cs="Times New Roman"/>
                <w:kern w:val="0"/>
                <w:sz w:val="18"/>
                <w:szCs w:val="18"/>
                <w:lang w:bidi="ar"/>
              </w:rPr>
              <w:t>O</w:t>
            </w:r>
          </w:p>
        </w:tc>
        <w:tc>
          <w:tcPr>
            <w:tcW w:w="1134"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sz w:val="18"/>
                <w:szCs w:val="18"/>
              </w:rPr>
            </w:pPr>
            <w:r>
              <w:rPr>
                <w:rFonts w:ascii="Times New Roman" w:hAnsi="Times New Roman" w:eastAsia="宋体" w:cs="Times New Roman"/>
                <w:kern w:val="0"/>
                <w:sz w:val="18"/>
                <w:szCs w:val="18"/>
                <w:lang w:bidi="ar"/>
              </w:rPr>
              <w:t>51</w:t>
            </w:r>
          </w:p>
        </w:tc>
        <w:tc>
          <w:tcPr>
            <w:tcW w:w="1134"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sz w:val="18"/>
                <w:szCs w:val="18"/>
              </w:rPr>
            </w:pPr>
            <w:r>
              <w:rPr>
                <w:rFonts w:ascii="Times New Roman" w:hAnsi="Times New Roman" w:eastAsia="宋体" w:cs="Times New Roman"/>
                <w:kern w:val="0"/>
                <w:sz w:val="18"/>
                <w:szCs w:val="18"/>
                <w:lang w:bidi="ar"/>
              </w:rPr>
              <w:t>0.24</w:t>
            </w:r>
          </w:p>
        </w:tc>
      </w:tr>
      <w:tr>
        <w:tblPrEx>
          <w:tblCellMar>
            <w:top w:w="0" w:type="dxa"/>
            <w:left w:w="108" w:type="dxa"/>
            <w:bottom w:w="0" w:type="dxa"/>
            <w:right w:w="108" w:type="dxa"/>
          </w:tblCellMar>
        </w:tblPrEx>
        <w:trPr>
          <w:trHeight w:val="283" w:hRule="atLeast"/>
        </w:trPr>
        <w:tc>
          <w:tcPr>
            <w:tcW w:w="2778"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sz w:val="18"/>
                <w:szCs w:val="18"/>
              </w:rPr>
            </w:pPr>
            <w:r>
              <w:rPr>
                <w:rFonts w:ascii="Times New Roman" w:hAnsi="Times New Roman" w:eastAsia="宋体" w:cs="Times New Roman"/>
                <w:kern w:val="0"/>
                <w:sz w:val="18"/>
                <w:szCs w:val="18"/>
                <w:lang w:bidi="ar"/>
              </w:rPr>
              <w:t>JISEON SHIN</w:t>
            </w:r>
          </w:p>
        </w:tc>
        <w:tc>
          <w:tcPr>
            <w:tcW w:w="850"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sz w:val="18"/>
                <w:szCs w:val="18"/>
              </w:rPr>
            </w:pPr>
            <w:r>
              <w:rPr>
                <w:rFonts w:ascii="Times New Roman" w:hAnsi="Times New Roman" w:eastAsia="宋体" w:cs="Times New Roman"/>
                <w:kern w:val="0"/>
                <w:sz w:val="18"/>
                <w:szCs w:val="18"/>
                <w:lang w:bidi="ar"/>
              </w:rPr>
              <w:t>2010</w:t>
            </w:r>
          </w:p>
        </w:tc>
        <w:tc>
          <w:tcPr>
            <w:tcW w:w="1134"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sz w:val="18"/>
                <w:szCs w:val="18"/>
              </w:rPr>
            </w:pPr>
            <w:r>
              <w:rPr>
                <w:rFonts w:ascii="Times New Roman" w:hAnsi="Times New Roman" w:eastAsia="宋体" w:cs="Times New Roman"/>
                <w:kern w:val="0"/>
                <w:sz w:val="18"/>
                <w:szCs w:val="18"/>
                <w:lang w:bidi="ar"/>
              </w:rPr>
              <w:t>234</w:t>
            </w:r>
          </w:p>
        </w:tc>
        <w:tc>
          <w:tcPr>
            <w:tcW w:w="1531"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sz w:val="18"/>
                <w:szCs w:val="18"/>
              </w:rPr>
            </w:pPr>
            <w:r>
              <w:rPr>
                <w:rFonts w:ascii="Times New Roman" w:hAnsi="Times New Roman" w:eastAsia="宋体" w:cs="Times New Roman"/>
                <w:kern w:val="0"/>
                <w:sz w:val="18"/>
                <w:szCs w:val="18"/>
                <w:lang w:bidi="ar"/>
              </w:rPr>
              <w:t>O</w:t>
            </w:r>
          </w:p>
        </w:tc>
        <w:tc>
          <w:tcPr>
            <w:tcW w:w="1134"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sz w:val="18"/>
                <w:szCs w:val="18"/>
              </w:rPr>
            </w:pPr>
            <w:r>
              <w:rPr>
                <w:rFonts w:ascii="Times New Roman" w:hAnsi="Times New Roman" w:eastAsia="宋体" w:cs="Times New Roman"/>
                <w:kern w:val="0"/>
                <w:sz w:val="18"/>
                <w:szCs w:val="18"/>
                <w:lang w:bidi="ar"/>
              </w:rPr>
              <w:t>38.9</w:t>
            </w:r>
          </w:p>
        </w:tc>
        <w:tc>
          <w:tcPr>
            <w:tcW w:w="1134"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sz w:val="18"/>
                <w:szCs w:val="18"/>
              </w:rPr>
            </w:pPr>
            <w:r>
              <w:rPr>
                <w:rFonts w:ascii="Times New Roman" w:hAnsi="Times New Roman" w:eastAsia="宋体" w:cs="Times New Roman"/>
                <w:kern w:val="0"/>
                <w:sz w:val="18"/>
                <w:szCs w:val="18"/>
                <w:lang w:bidi="ar"/>
              </w:rPr>
              <w:t>0.31</w:t>
            </w:r>
          </w:p>
        </w:tc>
      </w:tr>
      <w:tr>
        <w:tblPrEx>
          <w:tblCellMar>
            <w:top w:w="0" w:type="dxa"/>
            <w:left w:w="108" w:type="dxa"/>
            <w:bottom w:w="0" w:type="dxa"/>
            <w:right w:w="108" w:type="dxa"/>
          </w:tblCellMar>
        </w:tblPrEx>
        <w:trPr>
          <w:trHeight w:val="283" w:hRule="atLeast"/>
        </w:trPr>
        <w:tc>
          <w:tcPr>
            <w:tcW w:w="2778"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sz w:val="18"/>
                <w:szCs w:val="18"/>
              </w:rPr>
            </w:pPr>
            <w:r>
              <w:rPr>
                <w:rFonts w:ascii="Times New Roman" w:hAnsi="Times New Roman" w:eastAsia="宋体" w:cs="Times New Roman"/>
                <w:kern w:val="0"/>
                <w:sz w:val="18"/>
                <w:szCs w:val="18"/>
                <w:lang w:bidi="ar"/>
              </w:rPr>
              <w:t>Dirk De Clercq</w:t>
            </w:r>
          </w:p>
        </w:tc>
        <w:tc>
          <w:tcPr>
            <w:tcW w:w="850"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sz w:val="18"/>
                <w:szCs w:val="18"/>
              </w:rPr>
            </w:pPr>
            <w:r>
              <w:rPr>
                <w:rFonts w:ascii="Times New Roman" w:hAnsi="Times New Roman" w:eastAsia="宋体" w:cs="Times New Roman"/>
                <w:kern w:val="0"/>
                <w:sz w:val="18"/>
                <w:szCs w:val="18"/>
                <w:lang w:bidi="ar"/>
              </w:rPr>
              <w:t>2019</w:t>
            </w:r>
          </w:p>
        </w:tc>
        <w:tc>
          <w:tcPr>
            <w:tcW w:w="1134"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sz w:val="18"/>
                <w:szCs w:val="18"/>
              </w:rPr>
            </w:pPr>
            <w:r>
              <w:rPr>
                <w:rFonts w:ascii="Times New Roman" w:hAnsi="Times New Roman" w:eastAsia="宋体" w:cs="Times New Roman"/>
                <w:kern w:val="0"/>
                <w:sz w:val="18"/>
                <w:szCs w:val="18"/>
                <w:lang w:bidi="ar"/>
              </w:rPr>
              <w:t>99</w:t>
            </w:r>
          </w:p>
        </w:tc>
        <w:tc>
          <w:tcPr>
            <w:tcW w:w="1531"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sz w:val="18"/>
                <w:szCs w:val="18"/>
              </w:rPr>
            </w:pPr>
            <w:r>
              <w:rPr>
                <w:rFonts w:ascii="Times New Roman" w:hAnsi="Times New Roman" w:eastAsia="宋体" w:cs="Times New Roman"/>
                <w:kern w:val="0"/>
                <w:sz w:val="18"/>
                <w:szCs w:val="18"/>
                <w:lang w:bidi="ar"/>
              </w:rPr>
              <w:t>O</w:t>
            </w:r>
          </w:p>
        </w:tc>
        <w:tc>
          <w:tcPr>
            <w:tcW w:w="1134"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sz w:val="18"/>
                <w:szCs w:val="18"/>
              </w:rPr>
            </w:pPr>
            <w:r>
              <w:rPr>
                <w:rFonts w:ascii="Times New Roman" w:hAnsi="Times New Roman" w:eastAsia="宋体" w:cs="Times New Roman"/>
                <w:kern w:val="0"/>
                <w:sz w:val="18"/>
                <w:szCs w:val="18"/>
                <w:lang w:bidi="ar"/>
              </w:rPr>
              <w:t>20</w:t>
            </w:r>
          </w:p>
        </w:tc>
        <w:tc>
          <w:tcPr>
            <w:tcW w:w="1134"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sz w:val="18"/>
                <w:szCs w:val="18"/>
              </w:rPr>
            </w:pPr>
            <w:r>
              <w:rPr>
                <w:rFonts w:ascii="Times New Roman" w:hAnsi="Times New Roman" w:eastAsia="宋体" w:cs="Times New Roman"/>
                <w:kern w:val="0"/>
                <w:sz w:val="18"/>
                <w:szCs w:val="18"/>
                <w:lang w:bidi="ar"/>
              </w:rPr>
              <w:t>0.464</w:t>
            </w:r>
          </w:p>
        </w:tc>
      </w:tr>
      <w:tr>
        <w:tblPrEx>
          <w:tblCellMar>
            <w:top w:w="0" w:type="dxa"/>
            <w:left w:w="108" w:type="dxa"/>
            <w:bottom w:w="0" w:type="dxa"/>
            <w:right w:w="108" w:type="dxa"/>
          </w:tblCellMar>
        </w:tblPrEx>
        <w:trPr>
          <w:trHeight w:val="283" w:hRule="atLeast"/>
        </w:trPr>
        <w:tc>
          <w:tcPr>
            <w:tcW w:w="2778"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sz w:val="18"/>
                <w:szCs w:val="18"/>
              </w:rPr>
            </w:pPr>
            <w:r>
              <w:rPr>
                <w:rFonts w:ascii="Times New Roman" w:hAnsi="Times New Roman" w:eastAsia="宋体" w:cs="Times New Roman"/>
                <w:kern w:val="0"/>
                <w:sz w:val="18"/>
                <w:szCs w:val="18"/>
                <w:lang w:bidi="ar"/>
              </w:rPr>
              <w:t>Marjolein C</w:t>
            </w:r>
          </w:p>
        </w:tc>
        <w:tc>
          <w:tcPr>
            <w:tcW w:w="850"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sz w:val="18"/>
                <w:szCs w:val="18"/>
              </w:rPr>
            </w:pPr>
            <w:r>
              <w:rPr>
                <w:rFonts w:ascii="Times New Roman" w:hAnsi="Times New Roman" w:eastAsia="宋体" w:cs="Times New Roman"/>
                <w:kern w:val="0"/>
                <w:sz w:val="18"/>
                <w:szCs w:val="18"/>
                <w:lang w:bidi="ar"/>
              </w:rPr>
              <w:t>2022</w:t>
            </w:r>
          </w:p>
        </w:tc>
        <w:tc>
          <w:tcPr>
            <w:tcW w:w="1134"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sz w:val="18"/>
                <w:szCs w:val="18"/>
              </w:rPr>
            </w:pPr>
            <w:r>
              <w:rPr>
                <w:rFonts w:ascii="Times New Roman" w:hAnsi="Times New Roman" w:eastAsia="宋体" w:cs="Times New Roman"/>
                <w:kern w:val="0"/>
                <w:sz w:val="18"/>
                <w:szCs w:val="18"/>
                <w:lang w:bidi="ar"/>
              </w:rPr>
              <w:t>123</w:t>
            </w:r>
          </w:p>
        </w:tc>
        <w:tc>
          <w:tcPr>
            <w:tcW w:w="1531"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sz w:val="18"/>
                <w:szCs w:val="18"/>
              </w:rPr>
            </w:pPr>
            <w:r>
              <w:rPr>
                <w:rFonts w:ascii="Times New Roman" w:hAnsi="Times New Roman" w:eastAsia="宋体" w:cs="Times New Roman"/>
                <w:kern w:val="0"/>
                <w:sz w:val="18"/>
                <w:szCs w:val="18"/>
                <w:lang w:bidi="ar"/>
              </w:rPr>
              <w:t>P</w:t>
            </w:r>
          </w:p>
        </w:tc>
        <w:tc>
          <w:tcPr>
            <w:tcW w:w="1134"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sz w:val="18"/>
                <w:szCs w:val="18"/>
              </w:rPr>
            </w:pPr>
            <w:r>
              <w:rPr>
                <w:rFonts w:ascii="Times New Roman" w:hAnsi="Times New Roman" w:eastAsia="宋体" w:cs="Times New Roman"/>
                <w:kern w:val="0"/>
                <w:sz w:val="18"/>
                <w:szCs w:val="18"/>
                <w:lang w:bidi="ar"/>
              </w:rPr>
              <w:t>8</w:t>
            </w:r>
          </w:p>
        </w:tc>
        <w:tc>
          <w:tcPr>
            <w:tcW w:w="1134"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sz w:val="18"/>
                <w:szCs w:val="18"/>
              </w:rPr>
            </w:pPr>
            <w:r>
              <w:rPr>
                <w:rFonts w:ascii="Times New Roman" w:hAnsi="Times New Roman" w:eastAsia="宋体" w:cs="Times New Roman"/>
                <w:kern w:val="0"/>
                <w:sz w:val="18"/>
                <w:szCs w:val="18"/>
                <w:lang w:bidi="ar"/>
              </w:rPr>
              <w:t>0.25</w:t>
            </w:r>
          </w:p>
        </w:tc>
      </w:tr>
      <w:tr>
        <w:tblPrEx>
          <w:tblCellMar>
            <w:top w:w="0" w:type="dxa"/>
            <w:left w:w="108" w:type="dxa"/>
            <w:bottom w:w="0" w:type="dxa"/>
            <w:right w:w="108" w:type="dxa"/>
          </w:tblCellMar>
        </w:tblPrEx>
        <w:trPr>
          <w:trHeight w:val="283" w:hRule="atLeast"/>
        </w:trPr>
        <w:tc>
          <w:tcPr>
            <w:tcW w:w="2778"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sz w:val="18"/>
                <w:szCs w:val="18"/>
              </w:rPr>
            </w:pPr>
            <w:r>
              <w:rPr>
                <w:rFonts w:ascii="Times New Roman" w:hAnsi="Times New Roman" w:eastAsia="宋体" w:cs="Times New Roman"/>
                <w:kern w:val="0"/>
                <w:sz w:val="18"/>
                <w:szCs w:val="18"/>
                <w:lang w:bidi="ar"/>
              </w:rPr>
              <w:t>Cristy Leask</w:t>
            </w:r>
          </w:p>
        </w:tc>
        <w:tc>
          <w:tcPr>
            <w:tcW w:w="850"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sz w:val="18"/>
                <w:szCs w:val="18"/>
              </w:rPr>
            </w:pPr>
            <w:r>
              <w:rPr>
                <w:rFonts w:ascii="Times New Roman" w:hAnsi="Times New Roman" w:eastAsia="宋体" w:cs="Times New Roman"/>
                <w:kern w:val="0"/>
                <w:sz w:val="18"/>
                <w:szCs w:val="18"/>
                <w:lang w:bidi="ar"/>
              </w:rPr>
              <w:t>2021</w:t>
            </w:r>
          </w:p>
        </w:tc>
        <w:tc>
          <w:tcPr>
            <w:tcW w:w="1134"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sz w:val="18"/>
                <w:szCs w:val="18"/>
              </w:rPr>
            </w:pPr>
            <w:r>
              <w:rPr>
                <w:rFonts w:ascii="Times New Roman" w:hAnsi="Times New Roman" w:eastAsia="宋体" w:cs="Times New Roman"/>
                <w:kern w:val="0"/>
                <w:sz w:val="18"/>
                <w:szCs w:val="18"/>
                <w:lang w:bidi="ar"/>
              </w:rPr>
              <w:t>185</w:t>
            </w:r>
          </w:p>
        </w:tc>
        <w:tc>
          <w:tcPr>
            <w:tcW w:w="1531"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sz w:val="18"/>
                <w:szCs w:val="18"/>
              </w:rPr>
            </w:pPr>
            <w:r>
              <w:rPr>
                <w:rFonts w:ascii="Times New Roman" w:hAnsi="Times New Roman" w:eastAsia="宋体" w:cs="Times New Roman"/>
                <w:kern w:val="0"/>
                <w:sz w:val="18"/>
                <w:szCs w:val="18"/>
                <w:lang w:bidi="ar"/>
              </w:rPr>
              <w:t>O</w:t>
            </w:r>
          </w:p>
        </w:tc>
        <w:tc>
          <w:tcPr>
            <w:tcW w:w="1134"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sz w:val="18"/>
                <w:szCs w:val="18"/>
              </w:rPr>
            </w:pPr>
            <w:r>
              <w:rPr>
                <w:rFonts w:ascii="Times New Roman" w:hAnsi="Times New Roman" w:eastAsia="宋体" w:cs="Times New Roman"/>
                <w:kern w:val="0"/>
                <w:sz w:val="18"/>
                <w:szCs w:val="18"/>
                <w:lang w:bidi="ar"/>
              </w:rPr>
              <w:t>55.68</w:t>
            </w:r>
          </w:p>
        </w:tc>
        <w:tc>
          <w:tcPr>
            <w:tcW w:w="1134"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sz w:val="18"/>
                <w:szCs w:val="18"/>
              </w:rPr>
            </w:pPr>
            <w:r>
              <w:rPr>
                <w:rFonts w:ascii="Times New Roman" w:hAnsi="Times New Roman" w:eastAsia="宋体" w:cs="Times New Roman"/>
                <w:kern w:val="0"/>
                <w:sz w:val="18"/>
                <w:szCs w:val="18"/>
                <w:lang w:bidi="ar"/>
              </w:rPr>
              <w:t>0.45</w:t>
            </w:r>
          </w:p>
        </w:tc>
      </w:tr>
      <w:tr>
        <w:tblPrEx>
          <w:tblCellMar>
            <w:top w:w="0" w:type="dxa"/>
            <w:left w:w="108" w:type="dxa"/>
            <w:bottom w:w="0" w:type="dxa"/>
            <w:right w:w="108" w:type="dxa"/>
          </w:tblCellMar>
        </w:tblPrEx>
        <w:trPr>
          <w:trHeight w:val="283" w:hRule="atLeast"/>
        </w:trPr>
        <w:tc>
          <w:tcPr>
            <w:tcW w:w="2778"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kern w:val="0"/>
                <w:sz w:val="18"/>
                <w:szCs w:val="18"/>
                <w:lang w:bidi="ar"/>
              </w:rPr>
            </w:pPr>
            <w:r>
              <w:rPr>
                <w:rFonts w:ascii="Times New Roman" w:hAnsi="Times New Roman" w:eastAsia="宋体" w:cs="Times New Roman"/>
                <w:kern w:val="0"/>
                <w:sz w:val="18"/>
                <w:szCs w:val="18"/>
                <w:lang w:bidi="ar"/>
              </w:rPr>
              <w:t>Ester Zychlinski</w:t>
            </w:r>
          </w:p>
        </w:tc>
        <w:tc>
          <w:tcPr>
            <w:tcW w:w="850"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kern w:val="0"/>
                <w:sz w:val="18"/>
                <w:szCs w:val="18"/>
                <w:lang w:bidi="ar"/>
              </w:rPr>
            </w:pPr>
            <w:r>
              <w:rPr>
                <w:rFonts w:ascii="Times New Roman" w:hAnsi="Times New Roman" w:eastAsia="宋体" w:cs="Times New Roman"/>
                <w:kern w:val="0"/>
                <w:sz w:val="18"/>
                <w:szCs w:val="18"/>
                <w:lang w:bidi="ar"/>
              </w:rPr>
              <w:t>2022</w:t>
            </w:r>
          </w:p>
        </w:tc>
        <w:tc>
          <w:tcPr>
            <w:tcW w:w="1134"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kern w:val="0"/>
                <w:sz w:val="18"/>
                <w:szCs w:val="18"/>
                <w:lang w:bidi="ar"/>
              </w:rPr>
            </w:pPr>
            <w:r>
              <w:rPr>
                <w:rFonts w:ascii="Times New Roman" w:hAnsi="Times New Roman" w:eastAsia="宋体" w:cs="Times New Roman"/>
                <w:kern w:val="0"/>
                <w:sz w:val="18"/>
                <w:szCs w:val="18"/>
                <w:lang w:bidi="ar"/>
              </w:rPr>
              <w:t>346</w:t>
            </w:r>
          </w:p>
        </w:tc>
        <w:tc>
          <w:tcPr>
            <w:tcW w:w="1531"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kern w:val="0"/>
                <w:sz w:val="18"/>
                <w:szCs w:val="18"/>
                <w:lang w:bidi="ar"/>
              </w:rPr>
            </w:pPr>
            <w:r>
              <w:rPr>
                <w:rFonts w:ascii="Times New Roman" w:hAnsi="Times New Roman" w:eastAsia="宋体" w:cs="Times New Roman"/>
                <w:kern w:val="0"/>
                <w:sz w:val="18"/>
                <w:szCs w:val="18"/>
                <w:lang w:bidi="ar"/>
              </w:rPr>
              <w:t>O</w:t>
            </w:r>
          </w:p>
        </w:tc>
        <w:tc>
          <w:tcPr>
            <w:tcW w:w="1134"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kern w:val="0"/>
                <w:sz w:val="18"/>
                <w:szCs w:val="18"/>
                <w:lang w:bidi="ar"/>
              </w:rPr>
            </w:pPr>
            <w:r>
              <w:rPr>
                <w:rFonts w:ascii="Times New Roman" w:hAnsi="Times New Roman" w:eastAsia="宋体" w:cs="Times New Roman"/>
                <w:kern w:val="0"/>
                <w:sz w:val="18"/>
                <w:szCs w:val="18"/>
                <w:lang w:bidi="ar"/>
              </w:rPr>
              <w:t>61.27</w:t>
            </w:r>
          </w:p>
        </w:tc>
        <w:tc>
          <w:tcPr>
            <w:tcW w:w="1134"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kern w:val="0"/>
                <w:sz w:val="18"/>
                <w:szCs w:val="18"/>
                <w:lang w:bidi="ar"/>
              </w:rPr>
            </w:pPr>
            <w:r>
              <w:rPr>
                <w:rFonts w:ascii="Times New Roman" w:hAnsi="Times New Roman" w:eastAsia="宋体" w:cs="Times New Roman"/>
                <w:kern w:val="0"/>
                <w:sz w:val="18"/>
                <w:szCs w:val="18"/>
                <w:lang w:bidi="ar"/>
              </w:rPr>
              <w:t>0.448</w:t>
            </w:r>
          </w:p>
        </w:tc>
      </w:tr>
      <w:tr>
        <w:tblPrEx>
          <w:tblCellMar>
            <w:top w:w="0" w:type="dxa"/>
            <w:left w:w="108" w:type="dxa"/>
            <w:bottom w:w="0" w:type="dxa"/>
            <w:right w:w="108" w:type="dxa"/>
          </w:tblCellMar>
        </w:tblPrEx>
        <w:trPr>
          <w:trHeight w:val="283" w:hRule="atLeast"/>
        </w:trPr>
        <w:tc>
          <w:tcPr>
            <w:tcW w:w="2778"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sz w:val="18"/>
                <w:szCs w:val="18"/>
              </w:rPr>
            </w:pPr>
            <w:r>
              <w:rPr>
                <w:rFonts w:ascii="Times New Roman" w:hAnsi="Times New Roman" w:eastAsia="宋体" w:cs="Times New Roman"/>
                <w:kern w:val="0"/>
                <w:sz w:val="18"/>
                <w:szCs w:val="18"/>
                <w:lang w:bidi="ar"/>
              </w:rPr>
              <w:t>Ayesha Arshad</w:t>
            </w:r>
          </w:p>
        </w:tc>
        <w:tc>
          <w:tcPr>
            <w:tcW w:w="850"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sz w:val="18"/>
                <w:szCs w:val="18"/>
              </w:rPr>
            </w:pPr>
            <w:r>
              <w:rPr>
                <w:rFonts w:ascii="Times New Roman" w:hAnsi="Times New Roman" w:eastAsia="宋体" w:cs="Times New Roman"/>
                <w:kern w:val="0"/>
                <w:sz w:val="18"/>
                <w:szCs w:val="18"/>
                <w:lang w:bidi="ar"/>
              </w:rPr>
              <w:t>2021</w:t>
            </w:r>
          </w:p>
        </w:tc>
        <w:tc>
          <w:tcPr>
            <w:tcW w:w="1134"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sz w:val="18"/>
                <w:szCs w:val="18"/>
              </w:rPr>
            </w:pPr>
            <w:r>
              <w:rPr>
                <w:rFonts w:ascii="Times New Roman" w:hAnsi="Times New Roman" w:eastAsia="宋体" w:cs="Times New Roman"/>
                <w:kern w:val="0"/>
                <w:sz w:val="18"/>
                <w:szCs w:val="18"/>
                <w:lang w:bidi="ar"/>
              </w:rPr>
              <w:t>141</w:t>
            </w:r>
          </w:p>
        </w:tc>
        <w:tc>
          <w:tcPr>
            <w:tcW w:w="1531"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sz w:val="18"/>
                <w:szCs w:val="18"/>
              </w:rPr>
            </w:pPr>
            <w:r>
              <w:rPr>
                <w:rFonts w:ascii="Times New Roman" w:hAnsi="Times New Roman" w:eastAsia="宋体" w:cs="Times New Roman"/>
                <w:kern w:val="0"/>
                <w:sz w:val="18"/>
                <w:szCs w:val="18"/>
                <w:lang w:bidi="ar"/>
              </w:rPr>
              <w:t>O</w:t>
            </w:r>
          </w:p>
        </w:tc>
        <w:tc>
          <w:tcPr>
            <w:tcW w:w="1134"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sz w:val="18"/>
                <w:szCs w:val="18"/>
              </w:rPr>
            </w:pPr>
            <w:r>
              <w:rPr>
                <w:rFonts w:ascii="Times New Roman" w:hAnsi="Times New Roman" w:eastAsia="宋体" w:cs="Times New Roman"/>
                <w:kern w:val="0"/>
                <w:sz w:val="18"/>
                <w:szCs w:val="18"/>
                <w:lang w:bidi="ar"/>
              </w:rPr>
              <w:t>46.8</w:t>
            </w:r>
          </w:p>
        </w:tc>
        <w:tc>
          <w:tcPr>
            <w:tcW w:w="1134"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sz w:val="18"/>
                <w:szCs w:val="18"/>
              </w:rPr>
            </w:pPr>
            <w:r>
              <w:rPr>
                <w:rFonts w:ascii="Times New Roman" w:hAnsi="Times New Roman" w:eastAsia="宋体" w:cs="Times New Roman"/>
                <w:kern w:val="0"/>
                <w:sz w:val="18"/>
                <w:szCs w:val="18"/>
                <w:lang w:bidi="ar"/>
              </w:rPr>
              <w:t>0.22</w:t>
            </w:r>
          </w:p>
        </w:tc>
      </w:tr>
      <w:tr>
        <w:tblPrEx>
          <w:tblCellMar>
            <w:top w:w="0" w:type="dxa"/>
            <w:left w:w="108" w:type="dxa"/>
            <w:bottom w:w="0" w:type="dxa"/>
            <w:right w:w="108" w:type="dxa"/>
          </w:tblCellMar>
        </w:tblPrEx>
        <w:trPr>
          <w:trHeight w:val="280" w:hRule="atLeast"/>
        </w:trPr>
        <w:tc>
          <w:tcPr>
            <w:tcW w:w="8561" w:type="dxa"/>
            <w:gridSpan w:val="6"/>
            <w:tcBorders>
              <w:top w:val="single" w:color="000000" w:sz="4" w:space="0"/>
              <w:left w:val="nil"/>
              <w:bottom w:val="nil"/>
              <w:right w:val="nil"/>
            </w:tcBorders>
            <w:shd w:val="clear" w:color="auto" w:fill="auto"/>
            <w:noWrap/>
            <w:vAlign w:val="center"/>
          </w:tcPr>
          <w:p>
            <w:pPr>
              <w:widowControl/>
              <w:textAlignment w:val="center"/>
              <w:rPr>
                <w:rFonts w:ascii="Times New Roman" w:hAnsi="Times New Roman" w:eastAsia="宋体" w:cs="Times New Roman"/>
                <w:color w:val="000000"/>
                <w:kern w:val="0"/>
                <w:sz w:val="18"/>
                <w:szCs w:val="18"/>
                <w:lang w:bidi="ar"/>
              </w:rPr>
            </w:pPr>
            <w:r>
              <w:rPr>
                <w:rFonts w:ascii="Times New Roman" w:hAnsi="Times New Roman" w:eastAsia="宋体" w:cs="Times New Roman"/>
                <w:color w:val="000000"/>
                <w:kern w:val="0"/>
                <w:sz w:val="18"/>
                <w:szCs w:val="18"/>
                <w:lang w:bidi="ar"/>
              </w:rPr>
              <w:t>Study Population</w:t>
            </w:r>
            <w:r>
              <w:rPr>
                <w:rFonts w:hint="eastAsia" w:ascii="Times New Roman" w:hAnsi="Times New Roman" w:eastAsia="宋体" w:cs="Times New Roman"/>
                <w:color w:val="000000"/>
                <w:kern w:val="0"/>
                <w:sz w:val="18"/>
                <w:szCs w:val="18"/>
                <w:lang w:bidi="ar"/>
              </w:rPr>
              <w:t>：O-other, P-public</w:t>
            </w:r>
          </w:p>
        </w:tc>
      </w:tr>
    </w:tbl>
    <w:p>
      <w:pPr>
        <w:spacing w:line="440" w:lineRule="exact"/>
        <w:rPr>
          <w:rFonts w:ascii="Times New Roman" w:hAnsi="Times New Roman" w:cs="Times New Roman"/>
          <w:b/>
          <w:bCs/>
          <w:sz w:val="24"/>
          <w:szCs w:val="32"/>
        </w:rPr>
      </w:pPr>
      <w:r>
        <w:rPr>
          <w:rFonts w:ascii="Times New Roman" w:hAnsi="Times New Roman" w:cs="Times New Roman"/>
          <w:b/>
          <w:bCs/>
          <w:sz w:val="24"/>
          <w:szCs w:val="32"/>
        </w:rPr>
        <w:t>Published bias test</w:t>
      </w:r>
    </w:p>
    <w:p>
      <w:pPr>
        <w:spacing w:line="440" w:lineRule="exact"/>
        <w:rPr>
          <w:rFonts w:ascii="Times New Roman" w:hAnsi="Times New Roman" w:cs="Times New Roman"/>
          <w:sz w:val="24"/>
          <w:szCs w:val="32"/>
        </w:rPr>
      </w:pPr>
      <w:r>
        <w:rPr>
          <w:rFonts w:ascii="Times New Roman" w:hAnsi="Times New Roman" w:cs="Times New Roman"/>
          <w:sz w:val="24"/>
          <w:szCs w:val="32"/>
        </w:rPr>
        <w:t xml:space="preserve">First, the funnel plot was used to check for publication bias, and the funnel plot in Figure </w:t>
      </w:r>
      <w:r>
        <w:rPr>
          <w:rFonts w:hint="eastAsia" w:ascii="Times New Roman" w:hAnsi="Times New Roman" w:cs="Times New Roman"/>
          <w:sz w:val="24"/>
          <w:szCs w:val="32"/>
        </w:rPr>
        <w:t>2</w:t>
      </w:r>
      <w:r>
        <w:rPr>
          <w:rFonts w:ascii="Times New Roman" w:hAnsi="Times New Roman" w:cs="Times New Roman"/>
          <w:sz w:val="24"/>
          <w:szCs w:val="32"/>
        </w:rPr>
        <w:t xml:space="preserve"> shows that the effect values are concentrated at the top of the graph and evenly distributed on both sides of the total effect, indicating no publication bias.</w:t>
      </w:r>
    </w:p>
    <w:p>
      <w:pPr>
        <w:ind w:firstLine="420"/>
        <w:jc w:val="center"/>
        <w:rPr>
          <w:rFonts w:ascii="Times New Roman" w:hAnsi="Times New Roman" w:cs="Times New Roman"/>
          <w:b/>
          <w:bCs/>
          <w:szCs w:val="21"/>
        </w:rPr>
      </w:pPr>
      <w:r>
        <w:rPr>
          <w:b/>
          <w:bCs/>
          <w:szCs w:val="21"/>
        </w:rPr>
        <w:drawing>
          <wp:anchor distT="3810" distB="3810" distL="114935" distR="114935" simplePos="0" relativeHeight="251660288" behindDoc="0" locked="0" layoutInCell="1" allowOverlap="1">
            <wp:simplePos x="0" y="0"/>
            <wp:positionH relativeFrom="column">
              <wp:posOffset>195580</wp:posOffset>
            </wp:positionH>
            <wp:positionV relativeFrom="paragraph">
              <wp:posOffset>195580</wp:posOffset>
            </wp:positionV>
            <wp:extent cx="4932045" cy="2927350"/>
            <wp:effectExtent l="0" t="0" r="8255" b="6350"/>
            <wp:wrapTopAndBottom/>
            <wp:docPr id="3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1"/>
                    <pic:cNvPicPr>
                      <a:picLocks noChangeAspect="1"/>
                    </pic:cNvPicPr>
                  </pic:nvPicPr>
                  <pic:blipFill>
                    <a:blip r:embed="rId5"/>
                    <a:stretch>
                      <a:fillRect/>
                    </a:stretch>
                  </pic:blipFill>
                  <pic:spPr>
                    <a:xfrm>
                      <a:off x="0" y="0"/>
                      <a:ext cx="4932045" cy="2927350"/>
                    </a:xfrm>
                    <a:prstGeom prst="rect">
                      <a:avLst/>
                    </a:prstGeom>
                    <a:noFill/>
                    <a:ln>
                      <a:noFill/>
                    </a:ln>
                  </pic:spPr>
                </pic:pic>
              </a:graphicData>
            </a:graphic>
          </wp:anchor>
        </w:drawing>
      </w:r>
      <w:r>
        <w:rPr>
          <w:rFonts w:ascii="Times New Roman" w:hAnsi="Times New Roman" w:cs="Times New Roman"/>
          <w:b/>
          <w:bCs/>
          <w:szCs w:val="21"/>
        </w:rPr>
        <w:t>Figure</w:t>
      </w:r>
      <w:r>
        <w:rPr>
          <w:rFonts w:hint="eastAsia" w:ascii="Times New Roman" w:hAnsi="Times New Roman" w:cs="Times New Roman"/>
          <w:b/>
          <w:bCs/>
          <w:szCs w:val="21"/>
        </w:rPr>
        <w:t xml:space="preserve"> 2</w:t>
      </w:r>
      <w:r>
        <w:rPr>
          <w:rFonts w:ascii="Times New Roman" w:hAnsi="Times New Roman" w:cs="Times New Roman"/>
          <w:b/>
          <w:bCs/>
          <w:szCs w:val="21"/>
        </w:rPr>
        <w:t xml:space="preserve"> </w:t>
      </w:r>
      <w:r>
        <w:rPr>
          <w:rFonts w:hint="eastAsia" w:ascii="Times New Roman" w:hAnsi="Times New Roman" w:cs="Times New Roman"/>
          <w:b/>
          <w:bCs/>
          <w:szCs w:val="21"/>
        </w:rPr>
        <w:t>F</w:t>
      </w:r>
      <w:r>
        <w:rPr>
          <w:rFonts w:ascii="Times New Roman" w:hAnsi="Times New Roman" w:cs="Times New Roman"/>
          <w:b/>
          <w:bCs/>
          <w:szCs w:val="21"/>
        </w:rPr>
        <w:t xml:space="preserve">unnel </w:t>
      </w:r>
      <w:r>
        <w:rPr>
          <w:rFonts w:hint="eastAsia" w:ascii="Times New Roman" w:hAnsi="Times New Roman" w:cs="Times New Roman"/>
          <w:b/>
          <w:bCs/>
          <w:szCs w:val="21"/>
        </w:rPr>
        <w:t>P</w:t>
      </w:r>
      <w:r>
        <w:rPr>
          <w:rFonts w:ascii="Times New Roman" w:hAnsi="Times New Roman" w:cs="Times New Roman"/>
          <w:b/>
          <w:bCs/>
          <w:szCs w:val="21"/>
        </w:rPr>
        <w:t>lot</w:t>
      </w:r>
    </w:p>
    <w:p>
      <w:pPr>
        <w:spacing w:line="440" w:lineRule="exact"/>
        <w:rPr>
          <w:rFonts w:ascii="Times New Roman" w:hAnsi="Times New Roman" w:cs="Times New Roman"/>
          <w:b/>
          <w:bCs/>
          <w:sz w:val="24"/>
          <w:szCs w:val="32"/>
        </w:rPr>
      </w:pPr>
      <w:r>
        <w:rPr>
          <w:rFonts w:ascii="Times New Roman" w:hAnsi="Times New Roman" w:cs="Times New Roman"/>
          <w:b/>
          <w:bCs/>
          <w:sz w:val="24"/>
          <w:szCs w:val="32"/>
        </w:rPr>
        <w:t>Heterogeneity test</w:t>
      </w:r>
    </w:p>
    <w:p>
      <w:pPr>
        <w:spacing w:line="440" w:lineRule="exact"/>
        <w:rPr>
          <w:rFonts w:ascii="Times New Roman" w:hAnsi="Times New Roman" w:cs="Times New Roman"/>
          <w:sz w:val="24"/>
          <w:szCs w:val="32"/>
        </w:rPr>
      </w:pPr>
      <w:r>
        <w:rPr>
          <w:rFonts w:hint="eastAsia" w:ascii="Times New Roman" w:hAnsi="Times New Roman" w:cs="Times New Roman"/>
          <w:sz w:val="24"/>
          <w:szCs w:val="32"/>
        </w:rPr>
        <w:t>The results of the heterogeneity test for the relationship between workplace interpersonal relationships and employee resilience are shown in Table5. The results indicate that the Q-test for effect values is significant (p &lt; 0.001) and I</w:t>
      </w:r>
      <w:r>
        <w:rPr>
          <w:rFonts w:hint="eastAsia" w:ascii="Times New Roman" w:hAnsi="Times New Roman" w:cs="Times New Roman"/>
          <w:sz w:val="24"/>
          <w:szCs w:val="32"/>
          <w:vertAlign w:val="superscript"/>
        </w:rPr>
        <w:t>2</w:t>
      </w:r>
      <w:r>
        <w:rPr>
          <w:rFonts w:hint="eastAsia" w:ascii="Times New Roman" w:hAnsi="Times New Roman" w:cs="Times New Roman"/>
          <w:sz w:val="24"/>
          <w:szCs w:val="32"/>
        </w:rPr>
        <w:t xml:space="preserve"> = 90.089% ≥75%, indicating that 90.089% of the variance in the relationship between workplace interpersonal relationships and employee resilience is caused by the true difference in effect values, and there is non-negligible heterogeneity among the studies in the meta-analysis. Therefore, the selected random. The Tau</w:t>
      </w:r>
      <w:r>
        <w:rPr>
          <w:rFonts w:hint="eastAsia" w:ascii="Times New Roman" w:hAnsi="Times New Roman" w:cs="Times New Roman"/>
          <w:sz w:val="24"/>
          <w:szCs w:val="32"/>
          <w:vertAlign w:val="superscript"/>
        </w:rPr>
        <w:t>2</w:t>
      </w:r>
      <w:r>
        <w:rPr>
          <w:rFonts w:hint="eastAsia" w:ascii="Times New Roman" w:hAnsi="Times New Roman" w:cs="Times New Roman"/>
          <w:sz w:val="24"/>
          <w:szCs w:val="32"/>
        </w:rPr>
        <w:t xml:space="preserve"> value of 0.037 indicates that 3.7% of the variance in effect sizes across studies is available for weight calculation.</w:t>
      </w:r>
    </w:p>
    <w:tbl>
      <w:tblPr>
        <w:tblStyle w:val="2"/>
        <w:tblpPr w:leftFromText="180" w:rightFromText="180" w:vertAnchor="text" w:horzAnchor="page" w:tblpX="1891" w:tblpY="415"/>
        <w:tblOverlap w:val="never"/>
        <w:tblW w:w="8571" w:type="dxa"/>
        <w:tblInd w:w="0" w:type="dxa"/>
        <w:tblLayout w:type="fixed"/>
        <w:tblCellMar>
          <w:top w:w="0" w:type="dxa"/>
          <w:left w:w="108" w:type="dxa"/>
          <w:bottom w:w="0" w:type="dxa"/>
          <w:right w:w="108" w:type="dxa"/>
        </w:tblCellMar>
      </w:tblPr>
      <w:tblGrid>
        <w:gridCol w:w="960"/>
        <w:gridCol w:w="1417"/>
        <w:gridCol w:w="979"/>
        <w:gridCol w:w="777"/>
        <w:gridCol w:w="661"/>
        <w:gridCol w:w="800"/>
        <w:gridCol w:w="677"/>
        <w:gridCol w:w="639"/>
        <w:gridCol w:w="961"/>
        <w:gridCol w:w="700"/>
      </w:tblGrid>
      <w:tr>
        <w:tblPrEx>
          <w:tblCellMar>
            <w:top w:w="0" w:type="dxa"/>
            <w:left w:w="108" w:type="dxa"/>
            <w:bottom w:w="0" w:type="dxa"/>
            <w:right w:w="108" w:type="dxa"/>
          </w:tblCellMar>
        </w:tblPrEx>
        <w:trPr>
          <w:trHeight w:val="280" w:hRule="atLeast"/>
        </w:trPr>
        <w:tc>
          <w:tcPr>
            <w:tcW w:w="8571" w:type="dxa"/>
            <w:gridSpan w:val="10"/>
            <w:tcBorders>
              <w:top w:val="nil"/>
              <w:left w:val="nil"/>
              <w:bottom w:val="nil"/>
              <w:right w:val="nil"/>
            </w:tcBorders>
            <w:shd w:val="clear" w:color="auto" w:fill="auto"/>
            <w:noWrap/>
            <w:vAlign w:val="center"/>
          </w:tcPr>
          <w:p>
            <w:pPr>
              <w:widowControl/>
              <w:jc w:val="left"/>
              <w:textAlignment w:val="center"/>
              <w:rPr>
                <w:rFonts w:ascii="Times New Roman" w:hAnsi="Times New Roman" w:eastAsia="DY1" w:cs="Times New Roman"/>
                <w:b/>
                <w:bCs/>
                <w:color w:val="000000"/>
                <w:kern w:val="0"/>
                <w:szCs w:val="21"/>
                <w:lang w:bidi="ar"/>
              </w:rPr>
            </w:pPr>
            <w:r>
              <w:rPr>
                <w:rFonts w:hint="eastAsia" w:ascii="Times New Roman" w:hAnsi="Times New Roman" w:eastAsia="宋体" w:cs="Times New Roman"/>
                <w:b/>
                <w:bCs/>
                <w:color w:val="000000"/>
                <w:kern w:val="0"/>
                <w:szCs w:val="21"/>
                <w:lang w:bidi="ar"/>
              </w:rPr>
              <w:t>Table5</w:t>
            </w:r>
          </w:p>
        </w:tc>
      </w:tr>
      <w:tr>
        <w:tblPrEx>
          <w:tblCellMar>
            <w:top w:w="0" w:type="dxa"/>
            <w:left w:w="108" w:type="dxa"/>
            <w:bottom w:w="0" w:type="dxa"/>
            <w:right w:w="108" w:type="dxa"/>
          </w:tblCellMar>
        </w:tblPrEx>
        <w:trPr>
          <w:trHeight w:val="280" w:hRule="atLeast"/>
        </w:trPr>
        <w:tc>
          <w:tcPr>
            <w:tcW w:w="8571" w:type="dxa"/>
            <w:gridSpan w:val="10"/>
            <w:tcBorders>
              <w:top w:val="nil"/>
              <w:left w:val="nil"/>
              <w:right w:val="nil"/>
            </w:tcBorders>
            <w:shd w:val="clear" w:color="auto" w:fill="auto"/>
            <w:noWrap/>
            <w:vAlign w:val="center"/>
          </w:tcPr>
          <w:p>
            <w:pPr>
              <w:widowControl/>
              <w:jc w:val="left"/>
              <w:textAlignment w:val="center"/>
              <w:rPr>
                <w:rFonts w:ascii="Times New Roman" w:hAnsi="Times New Roman" w:eastAsia="DY1" w:cs="Times New Roman"/>
                <w:b/>
                <w:bCs/>
                <w:color w:val="000000"/>
                <w:kern w:val="0"/>
                <w:szCs w:val="21"/>
                <w:lang w:bidi="ar"/>
              </w:rPr>
            </w:pPr>
            <w:r>
              <w:rPr>
                <w:rFonts w:ascii="Times New Roman" w:hAnsi="Times New Roman" w:eastAsia="DY1" w:cs="Times New Roman"/>
                <w:b/>
                <w:bCs/>
                <w:color w:val="000000"/>
                <w:kern w:val="0"/>
                <w:szCs w:val="21"/>
                <w:lang w:bidi="ar"/>
              </w:rPr>
              <w:t>Results of the test for heterogeneity of effect values (Q-statistics)</w:t>
            </w:r>
          </w:p>
        </w:tc>
      </w:tr>
      <w:tr>
        <w:tblPrEx>
          <w:tblCellMar>
            <w:top w:w="0" w:type="dxa"/>
            <w:left w:w="108" w:type="dxa"/>
            <w:bottom w:w="0" w:type="dxa"/>
            <w:right w:w="108" w:type="dxa"/>
          </w:tblCellMar>
        </w:tblPrEx>
        <w:trPr>
          <w:trHeight w:val="280" w:hRule="atLeast"/>
        </w:trPr>
        <w:tc>
          <w:tcPr>
            <w:tcW w:w="960" w:type="dxa"/>
            <w:vMerge w:val="restart"/>
            <w:tcBorders>
              <w:top w:val="single" w:color="000000" w:sz="4" w:space="0"/>
              <w:left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Model</w:t>
            </w:r>
          </w:p>
        </w:tc>
        <w:tc>
          <w:tcPr>
            <w:tcW w:w="1417" w:type="dxa"/>
            <w:vMerge w:val="restart"/>
            <w:tcBorders>
              <w:top w:val="single" w:color="000000" w:sz="4" w:space="0"/>
              <w:left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Number Studies</w:t>
            </w:r>
          </w:p>
        </w:tc>
        <w:tc>
          <w:tcPr>
            <w:tcW w:w="3217" w:type="dxa"/>
            <w:gridSpan w:val="4"/>
            <w:tcBorders>
              <w:top w:val="single" w:color="000000" w:sz="4" w:space="0"/>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Heterogeneity</w:t>
            </w:r>
          </w:p>
        </w:tc>
        <w:tc>
          <w:tcPr>
            <w:tcW w:w="2977" w:type="dxa"/>
            <w:gridSpan w:val="4"/>
            <w:tcBorders>
              <w:top w:val="single" w:color="000000" w:sz="4" w:space="0"/>
              <w:left w:val="nil"/>
              <w:bottom w:val="single" w:color="000000" w:sz="4" w:space="0"/>
              <w:right w:val="nil"/>
            </w:tcBorders>
            <w:shd w:val="clear" w:color="auto" w:fill="auto"/>
            <w:vAlign w:val="center"/>
          </w:tcPr>
          <w:p>
            <w:pPr>
              <w:widowControl/>
              <w:jc w:val="center"/>
              <w:textAlignment w:val="center"/>
              <w:rPr>
                <w:rFonts w:ascii="Times New Roman" w:hAnsi="Times New Roman" w:eastAsia="DY1" w:cs="Times New Roman"/>
                <w:color w:val="000000"/>
                <w:sz w:val="18"/>
                <w:szCs w:val="18"/>
              </w:rPr>
            </w:pPr>
            <w:r>
              <w:rPr>
                <w:rFonts w:ascii="Times New Roman" w:hAnsi="Times New Roman" w:eastAsia="DY1" w:cs="Times New Roman"/>
                <w:color w:val="000000"/>
                <w:kern w:val="0"/>
                <w:sz w:val="18"/>
                <w:szCs w:val="18"/>
                <w:lang w:bidi="ar"/>
              </w:rPr>
              <w:t>Tau2</w:t>
            </w:r>
          </w:p>
        </w:tc>
      </w:tr>
      <w:tr>
        <w:tblPrEx>
          <w:tblCellMar>
            <w:top w:w="0" w:type="dxa"/>
            <w:left w:w="108" w:type="dxa"/>
            <w:bottom w:w="0" w:type="dxa"/>
            <w:right w:w="108" w:type="dxa"/>
          </w:tblCellMar>
        </w:tblPrEx>
        <w:trPr>
          <w:trHeight w:val="280" w:hRule="atLeast"/>
        </w:trPr>
        <w:tc>
          <w:tcPr>
            <w:tcW w:w="960" w:type="dxa"/>
            <w:vMerge w:val="continue"/>
            <w:tcBorders>
              <w:left w:val="nil"/>
              <w:bottom w:val="single" w:color="000000" w:sz="4" w:space="0"/>
              <w:right w:val="nil"/>
            </w:tcBorders>
            <w:shd w:val="clear" w:color="auto" w:fill="auto"/>
            <w:noWrap/>
            <w:vAlign w:val="center"/>
          </w:tcPr>
          <w:p>
            <w:pPr>
              <w:jc w:val="center"/>
              <w:rPr>
                <w:rFonts w:ascii="Times New Roman" w:hAnsi="Times New Roman" w:eastAsia="宋体" w:cs="Times New Roman"/>
                <w:color w:val="000000"/>
                <w:sz w:val="18"/>
                <w:szCs w:val="18"/>
              </w:rPr>
            </w:pPr>
          </w:p>
        </w:tc>
        <w:tc>
          <w:tcPr>
            <w:tcW w:w="1417" w:type="dxa"/>
            <w:vMerge w:val="continue"/>
            <w:tcBorders>
              <w:left w:val="nil"/>
              <w:bottom w:val="single" w:color="000000" w:sz="4" w:space="0"/>
              <w:right w:val="nil"/>
            </w:tcBorders>
            <w:shd w:val="clear" w:color="auto" w:fill="auto"/>
            <w:noWrap/>
            <w:vAlign w:val="center"/>
          </w:tcPr>
          <w:p>
            <w:pPr>
              <w:jc w:val="center"/>
              <w:rPr>
                <w:rFonts w:ascii="Times New Roman" w:hAnsi="Times New Roman" w:eastAsia="宋体" w:cs="Times New Roman"/>
                <w:color w:val="000000"/>
                <w:sz w:val="18"/>
                <w:szCs w:val="18"/>
              </w:rPr>
            </w:pPr>
          </w:p>
        </w:tc>
        <w:tc>
          <w:tcPr>
            <w:tcW w:w="979" w:type="dxa"/>
            <w:tcBorders>
              <w:top w:val="single" w:color="000000" w:sz="4" w:space="0"/>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Q</w:t>
            </w:r>
          </w:p>
        </w:tc>
        <w:tc>
          <w:tcPr>
            <w:tcW w:w="777" w:type="dxa"/>
            <w:tcBorders>
              <w:top w:val="single" w:color="000000" w:sz="4" w:space="0"/>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df(Q)</w:t>
            </w:r>
          </w:p>
        </w:tc>
        <w:tc>
          <w:tcPr>
            <w:tcW w:w="661" w:type="dxa"/>
            <w:tcBorders>
              <w:top w:val="single" w:color="000000" w:sz="4" w:space="0"/>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P</w:t>
            </w:r>
          </w:p>
        </w:tc>
        <w:tc>
          <w:tcPr>
            <w:tcW w:w="800" w:type="dxa"/>
            <w:tcBorders>
              <w:top w:val="single" w:color="000000" w:sz="4" w:space="0"/>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I</w:t>
            </w:r>
            <w:r>
              <w:rPr>
                <w:rFonts w:ascii="Times New Roman" w:hAnsi="Times New Roman" w:eastAsia="宋体" w:cs="Times New Roman"/>
                <w:color w:val="000000"/>
                <w:kern w:val="0"/>
                <w:sz w:val="18"/>
                <w:szCs w:val="18"/>
                <w:vertAlign w:val="superscript"/>
                <w:lang w:bidi="ar"/>
              </w:rPr>
              <w:t>2</w:t>
            </w:r>
          </w:p>
        </w:tc>
        <w:tc>
          <w:tcPr>
            <w:tcW w:w="677" w:type="dxa"/>
            <w:tcBorders>
              <w:top w:val="single" w:color="000000" w:sz="4" w:space="0"/>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DY1" w:cs="Times New Roman"/>
                <w:color w:val="000000"/>
                <w:sz w:val="18"/>
                <w:szCs w:val="18"/>
              </w:rPr>
            </w:pPr>
            <w:r>
              <w:rPr>
                <w:rFonts w:ascii="Times New Roman" w:hAnsi="Times New Roman" w:eastAsia="DY1" w:cs="Times New Roman"/>
                <w:color w:val="000000"/>
                <w:kern w:val="0"/>
                <w:sz w:val="18"/>
                <w:szCs w:val="18"/>
                <w:lang w:bidi="ar"/>
              </w:rPr>
              <w:t>Tau</w:t>
            </w:r>
            <w:r>
              <w:rPr>
                <w:rFonts w:ascii="Times New Roman" w:hAnsi="Times New Roman" w:eastAsia="DY1" w:cs="Times New Roman"/>
                <w:color w:val="000000"/>
                <w:kern w:val="0"/>
                <w:sz w:val="18"/>
                <w:szCs w:val="18"/>
                <w:vertAlign w:val="superscript"/>
                <w:lang w:bidi="ar"/>
              </w:rPr>
              <w:t>2</w:t>
            </w:r>
          </w:p>
        </w:tc>
        <w:tc>
          <w:tcPr>
            <w:tcW w:w="639" w:type="dxa"/>
            <w:tcBorders>
              <w:top w:val="single" w:color="000000" w:sz="4" w:space="0"/>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SE</w:t>
            </w:r>
          </w:p>
        </w:tc>
        <w:tc>
          <w:tcPr>
            <w:tcW w:w="961" w:type="dxa"/>
            <w:tcBorders>
              <w:top w:val="single" w:color="000000" w:sz="4" w:space="0"/>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Variance</w:t>
            </w:r>
          </w:p>
        </w:tc>
        <w:tc>
          <w:tcPr>
            <w:tcW w:w="700" w:type="dxa"/>
            <w:tcBorders>
              <w:top w:val="single" w:color="000000" w:sz="4" w:space="0"/>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Tau</w:t>
            </w:r>
          </w:p>
        </w:tc>
      </w:tr>
      <w:tr>
        <w:tblPrEx>
          <w:tblCellMar>
            <w:top w:w="0" w:type="dxa"/>
            <w:left w:w="108" w:type="dxa"/>
            <w:bottom w:w="0" w:type="dxa"/>
            <w:right w:w="108" w:type="dxa"/>
          </w:tblCellMar>
        </w:tblPrEx>
        <w:trPr>
          <w:trHeight w:val="280" w:hRule="atLeast"/>
        </w:trPr>
        <w:tc>
          <w:tcPr>
            <w:tcW w:w="960" w:type="dxa"/>
            <w:tcBorders>
              <w:top w:val="single" w:color="000000" w:sz="4" w:space="0"/>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Random</w:t>
            </w:r>
          </w:p>
        </w:tc>
        <w:tc>
          <w:tcPr>
            <w:tcW w:w="1417" w:type="dxa"/>
            <w:tcBorders>
              <w:top w:val="single" w:color="000000" w:sz="4" w:space="0"/>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hint="eastAsia" w:ascii="Times New Roman" w:hAnsi="Times New Roman" w:eastAsia="宋体" w:cs="Times New Roman"/>
                <w:color w:val="000000"/>
                <w:kern w:val="0"/>
                <w:sz w:val="18"/>
                <w:szCs w:val="18"/>
                <w:lang w:bidi="ar"/>
              </w:rPr>
              <w:t>1</w:t>
            </w:r>
            <w:r>
              <w:rPr>
                <w:rFonts w:ascii="Times New Roman" w:hAnsi="Times New Roman" w:eastAsia="宋体" w:cs="Times New Roman"/>
                <w:color w:val="000000"/>
                <w:kern w:val="0"/>
                <w:sz w:val="18"/>
                <w:szCs w:val="18"/>
                <w:lang w:bidi="ar"/>
              </w:rPr>
              <w:t>3</w:t>
            </w:r>
          </w:p>
        </w:tc>
        <w:tc>
          <w:tcPr>
            <w:tcW w:w="979" w:type="dxa"/>
            <w:tcBorders>
              <w:top w:val="single" w:color="000000" w:sz="4" w:space="0"/>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hint="eastAsia" w:ascii="Times New Roman" w:hAnsi="Times New Roman" w:eastAsia="宋体" w:cs="Times New Roman"/>
                <w:color w:val="000000"/>
                <w:kern w:val="0"/>
                <w:sz w:val="18"/>
                <w:szCs w:val="18"/>
                <w:lang w:bidi="ar"/>
              </w:rPr>
              <w:t>121.182</w:t>
            </w:r>
          </w:p>
        </w:tc>
        <w:tc>
          <w:tcPr>
            <w:tcW w:w="777" w:type="dxa"/>
            <w:tcBorders>
              <w:top w:val="single" w:color="000000" w:sz="4" w:space="0"/>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hint="eastAsia" w:ascii="Times New Roman" w:hAnsi="Times New Roman" w:eastAsia="宋体" w:cs="Times New Roman"/>
                <w:color w:val="000000"/>
                <w:kern w:val="0"/>
                <w:sz w:val="18"/>
                <w:szCs w:val="18"/>
                <w:lang w:bidi="ar"/>
              </w:rPr>
              <w:t>12</w:t>
            </w:r>
          </w:p>
        </w:tc>
        <w:tc>
          <w:tcPr>
            <w:tcW w:w="661" w:type="dxa"/>
            <w:tcBorders>
              <w:top w:val="single" w:color="000000" w:sz="4" w:space="0"/>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0</w:t>
            </w:r>
            <w:r>
              <w:rPr>
                <w:rFonts w:hint="eastAsia" w:ascii="Times New Roman" w:hAnsi="Times New Roman" w:eastAsia="宋体" w:cs="Times New Roman"/>
                <w:color w:val="000000"/>
                <w:kern w:val="0"/>
                <w:sz w:val="18"/>
                <w:szCs w:val="18"/>
                <w:lang w:bidi="ar"/>
              </w:rPr>
              <w:t>.000</w:t>
            </w:r>
          </w:p>
        </w:tc>
        <w:tc>
          <w:tcPr>
            <w:tcW w:w="800" w:type="dxa"/>
            <w:tcBorders>
              <w:top w:val="single" w:color="000000" w:sz="4" w:space="0"/>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9</w:t>
            </w:r>
            <w:r>
              <w:rPr>
                <w:rFonts w:hint="eastAsia" w:ascii="Times New Roman" w:hAnsi="Times New Roman" w:eastAsia="宋体" w:cs="Times New Roman"/>
                <w:color w:val="000000"/>
                <w:kern w:val="0"/>
                <w:sz w:val="18"/>
                <w:szCs w:val="18"/>
                <w:lang w:bidi="ar"/>
              </w:rPr>
              <w:t>0.089</w:t>
            </w:r>
          </w:p>
        </w:tc>
        <w:tc>
          <w:tcPr>
            <w:tcW w:w="677" w:type="dxa"/>
            <w:tcBorders>
              <w:top w:val="single" w:color="000000" w:sz="4" w:space="0"/>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0.</w:t>
            </w:r>
            <w:r>
              <w:rPr>
                <w:rFonts w:hint="eastAsia" w:ascii="Times New Roman" w:hAnsi="Times New Roman" w:eastAsia="宋体" w:cs="Times New Roman"/>
                <w:color w:val="000000"/>
                <w:kern w:val="0"/>
                <w:sz w:val="18"/>
                <w:szCs w:val="18"/>
                <w:lang w:bidi="ar"/>
              </w:rPr>
              <w:t>037</w:t>
            </w:r>
          </w:p>
        </w:tc>
        <w:tc>
          <w:tcPr>
            <w:tcW w:w="639" w:type="dxa"/>
            <w:tcBorders>
              <w:top w:val="single" w:color="000000" w:sz="4" w:space="0"/>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0.0</w:t>
            </w:r>
            <w:r>
              <w:rPr>
                <w:rFonts w:hint="eastAsia" w:ascii="Times New Roman" w:hAnsi="Times New Roman" w:eastAsia="宋体" w:cs="Times New Roman"/>
                <w:color w:val="000000"/>
                <w:kern w:val="0"/>
                <w:sz w:val="18"/>
                <w:szCs w:val="18"/>
                <w:lang w:bidi="ar"/>
              </w:rPr>
              <w:t>18</w:t>
            </w:r>
          </w:p>
        </w:tc>
        <w:tc>
          <w:tcPr>
            <w:tcW w:w="961" w:type="dxa"/>
            <w:tcBorders>
              <w:top w:val="single" w:color="000000" w:sz="4" w:space="0"/>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0.00</w:t>
            </w:r>
            <w:r>
              <w:rPr>
                <w:rFonts w:hint="eastAsia" w:ascii="Times New Roman" w:hAnsi="Times New Roman" w:eastAsia="宋体" w:cs="Times New Roman"/>
                <w:color w:val="000000"/>
                <w:kern w:val="0"/>
                <w:sz w:val="18"/>
                <w:szCs w:val="18"/>
                <w:lang w:bidi="ar"/>
              </w:rPr>
              <w:t>0</w:t>
            </w:r>
          </w:p>
        </w:tc>
        <w:tc>
          <w:tcPr>
            <w:tcW w:w="700" w:type="dxa"/>
            <w:tcBorders>
              <w:top w:val="single" w:color="000000" w:sz="4" w:space="0"/>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0.</w:t>
            </w:r>
            <w:r>
              <w:rPr>
                <w:rFonts w:hint="eastAsia" w:ascii="Times New Roman" w:hAnsi="Times New Roman" w:eastAsia="宋体" w:cs="Times New Roman"/>
                <w:color w:val="000000"/>
                <w:kern w:val="0"/>
                <w:sz w:val="18"/>
                <w:szCs w:val="18"/>
                <w:lang w:bidi="ar"/>
              </w:rPr>
              <w:t>191</w:t>
            </w:r>
          </w:p>
        </w:tc>
      </w:tr>
    </w:tbl>
    <w:p>
      <w:pPr>
        <w:spacing w:line="440" w:lineRule="exact"/>
        <w:ind w:firstLine="420"/>
        <w:rPr>
          <w:rFonts w:ascii="Times New Roman" w:hAnsi="Times New Roman" w:cs="Times New Roman"/>
          <w:sz w:val="24"/>
          <w:szCs w:val="32"/>
        </w:rPr>
      </w:pPr>
    </w:p>
    <w:p>
      <w:pPr>
        <w:spacing w:line="440" w:lineRule="exact"/>
        <w:rPr>
          <w:rFonts w:ascii="Times New Roman" w:hAnsi="Times New Roman" w:cs="Times New Roman"/>
          <w:b/>
          <w:bCs/>
          <w:sz w:val="24"/>
          <w:szCs w:val="32"/>
        </w:rPr>
      </w:pPr>
      <w:r>
        <w:rPr>
          <w:rFonts w:ascii="Times New Roman" w:hAnsi="Times New Roman" w:cs="Times New Roman"/>
          <w:b/>
          <w:bCs/>
          <w:sz w:val="24"/>
          <w:szCs w:val="32"/>
        </w:rPr>
        <w:t>Main effects test</w:t>
      </w:r>
    </w:p>
    <w:p>
      <w:pPr>
        <w:spacing w:line="440" w:lineRule="exact"/>
        <w:rPr>
          <w:rFonts w:ascii="Times New Roman" w:hAnsi="Times New Roman" w:cs="Times New Roman"/>
          <w:sz w:val="24"/>
          <w:szCs w:val="32"/>
        </w:rPr>
      </w:pPr>
      <w:r>
        <w:rPr>
          <w:rFonts w:ascii="Times New Roman" w:hAnsi="Times New Roman" w:cs="Times New Roman"/>
          <w:sz w:val="24"/>
          <w:szCs w:val="32"/>
        </w:rPr>
        <w:t>A random effects model was used to explore the degree of overall correlation between workplace interpersonal relationships and employee resilience, and the results (see Table 6) showed a correlation coefficient of 0.36 and a 95% confidence interval of [0.260,0.452] for the effect size. According to previous suggestions, r = 0.1, r = 0.2, and r = 0. 3 are low, moderate, and strong correlations, respectively. Therefore, it can be concluded that there is a high degree of positive correlation between workplace interpersonal relationships and employee resilience.</w:t>
      </w:r>
    </w:p>
    <w:tbl>
      <w:tblPr>
        <w:tblStyle w:val="2"/>
        <w:tblpPr w:leftFromText="180" w:rightFromText="180" w:vertAnchor="text" w:horzAnchor="page" w:tblpX="1891" w:tblpY="415"/>
        <w:tblOverlap w:val="never"/>
        <w:tblW w:w="8571" w:type="dxa"/>
        <w:tblInd w:w="0" w:type="dxa"/>
        <w:tblLayout w:type="fixed"/>
        <w:tblCellMar>
          <w:top w:w="0" w:type="dxa"/>
          <w:left w:w="108" w:type="dxa"/>
          <w:bottom w:w="0" w:type="dxa"/>
          <w:right w:w="108" w:type="dxa"/>
        </w:tblCellMar>
      </w:tblPr>
      <w:tblGrid>
        <w:gridCol w:w="960"/>
        <w:gridCol w:w="1417"/>
        <w:gridCol w:w="1756"/>
        <w:gridCol w:w="661"/>
        <w:gridCol w:w="800"/>
        <w:gridCol w:w="1316"/>
        <w:gridCol w:w="1661"/>
      </w:tblGrid>
      <w:tr>
        <w:tblPrEx>
          <w:tblCellMar>
            <w:top w:w="0" w:type="dxa"/>
            <w:left w:w="108" w:type="dxa"/>
            <w:bottom w:w="0" w:type="dxa"/>
            <w:right w:w="108" w:type="dxa"/>
          </w:tblCellMar>
        </w:tblPrEx>
        <w:trPr>
          <w:trHeight w:val="280" w:hRule="atLeast"/>
        </w:trPr>
        <w:tc>
          <w:tcPr>
            <w:tcW w:w="8571" w:type="dxa"/>
            <w:gridSpan w:val="7"/>
            <w:tcBorders>
              <w:top w:val="nil"/>
              <w:left w:val="nil"/>
              <w:bottom w:val="nil"/>
              <w:right w:val="nil"/>
            </w:tcBorders>
            <w:shd w:val="clear" w:color="auto" w:fill="auto"/>
            <w:noWrap/>
            <w:vAlign w:val="center"/>
          </w:tcPr>
          <w:p>
            <w:pPr>
              <w:widowControl/>
              <w:jc w:val="left"/>
              <w:textAlignment w:val="center"/>
              <w:rPr>
                <w:rFonts w:ascii="Times New Roman" w:hAnsi="Times New Roman" w:eastAsia="DY1" w:cs="Times New Roman"/>
                <w:b/>
                <w:bCs/>
                <w:color w:val="000000"/>
                <w:kern w:val="0"/>
                <w:szCs w:val="21"/>
                <w:lang w:bidi="ar"/>
              </w:rPr>
            </w:pPr>
            <w:r>
              <w:rPr>
                <w:rFonts w:hint="eastAsia" w:ascii="Times New Roman" w:hAnsi="Times New Roman" w:eastAsia="宋体" w:cs="Times New Roman"/>
                <w:b/>
                <w:bCs/>
                <w:color w:val="000000"/>
                <w:kern w:val="0"/>
                <w:szCs w:val="21"/>
                <w:lang w:bidi="ar"/>
              </w:rPr>
              <w:t>Table 6</w:t>
            </w:r>
          </w:p>
        </w:tc>
      </w:tr>
      <w:tr>
        <w:tblPrEx>
          <w:tblCellMar>
            <w:top w:w="0" w:type="dxa"/>
            <w:left w:w="108" w:type="dxa"/>
            <w:bottom w:w="0" w:type="dxa"/>
            <w:right w:w="108" w:type="dxa"/>
          </w:tblCellMar>
        </w:tblPrEx>
        <w:trPr>
          <w:trHeight w:val="280" w:hRule="atLeast"/>
        </w:trPr>
        <w:tc>
          <w:tcPr>
            <w:tcW w:w="8571" w:type="dxa"/>
            <w:gridSpan w:val="7"/>
            <w:tcBorders>
              <w:top w:val="nil"/>
              <w:left w:val="nil"/>
              <w:right w:val="nil"/>
            </w:tcBorders>
            <w:shd w:val="clear" w:color="auto" w:fill="auto"/>
            <w:noWrap/>
            <w:vAlign w:val="center"/>
          </w:tcPr>
          <w:p>
            <w:pPr>
              <w:widowControl/>
              <w:jc w:val="left"/>
              <w:textAlignment w:val="center"/>
              <w:rPr>
                <w:rFonts w:ascii="Times New Roman" w:hAnsi="Times New Roman" w:eastAsia="DY1" w:cs="Times New Roman"/>
                <w:b/>
                <w:bCs/>
                <w:color w:val="000000"/>
                <w:kern w:val="0"/>
                <w:szCs w:val="21"/>
                <w:lang w:bidi="ar"/>
              </w:rPr>
            </w:pPr>
            <w:r>
              <w:rPr>
                <w:rFonts w:ascii="Times New Roman" w:hAnsi="Times New Roman" w:eastAsia="DY1" w:cs="Times New Roman"/>
                <w:b/>
                <w:bCs/>
                <w:color w:val="000000"/>
                <w:kern w:val="0"/>
                <w:szCs w:val="21"/>
                <w:lang w:bidi="ar"/>
              </w:rPr>
              <w:t xml:space="preserve">Results of the main effects test of </w:t>
            </w:r>
            <w:r>
              <w:rPr>
                <w:rFonts w:hint="eastAsia" w:ascii="Times New Roman" w:hAnsi="Times New Roman" w:eastAsia="DY1" w:cs="Times New Roman"/>
                <w:b/>
                <w:bCs/>
                <w:color w:val="000000"/>
                <w:kern w:val="0"/>
                <w:szCs w:val="21"/>
                <w:lang w:bidi="ar"/>
              </w:rPr>
              <w:t xml:space="preserve">workplace </w:t>
            </w:r>
            <w:r>
              <w:rPr>
                <w:rFonts w:ascii="Times New Roman" w:hAnsi="Times New Roman" w:eastAsia="DY1" w:cs="Times New Roman"/>
                <w:b/>
                <w:bCs/>
                <w:color w:val="000000"/>
                <w:kern w:val="0"/>
                <w:szCs w:val="21"/>
                <w:lang w:bidi="ar"/>
              </w:rPr>
              <w:t>interpersonal relationships and employee resilience</w:t>
            </w:r>
          </w:p>
        </w:tc>
      </w:tr>
      <w:tr>
        <w:tblPrEx>
          <w:tblCellMar>
            <w:top w:w="0" w:type="dxa"/>
            <w:left w:w="108" w:type="dxa"/>
            <w:bottom w:w="0" w:type="dxa"/>
            <w:right w:w="108" w:type="dxa"/>
          </w:tblCellMar>
        </w:tblPrEx>
        <w:trPr>
          <w:trHeight w:val="304" w:hRule="atLeast"/>
        </w:trPr>
        <w:tc>
          <w:tcPr>
            <w:tcW w:w="960" w:type="dxa"/>
            <w:vMerge w:val="restart"/>
            <w:tcBorders>
              <w:top w:val="single" w:color="000000" w:sz="4" w:space="0"/>
              <w:left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Model</w:t>
            </w:r>
          </w:p>
        </w:tc>
        <w:tc>
          <w:tcPr>
            <w:tcW w:w="1417" w:type="dxa"/>
            <w:vMerge w:val="restart"/>
            <w:tcBorders>
              <w:top w:val="single" w:color="000000" w:sz="4" w:space="0"/>
              <w:left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Number Studies</w:t>
            </w:r>
          </w:p>
        </w:tc>
        <w:tc>
          <w:tcPr>
            <w:tcW w:w="3217" w:type="dxa"/>
            <w:gridSpan w:val="3"/>
            <w:tcBorders>
              <w:top w:val="single" w:color="000000" w:sz="4" w:space="0"/>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Correlation and 95% CI</w:t>
            </w:r>
          </w:p>
        </w:tc>
        <w:tc>
          <w:tcPr>
            <w:tcW w:w="2977" w:type="dxa"/>
            <w:gridSpan w:val="2"/>
            <w:tcBorders>
              <w:top w:val="single" w:color="000000" w:sz="4" w:space="0"/>
              <w:left w:val="nil"/>
              <w:bottom w:val="single" w:color="000000" w:sz="4" w:space="0"/>
              <w:right w:val="nil"/>
            </w:tcBorders>
            <w:shd w:val="clear" w:color="auto" w:fill="auto"/>
            <w:vAlign w:val="center"/>
          </w:tcPr>
          <w:p>
            <w:pPr>
              <w:widowControl/>
              <w:jc w:val="center"/>
              <w:textAlignment w:val="center"/>
              <w:rPr>
                <w:rFonts w:ascii="Times New Roman" w:hAnsi="Times New Roman" w:eastAsia="DY1" w:cs="Times New Roman"/>
                <w:color w:val="000000"/>
                <w:sz w:val="18"/>
                <w:szCs w:val="18"/>
              </w:rPr>
            </w:pPr>
            <w:r>
              <w:rPr>
                <w:rFonts w:ascii="Times New Roman" w:hAnsi="Times New Roman" w:eastAsia="DY1" w:cs="Times New Roman"/>
                <w:color w:val="000000"/>
                <w:kern w:val="0"/>
                <w:sz w:val="18"/>
                <w:szCs w:val="18"/>
                <w:lang w:bidi="ar"/>
              </w:rPr>
              <w:t>Two</w:t>
            </w:r>
            <w:r>
              <w:rPr>
                <w:rFonts w:hint="eastAsia" w:ascii="Times New Roman" w:hAnsi="Times New Roman" w:eastAsia="DY1" w:cs="Times New Roman"/>
                <w:color w:val="000000"/>
                <w:kern w:val="0"/>
                <w:sz w:val="18"/>
                <w:szCs w:val="18"/>
                <w:lang w:bidi="ar"/>
              </w:rPr>
              <w:t>-</w:t>
            </w:r>
            <w:r>
              <w:rPr>
                <w:rFonts w:ascii="Times New Roman" w:hAnsi="Times New Roman" w:eastAsia="DY1" w:cs="Times New Roman"/>
                <w:color w:val="000000"/>
                <w:kern w:val="0"/>
                <w:sz w:val="18"/>
                <w:szCs w:val="18"/>
                <w:lang w:bidi="ar"/>
              </w:rPr>
              <w:t>tailed</w:t>
            </w:r>
            <w:r>
              <w:rPr>
                <w:rFonts w:hint="eastAsia" w:ascii="Times New Roman" w:hAnsi="Times New Roman" w:eastAsia="DY1" w:cs="Times New Roman"/>
                <w:color w:val="000000"/>
                <w:kern w:val="0"/>
                <w:sz w:val="18"/>
                <w:szCs w:val="18"/>
                <w:lang w:bidi="ar"/>
              </w:rPr>
              <w:t xml:space="preserve"> </w:t>
            </w:r>
            <w:r>
              <w:rPr>
                <w:rFonts w:ascii="Times New Roman" w:hAnsi="Times New Roman" w:eastAsia="DY1" w:cs="Times New Roman"/>
                <w:color w:val="000000"/>
                <w:kern w:val="0"/>
                <w:sz w:val="18"/>
                <w:szCs w:val="18"/>
                <w:lang w:bidi="ar"/>
              </w:rPr>
              <w:t>test</w:t>
            </w:r>
          </w:p>
        </w:tc>
      </w:tr>
      <w:tr>
        <w:tblPrEx>
          <w:tblCellMar>
            <w:top w:w="0" w:type="dxa"/>
            <w:left w:w="108" w:type="dxa"/>
            <w:bottom w:w="0" w:type="dxa"/>
            <w:right w:w="108" w:type="dxa"/>
          </w:tblCellMar>
        </w:tblPrEx>
        <w:trPr>
          <w:trHeight w:val="280" w:hRule="atLeast"/>
        </w:trPr>
        <w:tc>
          <w:tcPr>
            <w:tcW w:w="960" w:type="dxa"/>
            <w:vMerge w:val="continue"/>
            <w:tcBorders>
              <w:left w:val="nil"/>
              <w:bottom w:val="single" w:color="000000" w:sz="4" w:space="0"/>
              <w:right w:val="nil"/>
            </w:tcBorders>
            <w:shd w:val="clear" w:color="auto" w:fill="auto"/>
            <w:noWrap/>
            <w:vAlign w:val="center"/>
          </w:tcPr>
          <w:p>
            <w:pPr>
              <w:jc w:val="center"/>
              <w:rPr>
                <w:rFonts w:ascii="Times New Roman" w:hAnsi="Times New Roman" w:eastAsia="宋体" w:cs="Times New Roman"/>
                <w:color w:val="000000"/>
                <w:sz w:val="18"/>
                <w:szCs w:val="18"/>
              </w:rPr>
            </w:pPr>
          </w:p>
        </w:tc>
        <w:tc>
          <w:tcPr>
            <w:tcW w:w="1417" w:type="dxa"/>
            <w:vMerge w:val="continue"/>
            <w:tcBorders>
              <w:left w:val="nil"/>
              <w:bottom w:val="single" w:color="000000" w:sz="4" w:space="0"/>
              <w:right w:val="nil"/>
            </w:tcBorders>
            <w:shd w:val="clear" w:color="auto" w:fill="auto"/>
            <w:noWrap/>
            <w:vAlign w:val="center"/>
          </w:tcPr>
          <w:p>
            <w:pPr>
              <w:jc w:val="center"/>
              <w:rPr>
                <w:rFonts w:ascii="Times New Roman" w:hAnsi="Times New Roman" w:eastAsia="宋体" w:cs="Times New Roman"/>
                <w:color w:val="000000"/>
                <w:sz w:val="18"/>
                <w:szCs w:val="18"/>
              </w:rPr>
            </w:pPr>
          </w:p>
        </w:tc>
        <w:tc>
          <w:tcPr>
            <w:tcW w:w="1756" w:type="dxa"/>
            <w:tcBorders>
              <w:top w:val="single" w:color="000000" w:sz="4" w:space="0"/>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Correlation</w:t>
            </w:r>
          </w:p>
        </w:tc>
        <w:tc>
          <w:tcPr>
            <w:tcW w:w="661" w:type="dxa"/>
            <w:tcBorders>
              <w:top w:val="single" w:color="000000" w:sz="4" w:space="0"/>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hint="eastAsia" w:ascii="Times New Roman" w:hAnsi="Times New Roman" w:eastAsia="宋体" w:cs="Times New Roman"/>
                <w:color w:val="000000"/>
                <w:kern w:val="0"/>
                <w:sz w:val="18"/>
                <w:szCs w:val="18"/>
                <w:lang w:bidi="ar"/>
              </w:rPr>
              <w:t>LLCI</w:t>
            </w:r>
          </w:p>
        </w:tc>
        <w:tc>
          <w:tcPr>
            <w:tcW w:w="800" w:type="dxa"/>
            <w:tcBorders>
              <w:top w:val="single" w:color="000000" w:sz="4" w:space="0"/>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hint="eastAsia" w:ascii="Times New Roman" w:hAnsi="Times New Roman" w:eastAsia="宋体" w:cs="Times New Roman"/>
                <w:color w:val="000000"/>
                <w:kern w:val="0"/>
                <w:sz w:val="18"/>
                <w:szCs w:val="18"/>
                <w:lang w:bidi="ar"/>
              </w:rPr>
              <w:t>ULCI</w:t>
            </w:r>
          </w:p>
        </w:tc>
        <w:tc>
          <w:tcPr>
            <w:tcW w:w="1316" w:type="dxa"/>
            <w:tcBorders>
              <w:top w:val="single" w:color="000000" w:sz="4" w:space="0"/>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hint="eastAsia" w:ascii="Times New Roman" w:hAnsi="Times New Roman" w:eastAsia="宋体" w:cs="Times New Roman"/>
                <w:color w:val="000000"/>
                <w:sz w:val="18"/>
                <w:szCs w:val="18"/>
              </w:rPr>
              <w:t>Z</w:t>
            </w:r>
          </w:p>
        </w:tc>
        <w:tc>
          <w:tcPr>
            <w:tcW w:w="1661" w:type="dxa"/>
            <w:tcBorders>
              <w:top w:val="single" w:color="000000" w:sz="4" w:space="0"/>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hint="eastAsia" w:ascii="Times New Roman" w:hAnsi="Times New Roman" w:eastAsia="宋体" w:cs="Times New Roman"/>
                <w:color w:val="000000"/>
                <w:sz w:val="18"/>
                <w:szCs w:val="18"/>
              </w:rPr>
              <w:t>P</w:t>
            </w:r>
          </w:p>
        </w:tc>
      </w:tr>
      <w:tr>
        <w:tblPrEx>
          <w:tblCellMar>
            <w:top w:w="0" w:type="dxa"/>
            <w:left w:w="108" w:type="dxa"/>
            <w:bottom w:w="0" w:type="dxa"/>
            <w:right w:w="108" w:type="dxa"/>
          </w:tblCellMar>
        </w:tblPrEx>
        <w:trPr>
          <w:trHeight w:val="280" w:hRule="atLeast"/>
        </w:trPr>
        <w:tc>
          <w:tcPr>
            <w:tcW w:w="960" w:type="dxa"/>
            <w:tcBorders>
              <w:top w:val="single" w:color="000000" w:sz="4" w:space="0"/>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Random</w:t>
            </w:r>
          </w:p>
        </w:tc>
        <w:tc>
          <w:tcPr>
            <w:tcW w:w="1417" w:type="dxa"/>
            <w:tcBorders>
              <w:top w:val="single" w:color="000000" w:sz="4" w:space="0"/>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hint="eastAsia" w:ascii="Times New Roman" w:hAnsi="Times New Roman" w:eastAsia="宋体" w:cs="Times New Roman"/>
                <w:color w:val="000000"/>
                <w:kern w:val="0"/>
                <w:sz w:val="18"/>
                <w:szCs w:val="18"/>
                <w:lang w:bidi="ar"/>
              </w:rPr>
              <w:t>1</w:t>
            </w:r>
            <w:r>
              <w:rPr>
                <w:rFonts w:ascii="Times New Roman" w:hAnsi="Times New Roman" w:eastAsia="宋体" w:cs="Times New Roman"/>
                <w:color w:val="000000"/>
                <w:kern w:val="0"/>
                <w:sz w:val="18"/>
                <w:szCs w:val="18"/>
                <w:lang w:bidi="ar"/>
              </w:rPr>
              <w:t>3</w:t>
            </w:r>
          </w:p>
        </w:tc>
        <w:tc>
          <w:tcPr>
            <w:tcW w:w="1756" w:type="dxa"/>
            <w:tcBorders>
              <w:top w:val="single" w:color="000000" w:sz="4" w:space="0"/>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hint="eastAsia" w:ascii="Times New Roman" w:hAnsi="Times New Roman" w:eastAsia="宋体" w:cs="Times New Roman"/>
                <w:color w:val="000000"/>
                <w:sz w:val="18"/>
                <w:szCs w:val="18"/>
              </w:rPr>
              <w:t>0.360</w:t>
            </w:r>
          </w:p>
        </w:tc>
        <w:tc>
          <w:tcPr>
            <w:tcW w:w="661" w:type="dxa"/>
            <w:tcBorders>
              <w:top w:val="single" w:color="000000" w:sz="4" w:space="0"/>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0</w:t>
            </w:r>
            <w:r>
              <w:rPr>
                <w:rFonts w:hint="eastAsia" w:ascii="Times New Roman" w:hAnsi="Times New Roman" w:eastAsia="宋体" w:cs="Times New Roman"/>
                <w:color w:val="000000"/>
                <w:kern w:val="0"/>
                <w:sz w:val="18"/>
                <w:szCs w:val="18"/>
                <w:lang w:bidi="ar"/>
              </w:rPr>
              <w:t>.260</w:t>
            </w:r>
          </w:p>
        </w:tc>
        <w:tc>
          <w:tcPr>
            <w:tcW w:w="800" w:type="dxa"/>
            <w:tcBorders>
              <w:top w:val="single" w:color="000000" w:sz="4" w:space="0"/>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hint="eastAsia" w:ascii="Times New Roman" w:hAnsi="Times New Roman" w:eastAsia="宋体" w:cs="Times New Roman"/>
                <w:color w:val="000000"/>
                <w:kern w:val="0"/>
                <w:sz w:val="18"/>
                <w:szCs w:val="18"/>
                <w:lang w:bidi="ar"/>
              </w:rPr>
              <w:t>0.452</w:t>
            </w:r>
          </w:p>
        </w:tc>
        <w:tc>
          <w:tcPr>
            <w:tcW w:w="1316" w:type="dxa"/>
            <w:tcBorders>
              <w:top w:val="single" w:color="000000" w:sz="4" w:space="0"/>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hint="eastAsia" w:ascii="Times New Roman" w:hAnsi="Times New Roman" w:eastAsia="宋体" w:cs="Times New Roman"/>
                <w:color w:val="000000"/>
                <w:sz w:val="18"/>
                <w:szCs w:val="18"/>
              </w:rPr>
              <w:t>6.674</w:t>
            </w:r>
          </w:p>
        </w:tc>
        <w:tc>
          <w:tcPr>
            <w:tcW w:w="1661" w:type="dxa"/>
            <w:tcBorders>
              <w:top w:val="single" w:color="000000" w:sz="4" w:space="0"/>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lang w:bidi="ar"/>
              </w:rPr>
              <w:t>0.00</w:t>
            </w:r>
            <w:r>
              <w:rPr>
                <w:rFonts w:hint="eastAsia" w:ascii="Times New Roman" w:hAnsi="Times New Roman" w:eastAsia="宋体" w:cs="Times New Roman"/>
                <w:color w:val="000000"/>
                <w:kern w:val="0"/>
                <w:sz w:val="18"/>
                <w:szCs w:val="18"/>
                <w:lang w:bidi="ar"/>
              </w:rPr>
              <w:t>0</w:t>
            </w:r>
          </w:p>
        </w:tc>
      </w:tr>
    </w:tbl>
    <w:p>
      <w:pPr>
        <w:spacing w:line="440" w:lineRule="exact"/>
        <w:ind w:firstLine="420"/>
        <w:rPr>
          <w:rFonts w:ascii="Times New Roman" w:hAnsi="Times New Roman" w:cs="Times New Roman"/>
          <w:sz w:val="24"/>
          <w:szCs w:val="32"/>
        </w:rPr>
      </w:pPr>
    </w:p>
    <w:p>
      <w:pPr>
        <w:spacing w:line="440" w:lineRule="exact"/>
        <w:rPr>
          <w:rFonts w:ascii="Times New Roman" w:hAnsi="Times New Roman" w:cs="Times New Roman"/>
          <w:sz w:val="24"/>
          <w:szCs w:val="32"/>
        </w:rPr>
      </w:pPr>
      <w:r>
        <w:rPr>
          <w:rFonts w:ascii="Times New Roman" w:hAnsi="Times New Roman" w:cs="Times New Roman"/>
          <w:sz w:val="24"/>
          <w:szCs w:val="32"/>
        </w:rPr>
        <w:t xml:space="preserve">This study examined the degree of correlation between </w:t>
      </w:r>
      <w:r>
        <w:rPr>
          <w:rFonts w:hint="eastAsia" w:ascii="Times New Roman" w:hAnsi="Times New Roman" w:cs="Times New Roman"/>
          <w:sz w:val="24"/>
          <w:szCs w:val="32"/>
        </w:rPr>
        <w:t>workplace interpersonal relationships</w:t>
      </w:r>
      <w:r>
        <w:rPr>
          <w:rFonts w:ascii="Times New Roman" w:hAnsi="Times New Roman" w:cs="Times New Roman"/>
          <w:sz w:val="24"/>
          <w:szCs w:val="32"/>
        </w:rPr>
        <w:t xml:space="preserve"> and employee resilience through a meta-analysis of </w:t>
      </w:r>
      <w:r>
        <w:rPr>
          <w:rFonts w:hint="eastAsia" w:ascii="Times New Roman" w:hAnsi="Times New Roman" w:cs="Times New Roman"/>
          <w:sz w:val="24"/>
          <w:szCs w:val="32"/>
        </w:rPr>
        <w:t>13</w:t>
      </w:r>
      <w:r>
        <w:rPr>
          <w:rFonts w:ascii="Times New Roman" w:hAnsi="Times New Roman" w:cs="Times New Roman"/>
          <w:sz w:val="24"/>
          <w:szCs w:val="32"/>
        </w:rPr>
        <w:t xml:space="preserve"> studies</w:t>
      </w:r>
      <w:r>
        <w:rPr>
          <w:rFonts w:hint="eastAsia" w:ascii="Times New Roman" w:hAnsi="Times New Roman" w:cs="Times New Roman"/>
          <w:sz w:val="24"/>
          <w:szCs w:val="32"/>
        </w:rPr>
        <w:t>. The final results showed a high degree of positive correlation between the two. This result is consistent with the results of most of the current studies. Workplace interpersonal relationships generate a sense of community, trust, and shared values between coworkers. It is associated with characteristics such as intimacy, open communication, open access to information, and timely assistance (Sias &amp; Cahill, 1998). Workplace interpersonal relationships help individuals to cope with stressful work situations by providing social and emotional support (Sias, 2009) and they play a role in achieving positive organizational outcomes (Rai &amp; Agarwal, 2018).</w:t>
      </w:r>
    </w:p>
    <w:p>
      <w:pPr>
        <w:keepNext w:val="0"/>
        <w:keepLines w:val="0"/>
        <w:pageBreakBefore w:val="0"/>
        <w:widowControl w:val="0"/>
        <w:kinsoku/>
        <w:wordWrap/>
        <w:overflowPunct/>
        <w:topLinePunct w:val="0"/>
        <w:autoSpaceDE/>
        <w:autoSpaceDN/>
        <w:bidi w:val="0"/>
        <w:adjustRightInd/>
        <w:snapToGrid/>
        <w:spacing w:after="156" w:afterLines="50" w:line="440" w:lineRule="exact"/>
        <w:jc w:val="both"/>
        <w:textAlignment w:val="auto"/>
        <w:outlineLvl w:val="1"/>
        <w:rPr>
          <w:rFonts w:hint="eastAsia" w:ascii="Times New Roman" w:hAnsi="Times New Roman" w:cs="Times New Roman" w:eastAsiaTheme="minorEastAsia"/>
          <w:b/>
          <w:bCs/>
          <w:color w:val="auto"/>
          <w:sz w:val="28"/>
          <w:szCs w:val="36"/>
          <w:lang w:val="en-US" w:eastAsia="zh-CN"/>
        </w:rPr>
      </w:pPr>
      <w:r>
        <w:rPr>
          <w:rFonts w:hint="eastAsia" w:ascii="Times New Roman" w:hAnsi="Times New Roman" w:cs="Times New Roman"/>
          <w:b/>
          <w:bCs/>
          <w:color w:val="auto"/>
          <w:sz w:val="28"/>
          <w:szCs w:val="36"/>
          <w:lang w:val="en-US" w:eastAsia="zh-CN"/>
        </w:rPr>
        <w:t>2 Employee resilience meta-analysis table</w:t>
      </w:r>
    </w:p>
    <w:tbl>
      <w:tblPr>
        <w:tblStyle w:val="2"/>
        <w:tblW w:w="8617" w:type="dxa"/>
        <w:tblInd w:w="98" w:type="dxa"/>
        <w:tblLayout w:type="fixed"/>
        <w:tblCellMar>
          <w:top w:w="0" w:type="dxa"/>
          <w:left w:w="108" w:type="dxa"/>
          <w:bottom w:w="0" w:type="dxa"/>
          <w:right w:w="108" w:type="dxa"/>
        </w:tblCellMar>
      </w:tblPr>
      <w:tblGrid>
        <w:gridCol w:w="2041"/>
        <w:gridCol w:w="567"/>
        <w:gridCol w:w="680"/>
        <w:gridCol w:w="907"/>
        <w:gridCol w:w="907"/>
        <w:gridCol w:w="2608"/>
        <w:gridCol w:w="907"/>
      </w:tblGrid>
      <w:tr>
        <w:tblPrEx>
          <w:tblCellMar>
            <w:top w:w="0" w:type="dxa"/>
            <w:left w:w="108" w:type="dxa"/>
            <w:bottom w:w="0" w:type="dxa"/>
            <w:right w:w="108" w:type="dxa"/>
          </w:tblCellMar>
        </w:tblPrEx>
        <w:trPr>
          <w:trHeight w:val="397" w:hRule="atLeast"/>
        </w:trPr>
        <w:tc>
          <w:tcPr>
            <w:tcW w:w="8617" w:type="dxa"/>
            <w:gridSpan w:val="7"/>
            <w:tcBorders>
              <w:top w:val="nil"/>
              <w:left w:val="nil"/>
              <w:bottom w:val="single" w:color="000000" w:sz="4" w:space="0"/>
              <w:right w:val="nil"/>
            </w:tcBorders>
            <w:shd w:val="clear" w:color="auto" w:fill="auto"/>
            <w:noWrap/>
            <w:vAlign w:val="center"/>
          </w:tcPr>
          <w:p>
            <w:pPr>
              <w:widowControl/>
              <w:jc w:val="left"/>
              <w:textAlignment w:val="center"/>
              <w:rPr>
                <w:rFonts w:hint="default" w:ascii="Times New Roman" w:hAnsi="Times New Roman" w:eastAsia="宋体" w:cs="Times New Roman"/>
                <w:color w:val="auto"/>
                <w:kern w:val="0"/>
                <w:sz w:val="15"/>
                <w:szCs w:val="15"/>
                <w:lang w:bidi="ar"/>
              </w:rPr>
            </w:pP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The First Author</w:t>
            </w:r>
          </w:p>
        </w:tc>
        <w:tc>
          <w:tcPr>
            <w:tcW w:w="5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Year</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Sample Size</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Study Population</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Percentage of Females</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Correlation Variables</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Correlation Coefficient</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Khaliq Ur Rehman</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2020</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930</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sz w:val="15"/>
                <w:szCs w:val="15"/>
              </w:rPr>
              <w:t>50</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organizational resilience</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0.469</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Fang Yu</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2022</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336</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sz w:val="15"/>
                <w:szCs w:val="15"/>
              </w:rPr>
              <w:t>50</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organizational resilience</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0.41</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Fang Yu</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2022</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336</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sz w:val="15"/>
                <w:szCs w:val="15"/>
              </w:rPr>
              <w:t>50</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organizational traits</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0.556</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Munwar Hussain Pahi</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2016</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130</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48.5</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task significance</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0.26</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Dr Nicola Mcneil</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2018</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194</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97</w:t>
            </w:r>
          </w:p>
        </w:tc>
        <w:tc>
          <w:tcPr>
            <w:tcW w:w="26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organizational climate</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0.44</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Hui Meng</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2017</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236</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sz w:val="15"/>
                <w:szCs w:val="15"/>
                <w:lang w:eastAsia="zh-CN"/>
              </w:rPr>
            </w:pPr>
            <w:r>
              <w:rPr>
                <w:rFonts w:hint="eastAsia" w:ascii="Times New Roman" w:hAnsi="Times New Roman" w:eastAsia="宋体" w:cs="Times New Roman"/>
                <w:color w:val="auto"/>
                <w:kern w:val="0"/>
                <w:sz w:val="15"/>
                <w:szCs w:val="15"/>
                <w:lang w:val="en-US" w:eastAsia="zh-CN"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60.9</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commitment</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0.35</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Happy Paul</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2016</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345</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13.3</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Organizational commitment</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0.37</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Mohsin Bashir</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2019</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359</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73.1</w:t>
            </w:r>
          </w:p>
        </w:tc>
        <w:tc>
          <w:tcPr>
            <w:tcW w:w="26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organizational deviance</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-0.298</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Nadira Nurul Janna</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2021</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270</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33.7</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e-training</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0.32</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Monique F. Crane</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2016</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208</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71.2</w:t>
            </w:r>
          </w:p>
        </w:tc>
        <w:tc>
          <w:tcPr>
            <w:tcW w:w="26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hindrance stressors</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-0.15</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Arian Kunzelmann</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2021</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359</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47.1</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cognitive irritation</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-0.17</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Monique F. Crane</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2016</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208</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71.2</w:t>
            </w:r>
          </w:p>
        </w:tc>
        <w:tc>
          <w:tcPr>
            <w:tcW w:w="26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strain</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-0.5</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Agata Mccormac</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2018</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1048</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51.05</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job stress</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-0.45</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Usama Najam</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2020</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348</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40.2</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psychological ownership</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0.242</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Girish Prayag</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2019</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84</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50</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Psychological resilience</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0.384</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Teresa Aguiar-Quintana</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2021</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353</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50</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anxiety</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-0.203</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Elham Anasori</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2019</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252</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50.4</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psychological distress</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-0.511</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Zsolt P´Eter Szabo</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2022</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345</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73</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mental toughness</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1.76</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Rawan Abukhait</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2020</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313</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37.4</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focus on opportunity</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0.546</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Luu Trong Tuan</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2021</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672</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sz w:val="15"/>
                <w:szCs w:val="15"/>
              </w:rPr>
              <w:t>50</w:t>
            </w:r>
          </w:p>
        </w:tc>
        <w:tc>
          <w:tcPr>
            <w:tcW w:w="26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core beliefs challenge</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0.28</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Rawan Abukhait</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2020</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313</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37.4</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work-related curiosity</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0.34</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Teresa Aguiar-Quintana</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2021</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353</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50</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job insecurity</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-0.249</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Muhammad Taufiq Amir</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2018</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241</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26</w:t>
            </w:r>
          </w:p>
        </w:tc>
        <w:tc>
          <w:tcPr>
            <w:tcW w:w="26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psychological vulnerability</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-0.49</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Elham Anasori</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2019</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252</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50.4</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emotional exhaustion</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-0.689</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Mohd Ahmad Al-Hawari</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2019</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192</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51</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emotional exhaustion</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-0.17</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Myoung-Soung Lee</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2020</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330</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43</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deep acting</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0.358</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Muhammad Taufiq Amir</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2018</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241</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26</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positive emotion</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0.76</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Rahman Khan</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2022</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208</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27.4</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positive affect</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0.39</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Jiseon Shin</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2010</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234</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38.9</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state positive affect</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0.36</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Zhu Yanhan</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2019</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434</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51</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perceived insider identity</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0.35</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K.Y. Kao Et Al.</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2014</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209</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59.8</w:t>
            </w:r>
          </w:p>
        </w:tc>
        <w:tc>
          <w:tcPr>
            <w:tcW w:w="26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psychosocial function</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0.4</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Dagnachew L. Senbeto</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2020</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482</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49</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market turbulence</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-0.12</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Fang Yu</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2022</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336</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color w:val="auto"/>
                <w:sz w:val="15"/>
                <w:szCs w:val="15"/>
              </w:rPr>
            </w:pP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team resilience</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0.316</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Zainab</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2017</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26716</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49.1</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self-esteem</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0.22</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Muhammad Taufiq Amir</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2018</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241</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26</w:t>
            </w:r>
          </w:p>
        </w:tc>
        <w:tc>
          <w:tcPr>
            <w:tcW w:w="26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self-esteem</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0.64</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Muhammad Taufiq Amir</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2021</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240</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52.5</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self-esteem</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0.35</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Shaker Bani-Melhem</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2021</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205</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38</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employee self-esteem</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0.28</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Zsolt P´Eter Szabo</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2022</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345</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73</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subclinical narcissism</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0.95</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Ma. Queenie Y. Isidro</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2020</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221</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67</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volunteerism</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0.43</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Elham Anasori</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2019</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252</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50.4</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mindfulness</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0.69</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Happy Paul</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2016</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345</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13.3</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conscientiousness</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0.33</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Joana Kuntz</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2017</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162</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51</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prevention focus</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0.20</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Garg</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2016</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345</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sz w:val="15"/>
                <w:szCs w:val="15"/>
              </w:rPr>
              <w:t>50</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negative affect</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-0.23</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Fu Liang</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2021</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329</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37.1</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problem-focused</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0.437</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Khaliq Ur Rehman,</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2020</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930</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sz w:val="15"/>
                <w:szCs w:val="15"/>
              </w:rPr>
              <w:t>50</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compassion</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0.907</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Lila Gonçalves</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2022</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325</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78.8</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adaptive capacity</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0.25</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Keisuke Kokubun</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2020</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2973</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69.1</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social capital</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0.564</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Judith</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2019</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532</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P</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32</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vitality</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0.37</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Fu Liang</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2021</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329</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37.1</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emotion-focused</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-0.31</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Cristy Leask</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2021</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185</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55.68</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agility</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0.48</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Happy Paul</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2016</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345</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13.3</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altruism</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0.44</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Happy Paul</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2016</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345</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13.3</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courtesy</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0.44</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Zainab</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2017</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26716</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49.1</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optimism</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0.22</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Quyen Nguyen</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2016</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269</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61.5</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optimism</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0.35</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Mendiola Teng-Calleja</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2020</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123</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50</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resistance</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0.69</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Cristy Leask</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2021</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185</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55.68</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openness to experience</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0.42</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Quyen Nguyen</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2016</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269</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61.5</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proactive personality</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0.29</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Garg</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2016</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345</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sz w:val="15"/>
                <w:szCs w:val="15"/>
              </w:rPr>
              <w:t>50</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positive affect</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0.44</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Jiseon Shin</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2010</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234</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38.9</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trait positive affect</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0.46</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Cristy Leask</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2021</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185</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55.68</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collaboration</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0.55</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Happy Paul</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2016</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345</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13.3</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civic virtue</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0.40</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Mendiola Teng-Calleja</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2020</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123</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50</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recovery</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0.59</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Muhammad Khalid Anser</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2020</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465</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50</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polychronicity</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0.5</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Joana Kuntz</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2017</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162</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51</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promotion focus</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0.42</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Usama Najam</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2020</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348</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40.2</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proactive personality</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0.443</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Vanessa Kohn</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2020</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137</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36.5</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digital security resilience</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0.36</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Hoe-Chang Yang</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2015</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150</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40.7</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character strength</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0.586</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Marjolein C. J. Caniëls</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2019</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108</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46.3</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proactive work behavior</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0.53</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Girish Prayag</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2019</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84</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50</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adaptive resilience</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0.517</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Lila Gonçalves</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2022</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325</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78.8</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medical leave</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-0.03</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Lila Gonçalves</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2022</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325</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78.8</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illness</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-0.142</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Silvia Pereira Lopes</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2019</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249</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65</w:t>
            </w:r>
          </w:p>
        </w:tc>
        <w:tc>
          <w:tcPr>
            <w:tcW w:w="26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burnout</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-0.34</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Hui Meng</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2017</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236</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P</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60.9</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burnout</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-0.43</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Keisuke Kokubun</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2020</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2973</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69.1</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fatigue</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-0.198</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Jaouad Lhalloubi</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2020</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196</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28.06</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work commitment</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0.255</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Srivastava</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2020</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272</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40</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career satisfaction</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0.24</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Pradhan</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2021</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527</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24.86</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workplace well-being</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0.38</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Zainab</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2017</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26716</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49.1</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job satisfaction</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0.18</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Garg</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2016</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345</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sz w:val="15"/>
                <w:szCs w:val="15"/>
              </w:rPr>
              <w:t>50</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life satisfaction</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0.43</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Lila Gonçalves</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2022</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325</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78.8</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job satisfaction</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0.358</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Fang Yu</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2022</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336</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sz w:val="15"/>
                <w:szCs w:val="15"/>
              </w:rPr>
              <w:t>50</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digital well-being</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0.426</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Dr Nicola Mcneil</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2018</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194</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97</w:t>
            </w:r>
          </w:p>
        </w:tc>
        <w:tc>
          <w:tcPr>
            <w:tcW w:w="26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Well-being</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0.25</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i/>
                <w:iCs/>
                <w:color w:val="auto"/>
                <w:sz w:val="15"/>
                <w:szCs w:val="15"/>
              </w:rPr>
            </w:pPr>
            <w:r>
              <w:rPr>
                <w:rFonts w:hint="default" w:ascii="Times New Roman" w:hAnsi="Times New Roman" w:eastAsia="宋体" w:cs="Times New Roman"/>
                <w:i/>
                <w:iCs/>
                <w:color w:val="auto"/>
                <w:kern w:val="0"/>
                <w:sz w:val="15"/>
                <w:szCs w:val="15"/>
                <w:lang w:bidi="ar"/>
              </w:rPr>
              <w:t>Rafi Ullah Bilal</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2020</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220</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sz w:val="15"/>
                <w:szCs w:val="15"/>
              </w:rPr>
              <w:t>50</w:t>
            </w:r>
          </w:p>
        </w:tc>
        <w:tc>
          <w:tcPr>
            <w:tcW w:w="26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employee satisfaction</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0.33</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Francis Annor</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2020</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631</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48.3</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subjective well-being</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0.33</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Hoe-Chang Yang</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2015</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150</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40.7</w:t>
            </w:r>
          </w:p>
        </w:tc>
        <w:tc>
          <w:tcPr>
            <w:tcW w:w="26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job satisfaction</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0.553</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Hoe-Chang Yang</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2015</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150</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40.7</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bidi="ar"/>
              </w:rPr>
            </w:pPr>
            <w:r>
              <w:rPr>
                <w:rFonts w:hint="default" w:ascii="Times New Roman" w:hAnsi="Times New Roman" w:eastAsia="宋体" w:cs="Times New Roman"/>
                <w:color w:val="auto"/>
                <w:kern w:val="0"/>
                <w:sz w:val="15"/>
                <w:szCs w:val="15"/>
                <w:lang w:bidi="ar"/>
              </w:rPr>
              <w:t>psychological</w:t>
            </w:r>
          </w:p>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well-being</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0.505</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Munwar Hussain Pahi</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2016</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130</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48.5</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job satisfaction</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0.33</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Piyawan Charoensap-Kelly</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2021</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317</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70.7</w:t>
            </w:r>
          </w:p>
        </w:tc>
        <w:tc>
          <w:tcPr>
            <w:tcW w:w="26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well-being</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0.38</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Muhammad Ali</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2019</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315</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25.4</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work happiness</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0.424</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Girish Prayag</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2019</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84</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50</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life satisfaction</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0.354</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Athota, Vidya S.</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2019</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257</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42.8</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life satisfaction</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0.32</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Katharina Näswall</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2019</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268</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70</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job satisfaction</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0.2</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Adedapo Oluwaseyi Ojo</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2021</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259</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41.3</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supervisor support</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0.243</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Joana Kuntz</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2017</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162</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51</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Performance feedback from supervisor</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0.20</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Esme Franken</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2019</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233</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G</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52.7</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self- and other- centeredness</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0.16</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Shaker Bani-Melhem</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2021</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205</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38</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abusive supervision</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-0.2</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Esme Franken</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2019</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233</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P</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52.7</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control and autonomy</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0.23</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Esme Franken</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2019</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233</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P</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52.7</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uniformity and individualisation</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0.2</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Fu Liang</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2021</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329</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37.1</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managerial resilience</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-0.261</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Dirk De Clercq</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2020</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299</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37</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perceived leader arrogance</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-0.185</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Athota, Vidya S.</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2019</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257</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42.8</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authority/respect</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0.19</w:t>
            </w:r>
          </w:p>
        </w:tc>
      </w:tr>
      <w:tr>
        <w:tblPrEx>
          <w:tblCellMar>
            <w:top w:w="0" w:type="dxa"/>
            <w:left w:w="108" w:type="dxa"/>
            <w:bottom w:w="0" w:type="dxa"/>
            <w:right w:w="108" w:type="dxa"/>
          </w:tblCellMar>
        </w:tblPrEx>
        <w:trPr>
          <w:trHeight w:val="295"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Hui Meng</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2017</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236</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P</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60.9</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lmx</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0.29</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Pilar</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2019</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277</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46.6</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lmx</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0.37</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Huseyin</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2020</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557</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60</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empowerment</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0.09</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Usama Najam</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2020</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348</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40.2</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servant leadership</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0.489</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Francisca Cantante-Rodrigues</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2021</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249</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65</w:t>
            </w:r>
          </w:p>
        </w:tc>
        <w:tc>
          <w:tcPr>
            <w:tcW w:w="26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supervisor</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0.13</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Reza Salehzadeh</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2019</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468</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sz w:val="15"/>
                <w:szCs w:val="15"/>
              </w:rPr>
              <w:t>50</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attractive behaviors</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0.579</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Reza Salehzadeh</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2019</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468</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sz w:val="15"/>
                <w:szCs w:val="15"/>
              </w:rPr>
              <w:t>50</w:t>
            </w:r>
          </w:p>
        </w:tc>
        <w:tc>
          <w:tcPr>
            <w:tcW w:w="26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reverse behaviors</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-0.453</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Norizah Mustamil</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2020</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301</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40.5</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servant leadership</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0.762</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Khawaja Khalid Mehmood,</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2021</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210</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sz w:val="15"/>
                <w:szCs w:val="15"/>
              </w:rPr>
              <w:t>50</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empowering leadership</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0.47</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Geoff Plimmer</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2021</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1652</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59.7</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constructive leadership</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0.27</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Zhu Yanhan</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2019</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434</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51</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humble leadership</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0.4</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Mohd Ahmad Al-Hawari</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2019</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192</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51</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abusive supervision</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-0.14</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Quyen Nguyen</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2016</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269</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61.5</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empowering leadership</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0.37</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Quyen Nguyen</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2016</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269</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61.5</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contingent reward leadership</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0.24</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Hidayah</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2019</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78</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43.59</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turnover intention</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0.0928</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Norizah Mustamil</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2020</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301</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40.5</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turnover intentions</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-0.596</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Anantha Raj A</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2021</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226</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36.8</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turnover intentions</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0.41</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Samuel E. Davies</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2019</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175</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42.3</w:t>
            </w:r>
          </w:p>
        </w:tc>
        <w:tc>
          <w:tcPr>
            <w:tcW w:w="26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turnover intentions</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-0.1</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Uju Violet Alola</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2018</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153</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44.4</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turnover intention</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0.305</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Keisuke Kokubun</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2020</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2973</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69.1</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turnover intention</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-0.235</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Shaker Bani-Melhem</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2021</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205</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38</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turnover intention</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-0.18</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Thamarat Jangsiriwattana</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2021</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592</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50.2</w:t>
            </w:r>
          </w:p>
        </w:tc>
        <w:tc>
          <w:tcPr>
            <w:tcW w:w="26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work engage</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0.565</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Huseyin</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2020</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557</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60</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work engagement</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0.137</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Huseyin</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2020</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557</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60</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environmental engagement</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0.140</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Silvia Pereira Lopes</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2019</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249</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65</w:t>
            </w:r>
          </w:p>
        </w:tc>
        <w:tc>
          <w:tcPr>
            <w:tcW w:w="26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work engagement</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0.34</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i/>
                <w:iCs/>
                <w:color w:val="auto"/>
                <w:sz w:val="15"/>
                <w:szCs w:val="15"/>
              </w:rPr>
            </w:pPr>
            <w:r>
              <w:rPr>
                <w:rFonts w:hint="default" w:ascii="Times New Roman" w:hAnsi="Times New Roman" w:eastAsia="宋体" w:cs="Times New Roman"/>
                <w:i/>
                <w:iCs/>
                <w:color w:val="auto"/>
                <w:kern w:val="0"/>
                <w:sz w:val="15"/>
                <w:szCs w:val="15"/>
                <w:lang w:bidi="ar"/>
              </w:rPr>
              <w:t>Rafi Ullah Bilal</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2020</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220</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sz w:val="15"/>
                <w:szCs w:val="15"/>
              </w:rPr>
              <w:t>50</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employee engagement</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0.46</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Jing Jin</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2021</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295</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77.97</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work engagement</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0.553</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Anantha Raj A</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2021</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226</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36.8</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work engagement</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0.43</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Adedapo Oluwaseyi Ojo</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2021</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259</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41.3</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work engagement</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0.505</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Khawaja Khalid Mehmood,</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2021</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210</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sz w:val="15"/>
                <w:szCs w:val="15"/>
              </w:rPr>
              <w:t>50</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work engagement</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0.73</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Rahman Khan</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2022</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208</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27.4</w:t>
            </w:r>
          </w:p>
        </w:tc>
        <w:tc>
          <w:tcPr>
            <w:tcW w:w="26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employee engagement</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0.5</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Myoung-Soung Lee</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2020</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330</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43</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work engagement</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0.626</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Neha Gupta</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2017</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328</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14.2</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employee engagement</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0.66</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Muhammad Taufiq Amir</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2021</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240</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52.5</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work engagement</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0.43</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Muhammad Taufiq Amir</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2021</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240</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52.5</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org. engagement</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0.31</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Parul Malik</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2017</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300</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27</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work engagement</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0.51</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Fang Lee Cooke</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2016</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2040</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57</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employee engagement</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0.46</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Katharina Näswall</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2019</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268</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70</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job engagement</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0.28</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Teresa Aguiar-Quintana</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2021</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353</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50</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depression</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-0.252</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Sardar Zafar Iqbal</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2020</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171</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13</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organizational citizenship behavior</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0.62</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Anisa Dewi Kartika Sari</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2019</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136</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P</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38.23</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organizational citizenship behavior</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0.95</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Kashif Nadeem</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2019</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371</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28</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organizational citizenship behavior</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0.35</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Happy Paul</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2016</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345</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13.3</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organizational citizenship behavior</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0.45</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Athota, Vidya S.</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2019</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257</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42.8</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in-group/loyalty</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0.28</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Rawan Abukhait</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2020</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313</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37.4</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career adaptability</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0.719</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Nadira Nurul Janna</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2021</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270</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33.7</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career development</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0.66</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Muhammad Ali</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2019</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315</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25.4</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employee development</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0.364</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Thomas J. Braun</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2017</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347</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50</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collaboration</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0.45</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K.Y. Kao Et Al.</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2014</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209</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59.8</w:t>
            </w:r>
          </w:p>
        </w:tc>
        <w:tc>
          <w:tcPr>
            <w:tcW w:w="26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role-modeling function</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0.37</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Geoff Plimmer</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2021</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1652</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59.7</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pro-social workplace skills</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0.39</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Keisuke Kokubun</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2020</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2973</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69.1</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cooperation for corona measures</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0.659</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Geoff Plimmer</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2021</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1652</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59.7</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public service motivation</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0.36</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Samuel E. Davies</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2019</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175</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42.3</w:t>
            </w:r>
          </w:p>
        </w:tc>
        <w:tc>
          <w:tcPr>
            <w:tcW w:w="26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work adjustment</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0.19</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Mohd Ahmad Al-Hawari</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2019</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192</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51</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capacity to satisfy customers</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0.25</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Dirk De Clercq</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2019</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99</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creative behavior</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0.526</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Rawan Abukhait</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2020</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313</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37.4</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innovative behaviour</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0.49</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Dagnachew L. Senbeto</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2020</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482</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49</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service innovation</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0.14</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Muhammad Khalid Anser</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2020</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465</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50</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employee creativity</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0.56</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Muhammad Taufiq Amir</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2018</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241</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26</w:t>
            </w:r>
          </w:p>
        </w:tc>
        <w:tc>
          <w:tcPr>
            <w:tcW w:w="26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active coping</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0.61</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Neha Gupta</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2017</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328</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14.2</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extra-role performance</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0.62</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Muhammad Taufiq Amir</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2018</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241</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26</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developmental persistency</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0.91</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Mubarak</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2022</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336</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27.38</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project success</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0.22</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Francisca Cantante-Rodrigues</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2021</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249</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65</w:t>
            </w:r>
          </w:p>
        </w:tc>
        <w:tc>
          <w:tcPr>
            <w:tcW w:w="26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performance</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0.22</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Dr Nicola Mcneil</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2018</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194</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97</w:t>
            </w:r>
          </w:p>
        </w:tc>
        <w:tc>
          <w:tcPr>
            <w:tcW w:w="26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quality of care</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0.43</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Jaouad Lhalloubi</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2020</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196</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28.06</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manager performance</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0.191</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Piyawan Charoensap-Kelly</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2021</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317</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70.7</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productivity</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0.19</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Nadira Nurul Janna</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2021</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270</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33.7</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employee productivity</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0.45</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Natnaporn Aeknarajindawat</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2020</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300</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50</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employee performance</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0.21</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Teresa Aguiar-Quintana</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2021</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353</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50</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task performance</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0.358</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Kashif Nadeem</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2019</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371</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28</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employee service performance</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0.38</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Mohd Ahmad Al-Hawari</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2019</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192</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51</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service performance</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0.24</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Athota, Vidya S.</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2019</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257</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42.8</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job performance</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0.30</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Brian Cooper</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2018</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561</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53</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employee performance</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0.18</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Girish Prayag</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2019</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84</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50</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planned resilience</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0.459</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Salminen</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2019</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267</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90</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early retirement intentions</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-0.196</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Salminen</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2019</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233</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90</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intentions to continue working after retirement age</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0.172</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Lila Gonçalves</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2022</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325</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78.8</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planning</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0.23</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Parul Malik</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2017</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300</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27</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learning organization</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0.43</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Geoff Plimmer</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2021</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1652</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59.7</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innovation climate</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0.22</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Dagnachew L. Senbeto</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2020</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482</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49</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organizational readiness for change</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0.18</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Bhawna Chahar</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2021</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341</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69.2</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organizational politics</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0.669</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Takuma Kimura</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2018</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248</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16.6</w:t>
            </w:r>
          </w:p>
        </w:tc>
        <w:tc>
          <w:tcPr>
            <w:tcW w:w="26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organization member profificiency</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0.13</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Geoff Plimmer</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2021</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1652</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59.7</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resources</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-0.06</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Diyah</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2020</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38</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color w:val="auto"/>
                <w:sz w:val="15"/>
                <w:szCs w:val="15"/>
              </w:rPr>
            </w:pP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job craft</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0.453</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K.Y. Kao</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2014</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209</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59.8</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career function</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0.38</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Messen</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2020</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43</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27.91</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human resources practices</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0.667</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Muhammad Ali</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2019</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315</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25.4</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employee benefits</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0.59</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Arian Kunzelmann</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2021</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359</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47.1</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learning</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0.27</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Dirk De Clercq</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2019</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99</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task interdependence</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0.341</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Neha Gupta</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2017</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328</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14.2</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high-involvement human resource practices</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0.54</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Myoung-Soung Lee</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2020</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330</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43</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person–job fit</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0.465</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Brian Cooper</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2018</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561</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53</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well-being-oriented HRM practices</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0.23</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Mohd Ahmad Al-Hawari</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2019</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192</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51</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customer incivility</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-0.25</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Geoff Plimmer</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2021</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1652</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59.7</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role clarity</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0.3</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Dirk De Clercq</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2019</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99</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role ambiguity</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-0.595</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Jiseon Shin</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2010</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234</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38.9</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organizational inducements</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0.28</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Muhammad Ali</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2019</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315</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25.4</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information flow</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0.475</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Muhammad Ali</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2019</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315</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25.4</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job design</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0.345</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Zhu Yanhan</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2019</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434</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51</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work promotion focus</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0.39</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Arian Kunzelmann</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2021</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359</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47.1</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job complexity</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0.11</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Joana Kuntz</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2017</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162</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51</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performance feedback from job</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0.27</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Hoe-Chang Yang</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2015</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150</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40.7</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Employment instability</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-0.36</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Marjolein C. J. Caniëls</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2019</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108</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46.3</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Proactive person–environment ft behavior</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0.24</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Kashif Nadeem</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2019</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371</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28</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high-performance work system</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0.29</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Fang Lee Cooke</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2016</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2040</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57</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high-performance work system</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0.44</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Salminen</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2019</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267</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90</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perceived high involvement work practices</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0.121</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Jiseon Shin</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2010</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234</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38.9</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perceived impact of change</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0.26</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Marjolein C. J. Caniëls</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2019</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108</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46.3</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proactive strategic behavior</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0.44</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Marjolein C. J. Caniëls</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2019</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108</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46.3</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learning-oriented organizational climate</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0.3</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bidi="ar"/>
              </w:rPr>
            </w:pPr>
            <w:r>
              <w:rPr>
                <w:rFonts w:hint="default" w:ascii="Times New Roman" w:hAnsi="Times New Roman" w:eastAsia="宋体" w:cs="Times New Roman"/>
                <w:color w:val="auto"/>
                <w:kern w:val="0"/>
                <w:sz w:val="15"/>
                <w:szCs w:val="15"/>
                <w:lang w:bidi="ar"/>
              </w:rPr>
              <w:t>Tzu-Ting Lin</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bidi="ar"/>
              </w:rPr>
            </w:pPr>
            <w:r>
              <w:rPr>
                <w:rFonts w:hint="default" w:ascii="Times New Roman" w:hAnsi="Times New Roman" w:eastAsia="宋体" w:cs="Times New Roman"/>
                <w:color w:val="auto"/>
                <w:kern w:val="0"/>
                <w:sz w:val="15"/>
                <w:szCs w:val="15"/>
                <w:lang w:bidi="ar"/>
              </w:rPr>
              <w:t>2020</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bidi="ar"/>
              </w:rPr>
            </w:pPr>
            <w:r>
              <w:rPr>
                <w:rFonts w:hint="default" w:ascii="Times New Roman" w:hAnsi="Times New Roman" w:eastAsia="宋体" w:cs="Times New Roman"/>
                <w:color w:val="auto"/>
                <w:kern w:val="0"/>
                <w:sz w:val="15"/>
                <w:szCs w:val="15"/>
                <w:lang w:bidi="ar"/>
              </w:rPr>
              <w:t>222</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bidi="ar"/>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bidi="ar"/>
              </w:rPr>
            </w:pPr>
            <w:r>
              <w:rPr>
                <w:rFonts w:hint="default" w:ascii="Times New Roman" w:hAnsi="Times New Roman" w:eastAsia="宋体" w:cs="Times New Roman"/>
                <w:color w:val="auto"/>
                <w:kern w:val="0"/>
                <w:sz w:val="15"/>
                <w:szCs w:val="15"/>
                <w:lang w:bidi="ar"/>
              </w:rPr>
              <w:t>36</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bidi="ar"/>
              </w:rPr>
            </w:pPr>
            <w:r>
              <w:rPr>
                <w:rFonts w:hint="default" w:ascii="Times New Roman" w:hAnsi="Times New Roman" w:eastAsia="宋体" w:cs="Times New Roman"/>
                <w:color w:val="auto"/>
                <w:kern w:val="0"/>
                <w:sz w:val="15"/>
                <w:szCs w:val="15"/>
                <w:lang w:bidi="ar"/>
              </w:rPr>
              <w:t>past temporal focus</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bidi="ar"/>
              </w:rPr>
            </w:pPr>
            <w:r>
              <w:rPr>
                <w:rFonts w:hint="default" w:ascii="Times New Roman" w:hAnsi="Times New Roman" w:eastAsia="宋体" w:cs="Times New Roman"/>
                <w:color w:val="auto"/>
                <w:kern w:val="0"/>
                <w:sz w:val="15"/>
                <w:szCs w:val="15"/>
                <w:lang w:bidi="ar"/>
              </w:rPr>
              <w:t>0.17</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Piyawan Charoensap-Kelly</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2021</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317</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70.7</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relational satisfaction at work</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0.26</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Cristy Leask</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2021</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185</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55.68</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social support</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0.25</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Brian Cooper</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2018</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561</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53</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social climate</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0.16</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Neha Gupta</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2017</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328</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14.2</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leader member exchange</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0.64</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Thomas J. Braun</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2017</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347</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50</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creating positive relationships</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0.56</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Joana Kuntz</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2017</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162</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51</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Support from coworkers</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0.24</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Jiseon Shin</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2010</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234</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38.9</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social exchange</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0.31</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Dirk De Clercq</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2019</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99</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emotion sharing</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0.464</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Marjolein C</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2022</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123</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P</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8</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social  leader-member</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0.25</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Cristy Leask</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2021</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185</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55.68</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creating positive relationships</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0.45</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Ester Zychlinski</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2022</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346</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61.27</w:t>
            </w:r>
          </w:p>
        </w:tc>
        <w:tc>
          <w:tcPr>
            <w:tcW w:w="26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subjection to physical violence</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0.345</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Ester Zychlinski</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2022</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346</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61.27</w:t>
            </w:r>
          </w:p>
        </w:tc>
        <w:tc>
          <w:tcPr>
            <w:tcW w:w="26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subjection to verbal violence</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0.345</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Ester Zychlinski</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2022</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346</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61.27</w:t>
            </w:r>
          </w:p>
        </w:tc>
        <w:tc>
          <w:tcPr>
            <w:tcW w:w="26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social support</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0.407</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Thomas J. Braun</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2017</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347</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50</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social support</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0.42</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Ester Zychlinski</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2022</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346</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61.27</w:t>
            </w:r>
          </w:p>
        </w:tc>
        <w:tc>
          <w:tcPr>
            <w:tcW w:w="26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social exchange</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0.448</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Elham Anasori</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2019</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252</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50.4</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workplace bullying</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-0.486</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Francis Annor</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2020</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631</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48.3</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bullying</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-0.1</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Ayesha Arshad</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2021</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141</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46.8</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workplace friendship</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0.22</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Munwar Hussain Pahi</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2016</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130</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48.5</w:t>
            </w:r>
          </w:p>
        </w:tc>
        <w:tc>
          <w:tcPr>
            <w:tcW w:w="26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team spirit</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0.45</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Thamarat Jangsiriwattana</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2021</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592</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50.2</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perceived organisational support</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0.395</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Ma. Queenie Y. Isidro</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2020</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221</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67</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perceived organizational resilience</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0.55</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Rahman Khan</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2022</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208</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27.4</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family support</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0.28</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Rahman Khan</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2022</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208</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27.4</w:t>
            </w:r>
          </w:p>
        </w:tc>
        <w:tc>
          <w:tcPr>
            <w:tcW w:w="26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supportive organizational climate</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0.33</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Zainab</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2017</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26716</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49.1</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social trust</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0.17</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Esme Franken</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2019</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233</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P</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52.7</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perceived organisational support</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0.31</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Lila Gonçalves</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2022</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325</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78.8</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perception of stress</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-0.111</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Lila Gonçalves</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2022</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325</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78.8</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perception of fatigue</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-0.12</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Fang Yu</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2022</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336</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sz w:val="15"/>
                <w:szCs w:val="15"/>
              </w:rPr>
              <w:t>50</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perceived skillset</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0.576</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Adedapo Oluwaseyi Ojo</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2021</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259</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41.3</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self-efficacy</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0.537</w:t>
            </w:r>
          </w:p>
        </w:tc>
      </w:tr>
      <w:tr>
        <w:tblPrEx>
          <w:tblCellMar>
            <w:top w:w="0" w:type="dxa"/>
            <w:left w:w="108" w:type="dxa"/>
            <w:bottom w:w="0" w:type="dxa"/>
            <w:right w:w="108" w:type="dxa"/>
          </w:tblCellMar>
        </w:tblPrEx>
        <w:trPr>
          <w:trHeight w:val="90"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Munwar Hussain Pahi</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2016</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130</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48.5</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self-efficacy</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0.13</w:t>
            </w:r>
          </w:p>
        </w:tc>
      </w:tr>
      <w:tr>
        <w:tblPrEx>
          <w:tblCellMar>
            <w:top w:w="0" w:type="dxa"/>
            <w:left w:w="108" w:type="dxa"/>
            <w:bottom w:w="0" w:type="dxa"/>
            <w:right w:w="108" w:type="dxa"/>
          </w:tblCellMar>
        </w:tblPrEx>
        <w:trPr>
          <w:trHeight w:val="29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Rahman Khan</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2022</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208</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27.4</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self-efficacy</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0.59</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Bhawna Chahar</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2021</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341</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69.2</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work place incivility</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0.153</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Uju Violet Alola</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2018</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153</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44.4</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workplace incivility</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sz w:val="15"/>
                <w:szCs w:val="15"/>
              </w:rPr>
            </w:pPr>
            <w:r>
              <w:rPr>
                <w:rFonts w:hint="default" w:ascii="Times New Roman" w:hAnsi="Times New Roman" w:eastAsia="宋体" w:cs="Times New Roman"/>
                <w:color w:val="auto"/>
                <w:kern w:val="0"/>
                <w:sz w:val="15"/>
                <w:szCs w:val="15"/>
                <w:lang w:bidi="ar"/>
              </w:rPr>
              <w:t>0.3</w:t>
            </w:r>
          </w:p>
        </w:tc>
      </w:tr>
      <w:tr>
        <w:tblPrEx>
          <w:tblCellMar>
            <w:top w:w="0" w:type="dxa"/>
            <w:left w:w="108" w:type="dxa"/>
            <w:bottom w:w="0" w:type="dxa"/>
            <w:right w:w="108" w:type="dxa"/>
          </w:tblCellMar>
        </w:tblPrEx>
        <w:trPr>
          <w:trHeight w:val="90"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auto"/>
                <w:kern w:val="0"/>
                <w:sz w:val="15"/>
                <w:szCs w:val="15"/>
                <w:lang w:bidi="ar"/>
              </w:rPr>
            </w:pPr>
            <w:r>
              <w:rPr>
                <w:rFonts w:hint="default" w:ascii="Times New Roman" w:hAnsi="Times New Roman" w:eastAsia="宋体" w:cs="Times New Roman"/>
                <w:color w:val="auto"/>
                <w:kern w:val="0"/>
                <w:sz w:val="15"/>
                <w:szCs w:val="15"/>
                <w:lang w:bidi="ar"/>
              </w:rPr>
              <w:t>Tzu-Ting Lin</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bidi="ar"/>
              </w:rPr>
            </w:pPr>
            <w:r>
              <w:rPr>
                <w:rFonts w:hint="default" w:ascii="Times New Roman" w:hAnsi="Times New Roman" w:eastAsia="宋体" w:cs="Times New Roman"/>
                <w:color w:val="auto"/>
                <w:kern w:val="0"/>
                <w:sz w:val="15"/>
                <w:szCs w:val="15"/>
                <w:lang w:bidi="ar"/>
              </w:rPr>
              <w:t>2020</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bidi="ar"/>
              </w:rPr>
            </w:pPr>
            <w:r>
              <w:rPr>
                <w:rFonts w:hint="default" w:ascii="Times New Roman" w:hAnsi="Times New Roman" w:eastAsia="宋体" w:cs="Times New Roman"/>
                <w:color w:val="auto"/>
                <w:kern w:val="0"/>
                <w:sz w:val="15"/>
                <w:szCs w:val="15"/>
                <w:lang w:bidi="ar"/>
              </w:rPr>
              <w:t>222</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bidi="ar"/>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bidi="ar"/>
              </w:rPr>
            </w:pPr>
            <w:r>
              <w:rPr>
                <w:rFonts w:hint="default" w:ascii="Times New Roman" w:hAnsi="Times New Roman" w:eastAsia="宋体" w:cs="Times New Roman"/>
                <w:color w:val="auto"/>
                <w:kern w:val="0"/>
                <w:sz w:val="15"/>
                <w:szCs w:val="15"/>
                <w:lang w:bidi="ar"/>
              </w:rPr>
              <w:t>36</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bidi="ar"/>
              </w:rPr>
            </w:pPr>
            <w:r>
              <w:rPr>
                <w:rFonts w:hint="default" w:ascii="Times New Roman" w:hAnsi="Times New Roman" w:eastAsia="宋体" w:cs="Times New Roman"/>
                <w:color w:val="auto"/>
                <w:kern w:val="0"/>
                <w:sz w:val="15"/>
                <w:szCs w:val="15"/>
                <w:lang w:bidi="ar"/>
              </w:rPr>
              <w:t>current temporal focus</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bidi="ar"/>
              </w:rPr>
            </w:pPr>
            <w:r>
              <w:rPr>
                <w:rFonts w:hint="default" w:ascii="Times New Roman" w:hAnsi="Times New Roman" w:eastAsia="宋体" w:cs="Times New Roman"/>
                <w:color w:val="auto"/>
                <w:kern w:val="0"/>
                <w:sz w:val="15"/>
                <w:szCs w:val="15"/>
                <w:lang w:bidi="ar"/>
              </w:rPr>
              <w:t>0.18</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auto"/>
                <w:kern w:val="0"/>
                <w:sz w:val="15"/>
                <w:szCs w:val="15"/>
                <w:lang w:bidi="ar"/>
              </w:rPr>
            </w:pPr>
            <w:r>
              <w:rPr>
                <w:rFonts w:hint="default" w:ascii="Times New Roman" w:hAnsi="Times New Roman" w:eastAsia="宋体" w:cs="Times New Roman"/>
                <w:color w:val="auto"/>
                <w:kern w:val="0"/>
                <w:sz w:val="15"/>
                <w:szCs w:val="15"/>
                <w:lang w:bidi="ar"/>
              </w:rPr>
              <w:t>Keisuke Kokubun</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bidi="ar"/>
              </w:rPr>
            </w:pPr>
            <w:r>
              <w:rPr>
                <w:rFonts w:hint="default" w:ascii="Times New Roman" w:hAnsi="Times New Roman" w:eastAsia="宋体" w:cs="Times New Roman"/>
                <w:color w:val="auto"/>
                <w:kern w:val="0"/>
                <w:sz w:val="15"/>
                <w:szCs w:val="15"/>
                <w:lang w:bidi="ar"/>
              </w:rPr>
              <w:t>2020</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bidi="ar"/>
              </w:rPr>
            </w:pPr>
            <w:r>
              <w:rPr>
                <w:rFonts w:hint="default" w:ascii="Times New Roman" w:hAnsi="Times New Roman" w:eastAsia="宋体" w:cs="Times New Roman"/>
                <w:color w:val="auto"/>
                <w:kern w:val="0"/>
                <w:sz w:val="15"/>
                <w:szCs w:val="15"/>
                <w:lang w:bidi="ar"/>
              </w:rPr>
              <w:t>2973</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bidi="ar"/>
              </w:rPr>
            </w:pPr>
            <w:r>
              <w:rPr>
                <w:rFonts w:hint="default" w:ascii="Times New Roman" w:hAnsi="Times New Roman" w:eastAsia="宋体" w:cs="Times New Roman"/>
                <w:color w:val="auto"/>
                <w:kern w:val="0"/>
                <w:sz w:val="15"/>
                <w:szCs w:val="15"/>
                <w:lang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bidi="ar"/>
              </w:rPr>
            </w:pPr>
            <w:r>
              <w:rPr>
                <w:rFonts w:hint="default" w:ascii="Times New Roman" w:hAnsi="Times New Roman" w:eastAsia="宋体" w:cs="Times New Roman"/>
                <w:color w:val="auto"/>
                <w:kern w:val="0"/>
                <w:sz w:val="15"/>
                <w:szCs w:val="15"/>
                <w:lang w:bidi="ar"/>
              </w:rPr>
              <w:t>69.1</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bidi="ar"/>
              </w:rPr>
            </w:pPr>
            <w:r>
              <w:rPr>
                <w:rFonts w:hint="default" w:ascii="Times New Roman" w:hAnsi="Times New Roman" w:eastAsia="宋体" w:cs="Times New Roman"/>
                <w:color w:val="auto"/>
                <w:kern w:val="0"/>
                <w:sz w:val="15"/>
                <w:szCs w:val="15"/>
                <w:lang w:bidi="ar"/>
              </w:rPr>
              <w:t>anxiety about corona</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bidi="ar"/>
              </w:rPr>
            </w:pPr>
            <w:r>
              <w:rPr>
                <w:rFonts w:hint="default" w:ascii="Times New Roman" w:hAnsi="Times New Roman" w:eastAsia="宋体" w:cs="Times New Roman"/>
                <w:color w:val="auto"/>
                <w:kern w:val="0"/>
                <w:sz w:val="15"/>
                <w:szCs w:val="15"/>
                <w:lang w:bidi="ar"/>
              </w:rPr>
              <w:t>0.144</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auto"/>
                <w:kern w:val="0"/>
                <w:sz w:val="15"/>
                <w:szCs w:val="15"/>
                <w:highlight w:val="none"/>
                <w:lang w:bidi="ar"/>
              </w:rPr>
            </w:pPr>
            <w:r>
              <w:rPr>
                <w:rFonts w:hint="default" w:ascii="Times New Roman" w:hAnsi="Times New Roman" w:eastAsia="宋体" w:cs="Times New Roman"/>
                <w:color w:val="auto"/>
                <w:kern w:val="0"/>
                <w:sz w:val="15"/>
                <w:szCs w:val="15"/>
                <w:highlight w:val="none"/>
                <w:lang w:bidi="ar"/>
              </w:rPr>
              <w:t>Ying Lu</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highlight w:val="none"/>
                <w:lang w:val="en-US" w:eastAsia="zh-CN" w:bidi="ar"/>
              </w:rPr>
            </w:pPr>
            <w:r>
              <w:rPr>
                <w:rFonts w:hint="eastAsia" w:ascii="Times New Roman" w:hAnsi="Times New Roman" w:eastAsia="宋体" w:cs="Times New Roman"/>
                <w:color w:val="auto"/>
                <w:kern w:val="0"/>
                <w:sz w:val="15"/>
                <w:szCs w:val="15"/>
                <w:highlight w:val="none"/>
                <w:lang w:val="en-US" w:eastAsia="zh-CN" w:bidi="ar"/>
              </w:rPr>
              <w:t>2023</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highlight w:val="none"/>
                <w:lang w:val="en-US" w:eastAsia="zh-CN" w:bidi="ar"/>
              </w:rPr>
            </w:pPr>
            <w:r>
              <w:rPr>
                <w:rFonts w:hint="eastAsia" w:ascii="Times New Roman" w:hAnsi="Times New Roman" w:eastAsia="宋体" w:cs="Times New Roman"/>
                <w:color w:val="auto"/>
                <w:kern w:val="0"/>
                <w:sz w:val="15"/>
                <w:szCs w:val="15"/>
                <w:highlight w:val="none"/>
                <w:lang w:val="en-US" w:eastAsia="zh-CN" w:bidi="ar"/>
              </w:rPr>
              <w:t>1277</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highlight w:val="none"/>
                <w:lang w:val="en-US" w:eastAsia="zh-CN" w:bidi="ar"/>
              </w:rPr>
            </w:pPr>
            <w:r>
              <w:rPr>
                <w:rFonts w:hint="eastAsia" w:ascii="Times New Roman" w:hAnsi="Times New Roman" w:eastAsia="宋体" w:cs="Times New Roman"/>
                <w:color w:val="auto"/>
                <w:kern w:val="0"/>
                <w:sz w:val="15"/>
                <w:szCs w:val="15"/>
                <w:highlight w:val="none"/>
                <w:lang w:val="en-US" w:eastAsia="zh-CN"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highlight w:val="none"/>
                <w:lang w:val="en-US" w:eastAsia="zh-CN" w:bidi="ar"/>
              </w:rPr>
            </w:pPr>
            <w:r>
              <w:rPr>
                <w:rFonts w:hint="eastAsia" w:ascii="Times New Roman" w:hAnsi="Times New Roman" w:eastAsia="宋体" w:cs="Times New Roman"/>
                <w:color w:val="auto"/>
                <w:kern w:val="0"/>
                <w:sz w:val="15"/>
                <w:szCs w:val="15"/>
                <w:highlight w:val="none"/>
                <w:lang w:val="en-US" w:eastAsia="zh-CN" w:bidi="ar"/>
              </w:rPr>
              <w:t>42.1</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highlight w:val="none"/>
                <w:lang w:bidi="ar"/>
              </w:rPr>
            </w:pPr>
            <w:r>
              <w:rPr>
                <w:rFonts w:hint="default" w:ascii="Times New Roman" w:hAnsi="Times New Roman" w:eastAsia="宋体" w:cs="Times New Roman"/>
                <w:color w:val="auto"/>
                <w:kern w:val="0"/>
                <w:sz w:val="15"/>
                <w:szCs w:val="15"/>
                <w:highlight w:val="none"/>
                <w:lang w:bidi="ar"/>
              </w:rPr>
              <w:t>Sustainable HRM</w:t>
            </w:r>
            <w:r>
              <w:rPr>
                <w:rFonts w:hint="eastAsia" w:ascii="Times New Roman" w:hAnsi="Times New Roman" w:eastAsia="宋体" w:cs="Times New Roman"/>
                <w:color w:val="auto"/>
                <w:kern w:val="0"/>
                <w:sz w:val="15"/>
                <w:szCs w:val="15"/>
                <w:highlight w:val="none"/>
                <w:lang w:val="en-US" w:eastAsia="zh-CN" w:bidi="ar"/>
              </w:rPr>
              <w:t xml:space="preserve"> </w:t>
            </w:r>
            <w:r>
              <w:rPr>
                <w:rFonts w:hint="default" w:ascii="Times New Roman" w:hAnsi="Times New Roman" w:eastAsia="宋体" w:cs="Times New Roman"/>
                <w:color w:val="auto"/>
                <w:kern w:val="0"/>
                <w:sz w:val="15"/>
                <w:szCs w:val="15"/>
                <w:highlight w:val="none"/>
                <w:lang w:bidi="ar"/>
              </w:rPr>
              <w:t>practices</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highlight w:val="none"/>
                <w:lang w:val="en-US" w:eastAsia="zh-CN" w:bidi="ar"/>
              </w:rPr>
            </w:pPr>
            <w:r>
              <w:rPr>
                <w:rFonts w:hint="eastAsia" w:ascii="Times New Roman" w:hAnsi="Times New Roman" w:eastAsia="宋体" w:cs="Times New Roman"/>
                <w:color w:val="auto"/>
                <w:kern w:val="0"/>
                <w:sz w:val="15"/>
                <w:szCs w:val="15"/>
                <w:highlight w:val="none"/>
                <w:lang w:val="en-US" w:eastAsia="zh-CN" w:bidi="ar"/>
              </w:rPr>
              <w:t>0.20</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auto"/>
                <w:kern w:val="0"/>
                <w:sz w:val="15"/>
                <w:szCs w:val="15"/>
                <w:lang w:bidi="ar"/>
              </w:rPr>
            </w:pPr>
            <w:r>
              <w:rPr>
                <w:rFonts w:hint="default" w:ascii="Times New Roman" w:hAnsi="Times New Roman" w:eastAsia="宋体" w:cs="Times New Roman"/>
                <w:color w:val="auto"/>
                <w:kern w:val="0"/>
                <w:sz w:val="15"/>
                <w:szCs w:val="15"/>
                <w:lang w:bidi="ar"/>
              </w:rPr>
              <w:t>Ying Lu</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2023</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1277</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42.1</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bidi="ar"/>
              </w:rPr>
            </w:pPr>
            <w:r>
              <w:rPr>
                <w:rFonts w:hint="default" w:ascii="Times New Roman" w:hAnsi="Times New Roman" w:eastAsia="宋体" w:cs="Times New Roman"/>
                <w:color w:val="auto"/>
                <w:kern w:val="0"/>
                <w:sz w:val="15"/>
                <w:szCs w:val="15"/>
                <w:lang w:bidi="ar"/>
              </w:rPr>
              <w:t>Work engagement</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0.62</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auto"/>
                <w:kern w:val="0"/>
                <w:sz w:val="15"/>
                <w:szCs w:val="15"/>
                <w:lang w:bidi="ar"/>
              </w:rPr>
            </w:pPr>
            <w:r>
              <w:rPr>
                <w:rFonts w:hint="default" w:ascii="Times New Roman" w:hAnsi="Times New Roman" w:eastAsia="宋体" w:cs="Times New Roman"/>
                <w:color w:val="auto"/>
                <w:kern w:val="0"/>
                <w:sz w:val="15"/>
                <w:szCs w:val="15"/>
                <w:lang w:bidi="ar"/>
              </w:rPr>
              <w:t>Ying Lu</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2023</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1277</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42.1</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bidi="ar"/>
              </w:rPr>
            </w:pPr>
            <w:r>
              <w:rPr>
                <w:rFonts w:hint="default" w:ascii="Times New Roman" w:hAnsi="Times New Roman" w:eastAsia="宋体" w:cs="Times New Roman"/>
                <w:color w:val="auto"/>
                <w:kern w:val="0"/>
                <w:sz w:val="15"/>
                <w:szCs w:val="15"/>
                <w:lang w:bidi="ar"/>
              </w:rPr>
              <w:t>Employee</w:t>
            </w:r>
            <w:r>
              <w:rPr>
                <w:rFonts w:hint="eastAsia" w:ascii="Times New Roman" w:hAnsi="Times New Roman" w:eastAsia="宋体" w:cs="Times New Roman"/>
                <w:color w:val="auto"/>
                <w:kern w:val="0"/>
                <w:sz w:val="15"/>
                <w:szCs w:val="15"/>
                <w:lang w:val="en-US" w:eastAsia="zh-CN" w:bidi="ar"/>
              </w:rPr>
              <w:t xml:space="preserve"> </w:t>
            </w:r>
            <w:r>
              <w:rPr>
                <w:rFonts w:hint="default" w:ascii="Times New Roman" w:hAnsi="Times New Roman" w:eastAsia="宋体" w:cs="Times New Roman"/>
                <w:color w:val="auto"/>
                <w:kern w:val="0"/>
                <w:sz w:val="15"/>
                <w:szCs w:val="15"/>
                <w:lang w:bidi="ar"/>
              </w:rPr>
              <w:t>performance</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0.70</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auto"/>
                <w:kern w:val="0"/>
                <w:sz w:val="15"/>
                <w:szCs w:val="15"/>
                <w:lang w:bidi="ar"/>
              </w:rPr>
            </w:pPr>
            <w:r>
              <w:rPr>
                <w:rFonts w:hint="default" w:ascii="Times New Roman" w:hAnsi="Times New Roman" w:eastAsia="宋体" w:cs="Times New Roman"/>
                <w:color w:val="auto"/>
                <w:kern w:val="0"/>
                <w:sz w:val="15"/>
                <w:szCs w:val="15"/>
                <w:lang w:bidi="ar"/>
              </w:rPr>
              <w:t>Chaowu Xie</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2023</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1318</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61.1</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bidi="ar"/>
              </w:rPr>
            </w:pPr>
            <w:r>
              <w:rPr>
                <w:rFonts w:hint="default" w:ascii="Times New Roman" w:hAnsi="Times New Roman" w:eastAsia="宋体" w:cs="Times New Roman"/>
                <w:color w:val="auto"/>
                <w:kern w:val="0"/>
                <w:sz w:val="15"/>
                <w:szCs w:val="15"/>
                <w:lang w:bidi="ar"/>
              </w:rPr>
              <w:t>Challenge</w:t>
            </w:r>
            <w:r>
              <w:rPr>
                <w:rFonts w:hint="eastAsia" w:ascii="Times New Roman" w:hAnsi="Times New Roman" w:eastAsia="宋体" w:cs="Times New Roman"/>
                <w:color w:val="auto"/>
                <w:kern w:val="0"/>
                <w:sz w:val="15"/>
                <w:szCs w:val="15"/>
                <w:lang w:val="en-US" w:eastAsia="zh-CN" w:bidi="ar"/>
              </w:rPr>
              <w:t xml:space="preserve"> </w:t>
            </w:r>
            <w:r>
              <w:rPr>
                <w:rFonts w:hint="default" w:ascii="Times New Roman" w:hAnsi="Times New Roman" w:eastAsia="宋体" w:cs="Times New Roman"/>
                <w:color w:val="auto"/>
                <w:kern w:val="0"/>
                <w:sz w:val="15"/>
                <w:szCs w:val="15"/>
                <w:lang w:bidi="ar"/>
              </w:rPr>
              <w:t>stressors</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0.055</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auto"/>
                <w:kern w:val="0"/>
                <w:sz w:val="15"/>
                <w:szCs w:val="15"/>
                <w:lang w:bidi="ar"/>
              </w:rPr>
            </w:pPr>
            <w:r>
              <w:rPr>
                <w:rFonts w:hint="default" w:ascii="Times New Roman" w:hAnsi="Times New Roman" w:eastAsia="宋体" w:cs="Times New Roman"/>
                <w:color w:val="auto"/>
                <w:kern w:val="0"/>
                <w:sz w:val="15"/>
                <w:szCs w:val="15"/>
                <w:lang w:bidi="ar"/>
              </w:rPr>
              <w:t>Chaowu Xie</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2023</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1318</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61.1</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bidi="ar"/>
              </w:rPr>
            </w:pPr>
            <w:r>
              <w:rPr>
                <w:rFonts w:hint="default" w:ascii="Times New Roman" w:hAnsi="Times New Roman" w:eastAsia="宋体" w:cs="Times New Roman"/>
                <w:color w:val="auto"/>
                <w:kern w:val="0"/>
                <w:sz w:val="15"/>
                <w:szCs w:val="15"/>
                <w:lang w:bidi="ar"/>
              </w:rPr>
              <w:t>Belief</w:t>
            </w:r>
            <w:r>
              <w:rPr>
                <w:rFonts w:hint="eastAsia" w:ascii="Times New Roman" w:hAnsi="Times New Roman" w:eastAsia="宋体" w:cs="Times New Roman"/>
                <w:color w:val="auto"/>
                <w:kern w:val="0"/>
                <w:sz w:val="15"/>
                <w:szCs w:val="15"/>
                <w:lang w:val="en-US" w:eastAsia="zh-CN" w:bidi="ar"/>
              </w:rPr>
              <w:t xml:space="preserve"> </w:t>
            </w:r>
            <w:r>
              <w:rPr>
                <w:rFonts w:hint="default" w:ascii="Times New Roman" w:hAnsi="Times New Roman" w:eastAsia="宋体" w:cs="Times New Roman"/>
                <w:color w:val="auto"/>
                <w:kern w:val="0"/>
                <w:sz w:val="15"/>
                <w:szCs w:val="15"/>
                <w:lang w:bidi="ar"/>
              </w:rPr>
              <w:t>restoration</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0.669</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auto"/>
                <w:kern w:val="0"/>
                <w:sz w:val="15"/>
                <w:szCs w:val="15"/>
                <w:lang w:bidi="ar"/>
              </w:rPr>
            </w:pPr>
            <w:r>
              <w:rPr>
                <w:rFonts w:hint="default" w:ascii="Times New Roman" w:hAnsi="Times New Roman" w:eastAsia="宋体" w:cs="Times New Roman"/>
                <w:color w:val="auto"/>
                <w:kern w:val="0"/>
                <w:sz w:val="15"/>
                <w:szCs w:val="15"/>
                <w:lang w:bidi="ar"/>
              </w:rPr>
              <w:t>Chaowu Xie</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2023</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1318</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61.1</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bidi="ar"/>
              </w:rPr>
            </w:pPr>
            <w:r>
              <w:rPr>
                <w:rFonts w:hint="default" w:ascii="Times New Roman" w:hAnsi="Times New Roman" w:eastAsia="宋体" w:cs="Times New Roman"/>
                <w:color w:val="auto"/>
                <w:kern w:val="0"/>
                <w:sz w:val="15"/>
                <w:szCs w:val="15"/>
                <w:lang w:bidi="ar"/>
              </w:rPr>
              <w:t>Turnover</w:t>
            </w:r>
            <w:r>
              <w:rPr>
                <w:rFonts w:hint="eastAsia" w:ascii="Times New Roman" w:hAnsi="Times New Roman" w:eastAsia="宋体" w:cs="Times New Roman"/>
                <w:color w:val="auto"/>
                <w:kern w:val="0"/>
                <w:sz w:val="15"/>
                <w:szCs w:val="15"/>
                <w:lang w:val="en-US" w:eastAsia="zh-CN" w:bidi="ar"/>
              </w:rPr>
              <w:t xml:space="preserve"> </w:t>
            </w:r>
            <w:r>
              <w:rPr>
                <w:rFonts w:hint="default" w:ascii="Times New Roman" w:hAnsi="Times New Roman" w:eastAsia="宋体" w:cs="Times New Roman"/>
                <w:color w:val="auto"/>
                <w:kern w:val="0"/>
                <w:sz w:val="15"/>
                <w:szCs w:val="15"/>
                <w:lang w:bidi="ar"/>
              </w:rPr>
              <w:t>intention</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-0.466</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auto"/>
                <w:kern w:val="0"/>
                <w:sz w:val="15"/>
                <w:szCs w:val="15"/>
                <w:lang w:bidi="ar"/>
              </w:rPr>
            </w:pPr>
            <w:r>
              <w:rPr>
                <w:rFonts w:hint="default" w:ascii="Times New Roman" w:hAnsi="Times New Roman" w:eastAsia="宋体" w:cs="Times New Roman"/>
                <w:color w:val="auto"/>
                <w:kern w:val="0"/>
                <w:sz w:val="15"/>
                <w:szCs w:val="15"/>
                <w:lang w:bidi="ar"/>
              </w:rPr>
              <w:t>Chaowu Xie</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2023</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1318</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61.1</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bidi="ar"/>
              </w:rPr>
            </w:pPr>
            <w:r>
              <w:rPr>
                <w:rFonts w:hint="default" w:ascii="Times New Roman" w:hAnsi="Times New Roman" w:eastAsia="宋体" w:cs="Times New Roman"/>
                <w:color w:val="auto"/>
                <w:kern w:val="0"/>
                <w:sz w:val="15"/>
                <w:szCs w:val="15"/>
                <w:lang w:bidi="ar"/>
              </w:rPr>
              <w:t>Service</w:t>
            </w:r>
            <w:r>
              <w:rPr>
                <w:rFonts w:hint="eastAsia" w:ascii="Times New Roman" w:hAnsi="Times New Roman" w:eastAsia="宋体" w:cs="Times New Roman"/>
                <w:color w:val="auto"/>
                <w:kern w:val="0"/>
                <w:sz w:val="15"/>
                <w:szCs w:val="15"/>
                <w:lang w:val="en-US" w:eastAsia="zh-CN" w:bidi="ar"/>
              </w:rPr>
              <w:t xml:space="preserve"> </w:t>
            </w:r>
            <w:r>
              <w:rPr>
                <w:rFonts w:hint="default" w:ascii="Times New Roman" w:hAnsi="Times New Roman" w:eastAsia="宋体" w:cs="Times New Roman"/>
                <w:color w:val="auto"/>
                <w:kern w:val="0"/>
                <w:sz w:val="15"/>
                <w:szCs w:val="15"/>
                <w:lang w:bidi="ar"/>
              </w:rPr>
              <w:t>quality</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0.694</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auto"/>
                <w:kern w:val="0"/>
                <w:sz w:val="15"/>
                <w:szCs w:val="15"/>
                <w:lang w:bidi="ar"/>
              </w:rPr>
            </w:pPr>
            <w:r>
              <w:rPr>
                <w:rFonts w:hint="default" w:ascii="Times New Roman" w:hAnsi="Times New Roman" w:eastAsia="宋体" w:cs="Times New Roman"/>
                <w:color w:val="auto"/>
                <w:kern w:val="0"/>
                <w:sz w:val="15"/>
                <w:szCs w:val="15"/>
                <w:lang w:bidi="ar"/>
              </w:rPr>
              <w:t>Irfan Saleem</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2023</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441</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40.1</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bidi="ar"/>
              </w:rPr>
            </w:pPr>
            <w:r>
              <w:rPr>
                <w:rFonts w:hint="default" w:ascii="Times New Roman" w:hAnsi="Times New Roman" w:eastAsia="宋体" w:cs="Times New Roman"/>
                <w:color w:val="auto"/>
                <w:kern w:val="0"/>
                <w:sz w:val="15"/>
                <w:szCs w:val="15"/>
                <w:lang w:bidi="ar"/>
              </w:rPr>
              <w:t>Task Challenge</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0.548</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auto"/>
                <w:kern w:val="0"/>
                <w:sz w:val="15"/>
                <w:szCs w:val="15"/>
                <w:lang w:bidi="ar"/>
              </w:rPr>
            </w:pPr>
            <w:r>
              <w:rPr>
                <w:rFonts w:hint="default" w:ascii="Times New Roman" w:hAnsi="Times New Roman" w:eastAsia="宋体" w:cs="Times New Roman"/>
                <w:color w:val="auto"/>
                <w:kern w:val="0"/>
                <w:sz w:val="15"/>
                <w:szCs w:val="15"/>
                <w:lang w:bidi="ar"/>
              </w:rPr>
              <w:t>Irfan Saleem</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2023</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441</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40.1</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bidi="ar"/>
              </w:rPr>
            </w:pPr>
            <w:r>
              <w:rPr>
                <w:rFonts w:hint="default" w:ascii="Times New Roman" w:hAnsi="Times New Roman" w:eastAsia="宋体" w:cs="Times New Roman"/>
                <w:color w:val="auto"/>
                <w:kern w:val="0"/>
                <w:sz w:val="15"/>
                <w:szCs w:val="15"/>
                <w:lang w:bidi="ar"/>
              </w:rPr>
              <w:t>Digitalisation</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0.328</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auto"/>
                <w:kern w:val="0"/>
                <w:sz w:val="15"/>
                <w:szCs w:val="15"/>
                <w:lang w:bidi="ar"/>
              </w:rPr>
            </w:pPr>
            <w:r>
              <w:rPr>
                <w:rFonts w:hint="default" w:ascii="Times New Roman" w:hAnsi="Times New Roman" w:eastAsia="宋体" w:cs="Times New Roman"/>
                <w:color w:val="auto"/>
                <w:kern w:val="0"/>
                <w:sz w:val="15"/>
                <w:szCs w:val="15"/>
                <w:lang w:bidi="ar"/>
              </w:rPr>
              <w:t>Irfan Saleem</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2023</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441</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40.1</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bidi="ar"/>
              </w:rPr>
            </w:pPr>
            <w:r>
              <w:rPr>
                <w:rFonts w:hint="default" w:ascii="Times New Roman" w:hAnsi="Times New Roman" w:eastAsia="宋体" w:cs="Times New Roman"/>
                <w:color w:val="auto"/>
                <w:kern w:val="0"/>
                <w:sz w:val="15"/>
                <w:szCs w:val="15"/>
                <w:lang w:bidi="ar"/>
              </w:rPr>
              <w:t>Employee Performance</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0.364</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auto"/>
                <w:kern w:val="0"/>
                <w:sz w:val="15"/>
                <w:szCs w:val="15"/>
                <w:lang w:bidi="ar"/>
              </w:rPr>
            </w:pPr>
            <w:r>
              <w:rPr>
                <w:rFonts w:hint="default" w:ascii="Times New Roman" w:hAnsi="Times New Roman" w:eastAsia="宋体" w:cs="Times New Roman"/>
                <w:color w:val="auto"/>
                <w:kern w:val="0"/>
                <w:sz w:val="15"/>
                <w:szCs w:val="15"/>
                <w:lang w:bidi="ar"/>
              </w:rPr>
              <w:t>Shubham Sharma</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2023</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227</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34.4</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bidi="ar"/>
              </w:rPr>
            </w:pPr>
            <w:r>
              <w:rPr>
                <w:rFonts w:hint="default" w:ascii="Times New Roman" w:hAnsi="Times New Roman" w:eastAsia="宋体" w:cs="Times New Roman"/>
                <w:color w:val="auto"/>
                <w:kern w:val="0"/>
                <w:sz w:val="15"/>
                <w:szCs w:val="15"/>
                <w:lang w:bidi="ar"/>
              </w:rPr>
              <w:t>Career success</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0.551</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auto"/>
                <w:kern w:val="0"/>
                <w:sz w:val="15"/>
                <w:szCs w:val="15"/>
                <w:lang w:bidi="ar"/>
              </w:rPr>
            </w:pPr>
            <w:r>
              <w:rPr>
                <w:rFonts w:hint="default" w:ascii="Times New Roman" w:hAnsi="Times New Roman" w:eastAsia="宋体" w:cs="Times New Roman"/>
                <w:color w:val="auto"/>
                <w:kern w:val="0"/>
                <w:sz w:val="15"/>
                <w:szCs w:val="15"/>
                <w:lang w:bidi="ar"/>
              </w:rPr>
              <w:t>Shubham Sharma</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2023</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227</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34.4</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bidi="ar"/>
              </w:rPr>
            </w:pPr>
            <w:r>
              <w:rPr>
                <w:rFonts w:hint="default" w:ascii="Times New Roman" w:hAnsi="Times New Roman" w:eastAsia="宋体" w:cs="Times New Roman"/>
                <w:color w:val="auto"/>
                <w:kern w:val="0"/>
                <w:sz w:val="15"/>
                <w:szCs w:val="15"/>
                <w:lang w:bidi="ar"/>
              </w:rPr>
              <w:t>Intrapersonal awareness</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0.773</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auto"/>
                <w:kern w:val="0"/>
                <w:sz w:val="15"/>
                <w:szCs w:val="15"/>
                <w:lang w:bidi="ar"/>
              </w:rPr>
            </w:pPr>
            <w:r>
              <w:rPr>
                <w:rFonts w:hint="default" w:ascii="Times New Roman" w:hAnsi="Times New Roman" w:eastAsia="宋体" w:cs="Times New Roman"/>
                <w:color w:val="auto"/>
                <w:kern w:val="0"/>
                <w:sz w:val="15"/>
                <w:szCs w:val="15"/>
                <w:lang w:bidi="ar"/>
              </w:rPr>
              <w:t>Shubham Sharma</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2023</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227</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34.4</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bidi="ar"/>
              </w:rPr>
            </w:pPr>
            <w:r>
              <w:rPr>
                <w:rFonts w:hint="default" w:ascii="Times New Roman" w:hAnsi="Times New Roman" w:eastAsia="宋体" w:cs="Times New Roman"/>
                <w:color w:val="auto"/>
                <w:kern w:val="0"/>
                <w:sz w:val="15"/>
                <w:szCs w:val="15"/>
                <w:lang w:bidi="ar"/>
              </w:rPr>
              <w:t>Interpersonal awareness</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0.841</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auto"/>
                <w:kern w:val="0"/>
                <w:sz w:val="15"/>
                <w:szCs w:val="15"/>
                <w:lang w:bidi="ar"/>
              </w:rPr>
            </w:pPr>
            <w:r>
              <w:rPr>
                <w:rFonts w:hint="default" w:ascii="Times New Roman" w:hAnsi="Times New Roman" w:eastAsia="宋体" w:cs="Times New Roman"/>
                <w:color w:val="auto"/>
                <w:kern w:val="0"/>
                <w:sz w:val="15"/>
                <w:szCs w:val="15"/>
                <w:lang w:bidi="ar"/>
              </w:rPr>
              <w:t>Shubham Sharma</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2023</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227</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34.4</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bidi="ar"/>
              </w:rPr>
            </w:pPr>
            <w:r>
              <w:rPr>
                <w:rFonts w:hint="default" w:ascii="Times New Roman" w:hAnsi="Times New Roman" w:eastAsia="宋体" w:cs="Times New Roman"/>
                <w:color w:val="auto"/>
                <w:kern w:val="0"/>
                <w:sz w:val="15"/>
                <w:szCs w:val="15"/>
                <w:lang w:bidi="ar"/>
              </w:rPr>
              <w:t>Stress management</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0.788</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auto"/>
                <w:kern w:val="0"/>
                <w:sz w:val="15"/>
                <w:szCs w:val="15"/>
                <w:lang w:bidi="ar"/>
              </w:rPr>
            </w:pPr>
            <w:r>
              <w:rPr>
                <w:rFonts w:hint="default" w:ascii="Times New Roman" w:hAnsi="Times New Roman" w:eastAsia="宋体" w:cs="Times New Roman"/>
                <w:color w:val="auto"/>
                <w:kern w:val="0"/>
                <w:sz w:val="15"/>
                <w:szCs w:val="15"/>
                <w:lang w:bidi="ar"/>
              </w:rPr>
              <w:t>Shubham Sharma</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2023</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227</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34.4</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bidi="ar"/>
              </w:rPr>
            </w:pPr>
            <w:r>
              <w:rPr>
                <w:rFonts w:hint="default" w:ascii="Times New Roman" w:hAnsi="Times New Roman" w:eastAsia="宋体" w:cs="Times New Roman"/>
                <w:color w:val="auto"/>
                <w:kern w:val="0"/>
                <w:sz w:val="15"/>
                <w:szCs w:val="15"/>
                <w:lang w:bidi="ar"/>
              </w:rPr>
              <w:t>Adaptability</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0.718</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auto"/>
                <w:kern w:val="0"/>
                <w:sz w:val="15"/>
                <w:szCs w:val="15"/>
                <w:lang w:bidi="ar"/>
              </w:rPr>
            </w:pPr>
            <w:r>
              <w:rPr>
                <w:rFonts w:hint="default" w:ascii="Times New Roman" w:hAnsi="Times New Roman" w:eastAsia="宋体" w:cs="Times New Roman"/>
                <w:color w:val="auto"/>
                <w:kern w:val="0"/>
                <w:sz w:val="15"/>
                <w:szCs w:val="15"/>
                <w:lang w:bidi="ar"/>
              </w:rPr>
              <w:t>Shubham Sharma</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2023</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227</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34.4</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bidi="ar"/>
              </w:rPr>
            </w:pPr>
            <w:r>
              <w:rPr>
                <w:rFonts w:hint="default" w:ascii="Times New Roman" w:hAnsi="Times New Roman" w:eastAsia="宋体" w:cs="Times New Roman"/>
                <w:color w:val="auto"/>
                <w:kern w:val="0"/>
                <w:sz w:val="15"/>
                <w:szCs w:val="15"/>
                <w:lang w:bidi="ar"/>
              </w:rPr>
              <w:t>General mood</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0.223</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auto"/>
                <w:kern w:val="0"/>
                <w:sz w:val="15"/>
                <w:szCs w:val="15"/>
                <w:lang w:bidi="ar"/>
              </w:rPr>
            </w:pPr>
            <w:r>
              <w:rPr>
                <w:rFonts w:hint="default" w:ascii="Times New Roman" w:hAnsi="Times New Roman" w:eastAsia="宋体" w:cs="Times New Roman"/>
                <w:color w:val="auto"/>
                <w:kern w:val="0"/>
                <w:sz w:val="15"/>
                <w:szCs w:val="15"/>
                <w:lang w:bidi="ar"/>
              </w:rPr>
              <w:t>Yun Liu</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2023</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402</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57</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bidi="ar"/>
              </w:rPr>
            </w:pPr>
            <w:r>
              <w:rPr>
                <w:rFonts w:hint="default" w:ascii="Times New Roman" w:hAnsi="Times New Roman" w:eastAsia="宋体" w:cs="Times New Roman"/>
                <w:color w:val="auto"/>
                <w:kern w:val="0"/>
                <w:sz w:val="15"/>
                <w:szCs w:val="15"/>
                <w:lang w:bidi="ar"/>
              </w:rPr>
              <w:t>Internal corporate social responsibility</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0.48</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auto"/>
                <w:kern w:val="0"/>
                <w:sz w:val="15"/>
                <w:szCs w:val="15"/>
                <w:lang w:bidi="ar"/>
              </w:rPr>
            </w:pPr>
            <w:r>
              <w:rPr>
                <w:rFonts w:hint="default" w:ascii="Times New Roman" w:hAnsi="Times New Roman" w:eastAsia="宋体" w:cs="Times New Roman"/>
                <w:color w:val="auto"/>
                <w:kern w:val="0"/>
                <w:sz w:val="15"/>
                <w:szCs w:val="15"/>
                <w:lang w:bidi="ar"/>
              </w:rPr>
              <w:t>Yun Liu</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2023</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402</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57</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bidi="ar"/>
              </w:rPr>
            </w:pPr>
            <w:r>
              <w:rPr>
                <w:rFonts w:hint="default" w:ascii="Times New Roman" w:hAnsi="Times New Roman" w:eastAsia="宋体" w:cs="Times New Roman"/>
                <w:color w:val="auto"/>
                <w:kern w:val="0"/>
                <w:sz w:val="15"/>
                <w:szCs w:val="15"/>
                <w:lang w:bidi="ar"/>
              </w:rPr>
              <w:t>subjective well-being</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0.59</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auto"/>
                <w:kern w:val="0"/>
                <w:sz w:val="15"/>
                <w:szCs w:val="15"/>
                <w:lang w:bidi="ar"/>
              </w:rPr>
            </w:pPr>
            <w:r>
              <w:rPr>
                <w:rFonts w:hint="default" w:ascii="Times New Roman" w:hAnsi="Times New Roman" w:eastAsia="宋体" w:cs="Times New Roman"/>
                <w:color w:val="auto"/>
                <w:kern w:val="0"/>
                <w:sz w:val="15"/>
                <w:szCs w:val="15"/>
                <w:lang w:bidi="ar"/>
              </w:rPr>
              <w:t>Yun Liu</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2023</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402</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57</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bidi="ar"/>
              </w:rPr>
            </w:pPr>
            <w:r>
              <w:rPr>
                <w:rFonts w:hint="default" w:ascii="Times New Roman" w:hAnsi="Times New Roman" w:eastAsia="宋体" w:cs="Times New Roman"/>
                <w:color w:val="auto"/>
                <w:kern w:val="0"/>
                <w:sz w:val="15"/>
                <w:szCs w:val="15"/>
                <w:lang w:bidi="ar"/>
              </w:rPr>
              <w:t>Burnout</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-0.039</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auto"/>
                <w:kern w:val="0"/>
                <w:sz w:val="15"/>
                <w:szCs w:val="15"/>
                <w:lang w:bidi="ar"/>
              </w:rPr>
            </w:pPr>
            <w:r>
              <w:rPr>
                <w:rFonts w:hint="default" w:ascii="Times New Roman" w:hAnsi="Times New Roman" w:eastAsia="宋体" w:cs="Times New Roman"/>
                <w:color w:val="auto"/>
                <w:kern w:val="0"/>
                <w:sz w:val="15"/>
                <w:szCs w:val="15"/>
                <w:lang w:bidi="ar"/>
              </w:rPr>
              <w:t>Lama Blaique</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2023</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208</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82.2</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bidi="ar"/>
              </w:rPr>
            </w:pPr>
            <w:r>
              <w:rPr>
                <w:rFonts w:hint="default" w:ascii="Times New Roman" w:hAnsi="Times New Roman" w:eastAsia="宋体" w:cs="Times New Roman"/>
                <w:color w:val="auto"/>
                <w:kern w:val="0"/>
                <w:sz w:val="15"/>
                <w:szCs w:val="15"/>
                <w:lang w:bidi="ar"/>
              </w:rPr>
              <w:t>organizational learning</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0.223</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auto"/>
                <w:kern w:val="0"/>
                <w:sz w:val="15"/>
                <w:szCs w:val="15"/>
                <w:lang w:bidi="ar"/>
              </w:rPr>
            </w:pPr>
            <w:r>
              <w:rPr>
                <w:rFonts w:hint="default" w:ascii="Times New Roman" w:hAnsi="Times New Roman" w:eastAsia="宋体" w:cs="Times New Roman"/>
                <w:color w:val="auto"/>
                <w:kern w:val="0"/>
                <w:sz w:val="15"/>
                <w:szCs w:val="15"/>
                <w:lang w:bidi="ar"/>
              </w:rPr>
              <w:t>Lama Blaique</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2023</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208</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82.2</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bidi="ar"/>
              </w:rPr>
            </w:pPr>
            <w:r>
              <w:rPr>
                <w:rFonts w:hint="default" w:ascii="Times New Roman" w:hAnsi="Times New Roman" w:eastAsia="宋体" w:cs="Times New Roman"/>
                <w:color w:val="auto"/>
                <w:kern w:val="0"/>
                <w:sz w:val="15"/>
                <w:szCs w:val="15"/>
                <w:lang w:bidi="ar"/>
              </w:rPr>
              <w:t>psychological empowerment</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0.185</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auto"/>
                <w:kern w:val="0"/>
                <w:sz w:val="15"/>
                <w:szCs w:val="15"/>
                <w:lang w:bidi="ar"/>
              </w:rPr>
            </w:pPr>
            <w:r>
              <w:rPr>
                <w:rFonts w:hint="default" w:ascii="Times New Roman" w:hAnsi="Times New Roman" w:eastAsia="宋体" w:cs="Times New Roman"/>
                <w:color w:val="auto"/>
                <w:kern w:val="0"/>
                <w:sz w:val="15"/>
                <w:szCs w:val="15"/>
                <w:lang w:bidi="ar"/>
              </w:rPr>
              <w:t>Lama Blaique</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2023</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208</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82.2</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bidi="ar"/>
              </w:rPr>
            </w:pPr>
            <w:r>
              <w:rPr>
                <w:rFonts w:hint="default" w:ascii="Times New Roman" w:hAnsi="Times New Roman" w:eastAsia="宋体" w:cs="Times New Roman"/>
                <w:color w:val="auto"/>
                <w:kern w:val="0"/>
                <w:sz w:val="15"/>
                <w:szCs w:val="15"/>
                <w:lang w:bidi="ar"/>
              </w:rPr>
              <w:t>work engagement</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0.335</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auto"/>
                <w:kern w:val="0"/>
                <w:sz w:val="15"/>
                <w:szCs w:val="15"/>
                <w:lang w:bidi="ar"/>
              </w:rPr>
            </w:pPr>
            <w:r>
              <w:rPr>
                <w:rFonts w:hint="default" w:ascii="Times New Roman" w:hAnsi="Times New Roman" w:eastAsia="宋体" w:cs="Times New Roman"/>
                <w:color w:val="auto"/>
                <w:kern w:val="0"/>
                <w:sz w:val="15"/>
                <w:szCs w:val="15"/>
                <w:lang w:bidi="ar"/>
              </w:rPr>
              <w:t>Nisula Anna-Maija</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2020</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105</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21.9</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bidi="ar"/>
              </w:rPr>
            </w:pPr>
            <w:r>
              <w:rPr>
                <w:rFonts w:hint="default" w:ascii="Times New Roman" w:hAnsi="Times New Roman" w:eastAsia="宋体" w:cs="Times New Roman"/>
                <w:color w:val="auto"/>
                <w:kern w:val="0"/>
                <w:sz w:val="15"/>
                <w:szCs w:val="15"/>
                <w:lang w:bidi="ar"/>
              </w:rPr>
              <w:t>Achievement</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0.522</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auto"/>
                <w:kern w:val="0"/>
                <w:sz w:val="15"/>
                <w:szCs w:val="15"/>
                <w:lang w:bidi="ar"/>
              </w:rPr>
            </w:pPr>
            <w:r>
              <w:rPr>
                <w:rFonts w:hint="default" w:ascii="Times New Roman" w:hAnsi="Times New Roman" w:eastAsia="宋体" w:cs="Times New Roman"/>
                <w:color w:val="auto"/>
                <w:kern w:val="0"/>
                <w:sz w:val="15"/>
                <w:szCs w:val="15"/>
                <w:lang w:bidi="ar"/>
              </w:rPr>
              <w:t>Nisula Anna-Maija</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2020</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105</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21.9</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bidi="ar"/>
              </w:rPr>
            </w:pPr>
            <w:r>
              <w:rPr>
                <w:rFonts w:hint="default" w:ascii="Times New Roman" w:hAnsi="Times New Roman" w:eastAsia="宋体" w:cs="Times New Roman"/>
                <w:color w:val="auto"/>
                <w:kern w:val="0"/>
                <w:sz w:val="15"/>
                <w:szCs w:val="15"/>
                <w:lang w:bidi="ar"/>
              </w:rPr>
              <w:t xml:space="preserve">Creativity </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0.379</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auto"/>
                <w:kern w:val="0"/>
                <w:sz w:val="15"/>
                <w:szCs w:val="15"/>
                <w:lang w:bidi="ar"/>
              </w:rPr>
            </w:pPr>
            <w:r>
              <w:rPr>
                <w:rFonts w:hint="default" w:ascii="Times New Roman" w:hAnsi="Times New Roman" w:eastAsia="宋体" w:cs="Times New Roman"/>
                <w:color w:val="auto"/>
                <w:kern w:val="0"/>
                <w:sz w:val="15"/>
                <w:szCs w:val="15"/>
                <w:lang w:bidi="ar"/>
              </w:rPr>
              <w:t>Nisula Anna-Maija</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2020</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105</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21.9</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bidi="ar"/>
              </w:rPr>
            </w:pPr>
            <w:r>
              <w:rPr>
                <w:rFonts w:hint="default" w:ascii="Times New Roman" w:hAnsi="Times New Roman" w:eastAsia="宋体" w:cs="Times New Roman"/>
                <w:color w:val="auto"/>
                <w:kern w:val="0"/>
                <w:sz w:val="15"/>
                <w:szCs w:val="15"/>
                <w:lang w:bidi="ar"/>
              </w:rPr>
              <w:t xml:space="preserve"> Internal locus of control</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0.455</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auto"/>
                <w:kern w:val="0"/>
                <w:sz w:val="15"/>
                <w:szCs w:val="15"/>
                <w:lang w:bidi="ar"/>
              </w:rPr>
            </w:pPr>
            <w:r>
              <w:rPr>
                <w:rFonts w:hint="default" w:ascii="Times New Roman" w:hAnsi="Times New Roman" w:eastAsia="宋体" w:cs="Times New Roman"/>
                <w:color w:val="auto"/>
                <w:kern w:val="0"/>
                <w:sz w:val="15"/>
                <w:szCs w:val="15"/>
                <w:lang w:bidi="ar"/>
              </w:rPr>
              <w:t>Nisula Anna-Maija</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2020</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105</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21.9</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bidi="ar"/>
              </w:rPr>
            </w:pPr>
            <w:r>
              <w:rPr>
                <w:rFonts w:hint="default" w:ascii="Times New Roman" w:hAnsi="Times New Roman" w:eastAsia="宋体" w:cs="Times New Roman"/>
                <w:color w:val="auto"/>
                <w:kern w:val="0"/>
                <w:sz w:val="15"/>
                <w:szCs w:val="15"/>
                <w:lang w:bidi="ar"/>
              </w:rPr>
              <w:t>Materialism</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0.278</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auto"/>
                <w:kern w:val="0"/>
                <w:sz w:val="15"/>
                <w:szCs w:val="15"/>
                <w:lang w:bidi="ar"/>
              </w:rPr>
            </w:pPr>
            <w:r>
              <w:rPr>
                <w:rFonts w:hint="default" w:ascii="Times New Roman" w:hAnsi="Times New Roman" w:eastAsia="宋体" w:cs="Times New Roman"/>
                <w:color w:val="auto"/>
                <w:kern w:val="0"/>
                <w:sz w:val="15"/>
                <w:szCs w:val="15"/>
                <w:lang w:bidi="ar"/>
              </w:rPr>
              <w:t>Nisula Anna-Maija</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2020</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105</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21.9</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bidi="ar"/>
              </w:rPr>
            </w:pPr>
            <w:r>
              <w:rPr>
                <w:rFonts w:hint="default" w:ascii="Times New Roman" w:hAnsi="Times New Roman" w:eastAsia="宋体" w:cs="Times New Roman"/>
                <w:color w:val="auto"/>
                <w:kern w:val="0"/>
                <w:sz w:val="15"/>
                <w:szCs w:val="15"/>
                <w:lang w:bidi="ar"/>
              </w:rPr>
              <w:t>Self-efficacy</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0.405</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auto"/>
                <w:kern w:val="0"/>
                <w:sz w:val="15"/>
                <w:szCs w:val="15"/>
                <w:lang w:bidi="ar"/>
              </w:rPr>
            </w:pPr>
            <w:r>
              <w:rPr>
                <w:rFonts w:hint="default" w:ascii="Times New Roman" w:hAnsi="Times New Roman" w:eastAsia="宋体" w:cs="Times New Roman"/>
                <w:color w:val="auto"/>
                <w:kern w:val="0"/>
                <w:sz w:val="15"/>
                <w:szCs w:val="15"/>
                <w:lang w:bidi="ar"/>
              </w:rPr>
              <w:t>Nisula Anna-Maija</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2020</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177</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22.6</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bidi="ar"/>
              </w:rPr>
            </w:pPr>
            <w:r>
              <w:rPr>
                <w:rFonts w:hint="default" w:ascii="Times New Roman" w:hAnsi="Times New Roman" w:eastAsia="宋体" w:cs="Times New Roman"/>
                <w:color w:val="auto"/>
                <w:kern w:val="0"/>
                <w:sz w:val="15"/>
                <w:szCs w:val="15"/>
                <w:lang w:bidi="ar"/>
              </w:rPr>
              <w:t>Achievement</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0.571</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auto"/>
                <w:kern w:val="0"/>
                <w:sz w:val="15"/>
                <w:szCs w:val="15"/>
                <w:lang w:bidi="ar"/>
              </w:rPr>
            </w:pPr>
            <w:r>
              <w:rPr>
                <w:rFonts w:hint="default" w:ascii="Times New Roman" w:hAnsi="Times New Roman" w:eastAsia="宋体" w:cs="Times New Roman"/>
                <w:color w:val="auto"/>
                <w:kern w:val="0"/>
                <w:sz w:val="15"/>
                <w:szCs w:val="15"/>
                <w:lang w:bidi="ar"/>
              </w:rPr>
              <w:t>Nisula Anna-Maija</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2020</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177</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22.6</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bidi="ar"/>
              </w:rPr>
            </w:pPr>
            <w:r>
              <w:rPr>
                <w:rFonts w:hint="default" w:ascii="Times New Roman" w:hAnsi="Times New Roman" w:eastAsia="宋体" w:cs="Times New Roman"/>
                <w:color w:val="auto"/>
                <w:kern w:val="0"/>
                <w:sz w:val="15"/>
                <w:szCs w:val="15"/>
                <w:lang w:bidi="ar"/>
              </w:rPr>
              <w:t xml:space="preserve">Creativity </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0.519</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auto"/>
                <w:kern w:val="0"/>
                <w:sz w:val="15"/>
                <w:szCs w:val="15"/>
                <w:lang w:bidi="ar"/>
              </w:rPr>
            </w:pPr>
            <w:r>
              <w:rPr>
                <w:rFonts w:hint="default" w:ascii="Times New Roman" w:hAnsi="Times New Roman" w:eastAsia="宋体" w:cs="Times New Roman"/>
                <w:color w:val="auto"/>
                <w:kern w:val="0"/>
                <w:sz w:val="15"/>
                <w:szCs w:val="15"/>
                <w:lang w:bidi="ar"/>
              </w:rPr>
              <w:t>Nisula Anna-Maija</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2020</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177</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22.6</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bidi="ar"/>
              </w:rPr>
            </w:pPr>
            <w:r>
              <w:rPr>
                <w:rFonts w:hint="default" w:ascii="Times New Roman" w:hAnsi="Times New Roman" w:eastAsia="宋体" w:cs="Times New Roman"/>
                <w:color w:val="auto"/>
                <w:kern w:val="0"/>
                <w:sz w:val="15"/>
                <w:szCs w:val="15"/>
                <w:lang w:bidi="ar"/>
              </w:rPr>
              <w:t xml:space="preserve"> Internal locus of control</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0.434</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auto"/>
                <w:kern w:val="0"/>
                <w:sz w:val="15"/>
                <w:szCs w:val="15"/>
                <w:lang w:bidi="ar"/>
              </w:rPr>
            </w:pPr>
            <w:r>
              <w:rPr>
                <w:rFonts w:hint="default" w:ascii="Times New Roman" w:hAnsi="Times New Roman" w:eastAsia="宋体" w:cs="Times New Roman"/>
                <w:color w:val="auto"/>
                <w:kern w:val="0"/>
                <w:sz w:val="15"/>
                <w:szCs w:val="15"/>
                <w:lang w:bidi="ar"/>
              </w:rPr>
              <w:t>Nisula Anna-Maija</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2020</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177</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22.6</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bidi="ar"/>
              </w:rPr>
            </w:pPr>
            <w:r>
              <w:rPr>
                <w:rFonts w:hint="default" w:ascii="Times New Roman" w:hAnsi="Times New Roman" w:eastAsia="宋体" w:cs="Times New Roman"/>
                <w:color w:val="auto"/>
                <w:kern w:val="0"/>
                <w:sz w:val="15"/>
                <w:szCs w:val="15"/>
                <w:lang w:bidi="ar"/>
              </w:rPr>
              <w:t>Materialism</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0.351</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auto"/>
                <w:kern w:val="0"/>
                <w:sz w:val="15"/>
                <w:szCs w:val="15"/>
                <w:lang w:bidi="ar"/>
              </w:rPr>
            </w:pPr>
            <w:r>
              <w:rPr>
                <w:rFonts w:hint="default" w:ascii="Times New Roman" w:hAnsi="Times New Roman" w:eastAsia="宋体" w:cs="Times New Roman"/>
                <w:color w:val="auto"/>
                <w:kern w:val="0"/>
                <w:sz w:val="15"/>
                <w:szCs w:val="15"/>
                <w:lang w:bidi="ar"/>
              </w:rPr>
              <w:t>Nisula Anna-Maija</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2020</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177</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22.6</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bidi="ar"/>
              </w:rPr>
            </w:pPr>
            <w:r>
              <w:rPr>
                <w:rFonts w:hint="default" w:ascii="Times New Roman" w:hAnsi="Times New Roman" w:eastAsia="宋体" w:cs="Times New Roman"/>
                <w:color w:val="auto"/>
                <w:kern w:val="0"/>
                <w:sz w:val="15"/>
                <w:szCs w:val="15"/>
                <w:lang w:bidi="ar"/>
              </w:rPr>
              <w:t>Self-efficacy</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0.543</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auto"/>
                <w:kern w:val="0"/>
                <w:sz w:val="15"/>
                <w:szCs w:val="15"/>
                <w:lang w:bidi="ar"/>
              </w:rPr>
            </w:pPr>
            <w:r>
              <w:rPr>
                <w:rFonts w:hint="default" w:ascii="Times New Roman" w:hAnsi="Times New Roman" w:eastAsia="宋体" w:cs="Times New Roman"/>
                <w:color w:val="auto"/>
                <w:kern w:val="0"/>
                <w:sz w:val="15"/>
                <w:szCs w:val="15"/>
                <w:lang w:bidi="ar"/>
              </w:rPr>
              <w:t>Muhammad Idrees Asghar</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2023</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175</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bidi="ar"/>
              </w:rPr>
            </w:pPr>
            <w:r>
              <w:rPr>
                <w:rFonts w:hint="default" w:ascii="Times New Roman" w:hAnsi="Times New Roman" w:eastAsia="宋体" w:cs="Times New Roman"/>
                <w:color w:val="auto"/>
                <w:kern w:val="0"/>
                <w:sz w:val="15"/>
                <w:szCs w:val="15"/>
                <w:lang w:bidi="ar"/>
              </w:rPr>
              <w:t>Job</w:t>
            </w:r>
            <w:r>
              <w:rPr>
                <w:rFonts w:hint="eastAsia" w:ascii="Times New Roman" w:hAnsi="Times New Roman" w:eastAsia="宋体" w:cs="Times New Roman"/>
                <w:color w:val="auto"/>
                <w:kern w:val="0"/>
                <w:sz w:val="15"/>
                <w:szCs w:val="15"/>
                <w:lang w:val="en-US" w:eastAsia="zh-CN" w:bidi="ar"/>
              </w:rPr>
              <w:t xml:space="preserve"> </w:t>
            </w:r>
            <w:r>
              <w:rPr>
                <w:rFonts w:hint="default" w:ascii="Times New Roman" w:hAnsi="Times New Roman" w:eastAsia="宋体" w:cs="Times New Roman"/>
                <w:color w:val="auto"/>
                <w:kern w:val="0"/>
                <w:sz w:val="15"/>
                <w:szCs w:val="15"/>
                <w:lang w:bidi="ar"/>
              </w:rPr>
              <w:t>Performance</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0.63</w:t>
            </w:r>
          </w:p>
        </w:tc>
      </w:tr>
      <w:tr>
        <w:tblPrEx>
          <w:tblCellMar>
            <w:top w:w="0" w:type="dxa"/>
            <w:left w:w="108" w:type="dxa"/>
            <w:bottom w:w="0" w:type="dxa"/>
            <w:right w:w="108" w:type="dxa"/>
          </w:tblCellMar>
        </w:tblPrEx>
        <w:trPr>
          <w:trHeight w:val="29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auto"/>
                <w:kern w:val="0"/>
                <w:sz w:val="15"/>
                <w:szCs w:val="15"/>
                <w:lang w:bidi="ar"/>
              </w:rPr>
            </w:pPr>
            <w:r>
              <w:rPr>
                <w:rFonts w:hint="default" w:ascii="Times New Roman" w:hAnsi="Times New Roman" w:eastAsia="宋体" w:cs="Times New Roman"/>
                <w:color w:val="auto"/>
                <w:kern w:val="0"/>
                <w:sz w:val="15"/>
                <w:szCs w:val="15"/>
                <w:lang w:bidi="ar"/>
              </w:rPr>
              <w:t>Muhammad Idrees Asghar</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2023</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175</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bidi="ar"/>
              </w:rPr>
            </w:pPr>
            <w:r>
              <w:rPr>
                <w:rFonts w:hint="default" w:ascii="Times New Roman" w:hAnsi="Times New Roman" w:eastAsia="宋体" w:cs="Times New Roman"/>
                <w:color w:val="auto"/>
                <w:kern w:val="0"/>
                <w:sz w:val="15"/>
                <w:szCs w:val="15"/>
                <w:lang w:bidi="ar"/>
              </w:rPr>
              <w:t xml:space="preserve">supply chain manager's competencies </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0.36</w:t>
            </w:r>
          </w:p>
        </w:tc>
      </w:tr>
      <w:tr>
        <w:tblPrEx>
          <w:tblCellMar>
            <w:top w:w="0" w:type="dxa"/>
            <w:left w:w="108" w:type="dxa"/>
            <w:bottom w:w="0" w:type="dxa"/>
            <w:right w:w="108" w:type="dxa"/>
          </w:tblCellMar>
        </w:tblPrEx>
        <w:trPr>
          <w:trHeight w:val="29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auto"/>
                <w:kern w:val="0"/>
                <w:sz w:val="15"/>
                <w:szCs w:val="15"/>
                <w:lang w:bidi="ar"/>
              </w:rPr>
            </w:pPr>
            <w:r>
              <w:rPr>
                <w:rFonts w:hint="default" w:ascii="Times New Roman" w:hAnsi="Times New Roman" w:eastAsia="宋体" w:cs="Times New Roman"/>
                <w:color w:val="auto"/>
                <w:kern w:val="0"/>
                <w:sz w:val="15"/>
                <w:szCs w:val="15"/>
                <w:lang w:bidi="ar"/>
              </w:rPr>
              <w:t>Yvonne Brunetto</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2023</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220</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P</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25</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bidi="ar"/>
              </w:rPr>
            </w:pPr>
            <w:r>
              <w:rPr>
                <w:rFonts w:hint="default" w:ascii="Times New Roman" w:hAnsi="Times New Roman" w:eastAsia="宋体" w:cs="Times New Roman"/>
                <w:color w:val="auto"/>
                <w:kern w:val="0"/>
                <w:sz w:val="15"/>
                <w:szCs w:val="15"/>
                <w:lang w:bidi="ar"/>
              </w:rPr>
              <w:t>POS</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0.33</w:t>
            </w:r>
          </w:p>
        </w:tc>
      </w:tr>
      <w:tr>
        <w:tblPrEx>
          <w:tblCellMar>
            <w:top w:w="0" w:type="dxa"/>
            <w:left w:w="108" w:type="dxa"/>
            <w:bottom w:w="0" w:type="dxa"/>
            <w:right w:w="108" w:type="dxa"/>
          </w:tblCellMar>
        </w:tblPrEx>
        <w:trPr>
          <w:trHeight w:val="321"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auto"/>
                <w:kern w:val="0"/>
                <w:sz w:val="15"/>
                <w:szCs w:val="15"/>
                <w:lang w:bidi="ar"/>
              </w:rPr>
            </w:pPr>
            <w:r>
              <w:rPr>
                <w:rFonts w:hint="default" w:ascii="Times New Roman" w:hAnsi="Times New Roman" w:eastAsia="宋体" w:cs="Times New Roman"/>
                <w:color w:val="auto"/>
                <w:kern w:val="0"/>
                <w:sz w:val="15"/>
                <w:szCs w:val="15"/>
                <w:lang w:bidi="ar"/>
              </w:rPr>
              <w:t>Yvonne Brunetto</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2023</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220</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P</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25</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bidi="ar"/>
              </w:rPr>
            </w:pPr>
            <w:r>
              <w:rPr>
                <w:rFonts w:hint="default" w:ascii="Times New Roman" w:hAnsi="Times New Roman" w:eastAsia="宋体" w:cs="Times New Roman"/>
                <w:color w:val="auto"/>
                <w:kern w:val="0"/>
                <w:sz w:val="15"/>
                <w:szCs w:val="15"/>
                <w:lang w:bidi="ar"/>
              </w:rPr>
              <w:t>Org. Stress</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0.21</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auto"/>
                <w:kern w:val="0"/>
                <w:sz w:val="15"/>
                <w:szCs w:val="15"/>
                <w:lang w:bidi="ar"/>
              </w:rPr>
            </w:pPr>
            <w:r>
              <w:rPr>
                <w:rFonts w:hint="default" w:ascii="Times New Roman" w:hAnsi="Times New Roman" w:eastAsia="宋体" w:cs="Times New Roman"/>
                <w:color w:val="auto"/>
                <w:kern w:val="0"/>
                <w:sz w:val="15"/>
                <w:szCs w:val="15"/>
                <w:lang w:bidi="ar"/>
              </w:rPr>
              <w:t>Yvonne Brunetto</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2023</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220</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P</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25</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bidi="ar"/>
              </w:rPr>
            </w:pPr>
            <w:r>
              <w:rPr>
                <w:rFonts w:hint="default" w:ascii="Times New Roman" w:hAnsi="Times New Roman" w:eastAsia="宋体" w:cs="Times New Roman"/>
                <w:color w:val="auto"/>
                <w:kern w:val="0"/>
                <w:sz w:val="15"/>
                <w:szCs w:val="15"/>
                <w:lang w:bidi="ar"/>
              </w:rPr>
              <w:t>Engagement</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0.48</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auto"/>
                <w:kern w:val="0"/>
                <w:sz w:val="15"/>
                <w:szCs w:val="15"/>
                <w:lang w:bidi="ar"/>
              </w:rPr>
            </w:pPr>
            <w:r>
              <w:rPr>
                <w:rFonts w:hint="default" w:ascii="Times New Roman" w:hAnsi="Times New Roman" w:eastAsia="宋体" w:cs="Times New Roman"/>
                <w:color w:val="auto"/>
                <w:kern w:val="0"/>
                <w:sz w:val="15"/>
                <w:szCs w:val="15"/>
                <w:lang w:bidi="ar"/>
              </w:rPr>
              <w:t>Yvonne Brunetto</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2023</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228</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P</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38.6</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bidi="ar"/>
              </w:rPr>
            </w:pPr>
            <w:r>
              <w:rPr>
                <w:rFonts w:hint="default" w:ascii="Times New Roman" w:hAnsi="Times New Roman" w:eastAsia="宋体" w:cs="Times New Roman"/>
                <w:color w:val="auto"/>
                <w:kern w:val="0"/>
                <w:sz w:val="15"/>
                <w:szCs w:val="15"/>
                <w:lang w:bidi="ar"/>
              </w:rPr>
              <w:t>POS</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0.06</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auto"/>
                <w:kern w:val="0"/>
                <w:sz w:val="15"/>
                <w:szCs w:val="15"/>
                <w:lang w:bidi="ar"/>
              </w:rPr>
            </w:pPr>
            <w:r>
              <w:rPr>
                <w:rFonts w:hint="default" w:ascii="Times New Roman" w:hAnsi="Times New Roman" w:eastAsia="宋体" w:cs="Times New Roman"/>
                <w:color w:val="auto"/>
                <w:kern w:val="0"/>
                <w:sz w:val="15"/>
                <w:szCs w:val="15"/>
                <w:lang w:bidi="ar"/>
              </w:rPr>
              <w:t>Yvonne Brunetto</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2023</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228</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P</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38.6</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bidi="ar"/>
              </w:rPr>
            </w:pPr>
            <w:r>
              <w:rPr>
                <w:rFonts w:hint="default" w:ascii="Times New Roman" w:hAnsi="Times New Roman" w:eastAsia="宋体" w:cs="Times New Roman"/>
                <w:color w:val="auto"/>
                <w:kern w:val="0"/>
                <w:sz w:val="15"/>
                <w:szCs w:val="15"/>
                <w:lang w:bidi="ar"/>
              </w:rPr>
              <w:t>Org. Stress</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-0.15</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auto"/>
                <w:kern w:val="0"/>
                <w:sz w:val="15"/>
                <w:szCs w:val="15"/>
                <w:lang w:bidi="ar"/>
              </w:rPr>
            </w:pPr>
            <w:r>
              <w:rPr>
                <w:rFonts w:hint="default" w:ascii="Times New Roman" w:hAnsi="Times New Roman" w:eastAsia="宋体" w:cs="Times New Roman"/>
                <w:color w:val="auto"/>
                <w:kern w:val="0"/>
                <w:sz w:val="15"/>
                <w:szCs w:val="15"/>
                <w:lang w:bidi="ar"/>
              </w:rPr>
              <w:t>Yvonne Brunetto</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2023</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228</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P</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38.6</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bidi="ar"/>
              </w:rPr>
            </w:pPr>
            <w:r>
              <w:rPr>
                <w:rFonts w:hint="default" w:ascii="Times New Roman" w:hAnsi="Times New Roman" w:eastAsia="宋体" w:cs="Times New Roman"/>
                <w:color w:val="auto"/>
                <w:kern w:val="0"/>
                <w:sz w:val="15"/>
                <w:szCs w:val="15"/>
                <w:lang w:bidi="ar"/>
              </w:rPr>
              <w:t>Engagement</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0.42</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auto"/>
                <w:kern w:val="0"/>
                <w:sz w:val="15"/>
                <w:szCs w:val="15"/>
                <w:lang w:bidi="ar"/>
              </w:rPr>
            </w:pPr>
            <w:r>
              <w:rPr>
                <w:rFonts w:hint="default" w:ascii="Times New Roman" w:hAnsi="Times New Roman" w:eastAsia="宋体" w:cs="Times New Roman"/>
                <w:color w:val="auto"/>
                <w:kern w:val="0"/>
                <w:sz w:val="15"/>
                <w:szCs w:val="15"/>
                <w:lang w:bidi="ar"/>
              </w:rPr>
              <w:t>Amadeja Lamovšek</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2023</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438</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40.7</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bidi="ar"/>
              </w:rPr>
            </w:pPr>
            <w:r>
              <w:rPr>
                <w:rFonts w:hint="default" w:ascii="Times New Roman" w:hAnsi="Times New Roman" w:eastAsia="宋体" w:cs="Times New Roman"/>
                <w:color w:val="auto"/>
                <w:kern w:val="0"/>
                <w:sz w:val="15"/>
                <w:szCs w:val="15"/>
                <w:lang w:bidi="ar"/>
              </w:rPr>
              <w:t>Social support</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0.11</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auto"/>
                <w:kern w:val="0"/>
                <w:sz w:val="15"/>
                <w:szCs w:val="15"/>
                <w:lang w:bidi="ar"/>
              </w:rPr>
            </w:pPr>
            <w:r>
              <w:rPr>
                <w:rFonts w:hint="default" w:ascii="Times New Roman" w:hAnsi="Times New Roman" w:eastAsia="宋体" w:cs="Times New Roman"/>
                <w:color w:val="auto"/>
                <w:kern w:val="0"/>
                <w:sz w:val="15"/>
                <w:szCs w:val="15"/>
                <w:lang w:bidi="ar"/>
              </w:rPr>
              <w:t>Amadeja Lamovšek</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2023</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438</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40.7</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bidi="ar"/>
              </w:rPr>
            </w:pPr>
            <w:r>
              <w:rPr>
                <w:rFonts w:hint="default" w:ascii="Times New Roman" w:hAnsi="Times New Roman" w:eastAsia="宋体" w:cs="Times New Roman"/>
                <w:color w:val="auto"/>
                <w:kern w:val="0"/>
                <w:sz w:val="15"/>
                <w:szCs w:val="15"/>
                <w:lang w:bidi="ar"/>
              </w:rPr>
              <w:t>Proactive personality</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0.36</w:t>
            </w:r>
          </w:p>
        </w:tc>
      </w:tr>
      <w:tr>
        <w:tblPrEx>
          <w:tblCellMar>
            <w:top w:w="0" w:type="dxa"/>
            <w:left w:w="108" w:type="dxa"/>
            <w:bottom w:w="0" w:type="dxa"/>
            <w:right w:w="108" w:type="dxa"/>
          </w:tblCellMar>
        </w:tblPrEx>
        <w:trPr>
          <w:trHeight w:val="29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auto"/>
                <w:kern w:val="0"/>
                <w:sz w:val="15"/>
                <w:szCs w:val="15"/>
                <w:lang w:bidi="ar"/>
              </w:rPr>
            </w:pPr>
            <w:r>
              <w:rPr>
                <w:rFonts w:hint="default" w:ascii="Times New Roman" w:hAnsi="Times New Roman" w:eastAsia="宋体" w:cs="Times New Roman"/>
                <w:color w:val="auto"/>
                <w:kern w:val="0"/>
                <w:sz w:val="15"/>
                <w:szCs w:val="15"/>
                <w:lang w:bidi="ar"/>
              </w:rPr>
              <w:t>Amadeja Lamovšek</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2023</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438</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40.7</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bidi="ar"/>
              </w:rPr>
            </w:pPr>
            <w:r>
              <w:rPr>
                <w:rFonts w:hint="default" w:ascii="Times New Roman" w:hAnsi="Times New Roman" w:eastAsia="宋体" w:cs="Times New Roman"/>
                <w:color w:val="auto"/>
                <w:kern w:val="0"/>
                <w:sz w:val="15"/>
                <w:szCs w:val="15"/>
                <w:lang w:bidi="ar"/>
              </w:rPr>
              <w:t xml:space="preserve">Work–life balance </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0.20</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auto"/>
                <w:kern w:val="0"/>
                <w:sz w:val="15"/>
                <w:szCs w:val="15"/>
                <w:lang w:bidi="ar"/>
              </w:rPr>
            </w:pPr>
            <w:r>
              <w:rPr>
                <w:rFonts w:hint="default" w:ascii="Times New Roman" w:hAnsi="Times New Roman" w:eastAsia="宋体" w:cs="Times New Roman"/>
                <w:color w:val="auto"/>
                <w:kern w:val="0"/>
                <w:sz w:val="15"/>
                <w:szCs w:val="15"/>
                <w:lang w:bidi="ar"/>
              </w:rPr>
              <w:t>Girish Prayag</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2024</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458</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24.5</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bidi="ar"/>
              </w:rPr>
            </w:pPr>
            <w:r>
              <w:rPr>
                <w:rFonts w:hint="default" w:ascii="Times New Roman" w:hAnsi="Times New Roman" w:eastAsia="宋体" w:cs="Times New Roman"/>
                <w:color w:val="auto"/>
                <w:kern w:val="0"/>
                <w:sz w:val="15"/>
                <w:szCs w:val="15"/>
                <w:lang w:bidi="ar"/>
              </w:rPr>
              <w:t>Resilient Leadership</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0.37</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auto"/>
                <w:kern w:val="0"/>
                <w:sz w:val="15"/>
                <w:szCs w:val="15"/>
                <w:lang w:bidi="ar"/>
              </w:rPr>
            </w:pPr>
            <w:r>
              <w:rPr>
                <w:rFonts w:hint="default" w:ascii="Times New Roman" w:hAnsi="Times New Roman" w:eastAsia="宋体" w:cs="Times New Roman"/>
                <w:color w:val="auto"/>
                <w:kern w:val="0"/>
                <w:sz w:val="15"/>
                <w:szCs w:val="15"/>
                <w:lang w:bidi="ar"/>
              </w:rPr>
              <w:t>Girish Prayag</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2024</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458</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24.5</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bidi="ar"/>
              </w:rPr>
            </w:pPr>
            <w:r>
              <w:rPr>
                <w:rFonts w:hint="default" w:ascii="Times New Roman" w:hAnsi="Times New Roman" w:eastAsia="宋体" w:cs="Times New Roman"/>
                <w:color w:val="auto"/>
                <w:kern w:val="0"/>
                <w:sz w:val="15"/>
                <w:szCs w:val="15"/>
                <w:lang w:bidi="ar"/>
              </w:rPr>
              <w:t>Resilient Leadership</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0.38</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auto"/>
                <w:kern w:val="0"/>
                <w:sz w:val="15"/>
                <w:szCs w:val="15"/>
                <w:lang w:bidi="ar"/>
              </w:rPr>
            </w:pPr>
            <w:r>
              <w:rPr>
                <w:rFonts w:hint="default" w:ascii="Times New Roman" w:hAnsi="Times New Roman" w:eastAsia="宋体" w:cs="Times New Roman"/>
                <w:color w:val="auto"/>
                <w:kern w:val="0"/>
                <w:sz w:val="15"/>
                <w:szCs w:val="15"/>
                <w:lang w:bidi="ar"/>
              </w:rPr>
              <w:t>Girish Prayag</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2024</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458</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24.5</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bidi="ar"/>
              </w:rPr>
            </w:pPr>
            <w:r>
              <w:rPr>
                <w:rFonts w:hint="default" w:ascii="Times New Roman" w:hAnsi="Times New Roman" w:eastAsia="宋体" w:cs="Times New Roman"/>
                <w:color w:val="auto"/>
                <w:kern w:val="0"/>
                <w:sz w:val="15"/>
                <w:szCs w:val="15"/>
                <w:lang w:bidi="ar"/>
              </w:rPr>
              <w:t>Resilient Leadership</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0.43</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auto"/>
                <w:kern w:val="0"/>
                <w:sz w:val="15"/>
                <w:szCs w:val="15"/>
                <w:lang w:bidi="ar"/>
              </w:rPr>
            </w:pPr>
            <w:r>
              <w:rPr>
                <w:rFonts w:hint="default" w:ascii="Times New Roman" w:hAnsi="Times New Roman" w:eastAsia="宋体" w:cs="Times New Roman"/>
                <w:color w:val="auto"/>
                <w:kern w:val="0"/>
                <w:sz w:val="15"/>
                <w:szCs w:val="15"/>
                <w:lang w:bidi="ar"/>
              </w:rPr>
              <w:t>Girish Prayag</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2024</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458</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24.5</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bidi="ar"/>
              </w:rPr>
            </w:pPr>
            <w:r>
              <w:rPr>
                <w:rFonts w:hint="default" w:ascii="Times New Roman" w:hAnsi="Times New Roman" w:eastAsia="宋体" w:cs="Times New Roman"/>
                <w:color w:val="auto"/>
                <w:kern w:val="0"/>
                <w:sz w:val="15"/>
                <w:szCs w:val="15"/>
                <w:lang w:bidi="ar"/>
              </w:rPr>
              <w:t>Organizational resilience</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0.47</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auto"/>
                <w:kern w:val="0"/>
                <w:sz w:val="15"/>
                <w:szCs w:val="15"/>
                <w:lang w:bidi="ar"/>
              </w:rPr>
            </w:pPr>
            <w:r>
              <w:rPr>
                <w:rFonts w:hint="default" w:ascii="Times New Roman" w:hAnsi="Times New Roman" w:eastAsia="宋体" w:cs="Times New Roman"/>
                <w:color w:val="auto"/>
                <w:kern w:val="0"/>
                <w:sz w:val="15"/>
                <w:szCs w:val="15"/>
                <w:lang w:bidi="ar"/>
              </w:rPr>
              <w:t>Girish Prayag</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2024</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458</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24.5</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bidi="ar"/>
              </w:rPr>
            </w:pPr>
            <w:r>
              <w:rPr>
                <w:rFonts w:hint="default" w:ascii="Times New Roman" w:hAnsi="Times New Roman" w:eastAsia="宋体" w:cs="Times New Roman"/>
                <w:color w:val="auto"/>
                <w:kern w:val="0"/>
                <w:sz w:val="15"/>
                <w:szCs w:val="15"/>
                <w:lang w:bidi="ar"/>
              </w:rPr>
              <w:t>Organizational resilience</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0.48</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auto"/>
                <w:kern w:val="0"/>
                <w:sz w:val="15"/>
                <w:szCs w:val="15"/>
                <w:lang w:bidi="ar"/>
              </w:rPr>
            </w:pPr>
            <w:r>
              <w:rPr>
                <w:rFonts w:hint="default" w:ascii="Times New Roman" w:hAnsi="Times New Roman" w:eastAsia="宋体" w:cs="Times New Roman"/>
                <w:color w:val="auto"/>
                <w:kern w:val="0"/>
                <w:sz w:val="15"/>
                <w:szCs w:val="15"/>
                <w:lang w:bidi="ar"/>
              </w:rPr>
              <w:t>Girish Prayag</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2024</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458</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24.5</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bidi="ar"/>
              </w:rPr>
            </w:pPr>
            <w:r>
              <w:rPr>
                <w:rFonts w:hint="default" w:ascii="Times New Roman" w:hAnsi="Times New Roman" w:eastAsia="宋体" w:cs="Times New Roman"/>
                <w:color w:val="auto"/>
                <w:kern w:val="0"/>
                <w:sz w:val="15"/>
                <w:szCs w:val="15"/>
                <w:lang w:bidi="ar"/>
              </w:rPr>
              <w:t>Organizational resilience</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0.51</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auto"/>
                <w:kern w:val="0"/>
                <w:sz w:val="15"/>
                <w:szCs w:val="15"/>
                <w:lang w:bidi="ar"/>
              </w:rPr>
            </w:pPr>
            <w:r>
              <w:rPr>
                <w:rFonts w:hint="default" w:ascii="Times New Roman" w:hAnsi="Times New Roman" w:eastAsia="宋体" w:cs="Times New Roman"/>
                <w:color w:val="auto"/>
                <w:kern w:val="0"/>
                <w:sz w:val="15"/>
                <w:szCs w:val="15"/>
                <w:lang w:bidi="ar"/>
              </w:rPr>
              <w:t>Banji Rildwan Olaleye,</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2024</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512</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42.8</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bidi="ar"/>
              </w:rPr>
            </w:pPr>
            <w:r>
              <w:rPr>
                <w:rFonts w:hint="default" w:ascii="Times New Roman" w:hAnsi="Times New Roman" w:eastAsia="宋体" w:cs="Times New Roman"/>
                <w:color w:val="auto"/>
                <w:kern w:val="0"/>
                <w:sz w:val="15"/>
                <w:szCs w:val="15"/>
                <w:lang w:bidi="ar"/>
              </w:rPr>
              <w:t>Workplace</w:t>
            </w:r>
            <w:r>
              <w:rPr>
                <w:rFonts w:hint="eastAsia" w:ascii="Times New Roman" w:hAnsi="Times New Roman" w:eastAsia="宋体" w:cs="Times New Roman"/>
                <w:color w:val="auto"/>
                <w:kern w:val="0"/>
                <w:sz w:val="15"/>
                <w:szCs w:val="15"/>
                <w:lang w:val="en-US" w:eastAsia="zh-CN" w:bidi="ar"/>
              </w:rPr>
              <w:t xml:space="preserve"> </w:t>
            </w:r>
            <w:r>
              <w:rPr>
                <w:rFonts w:hint="default" w:ascii="Times New Roman" w:hAnsi="Times New Roman" w:eastAsia="宋体" w:cs="Times New Roman"/>
                <w:color w:val="auto"/>
                <w:kern w:val="0"/>
                <w:sz w:val="15"/>
                <w:szCs w:val="15"/>
                <w:lang w:bidi="ar"/>
              </w:rPr>
              <w:t>Bullying</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0.79</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auto"/>
                <w:kern w:val="0"/>
                <w:sz w:val="15"/>
                <w:szCs w:val="15"/>
                <w:lang w:bidi="ar"/>
              </w:rPr>
            </w:pPr>
            <w:r>
              <w:rPr>
                <w:rFonts w:hint="default" w:ascii="Times New Roman" w:hAnsi="Times New Roman" w:eastAsia="宋体" w:cs="Times New Roman"/>
                <w:color w:val="auto"/>
                <w:kern w:val="0"/>
                <w:sz w:val="15"/>
                <w:szCs w:val="15"/>
                <w:lang w:bidi="ar"/>
              </w:rPr>
              <w:t>Banji Rildwan Olaleye,</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2024</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512</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42.8</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bidi="ar"/>
              </w:rPr>
            </w:pPr>
            <w:r>
              <w:rPr>
                <w:rFonts w:hint="default" w:ascii="Times New Roman" w:hAnsi="Times New Roman" w:eastAsia="宋体" w:cs="Times New Roman"/>
                <w:color w:val="auto"/>
                <w:kern w:val="0"/>
                <w:sz w:val="15"/>
                <w:szCs w:val="15"/>
                <w:lang w:bidi="ar"/>
              </w:rPr>
              <w:t>Emotional</w:t>
            </w:r>
            <w:r>
              <w:rPr>
                <w:rFonts w:hint="eastAsia" w:ascii="Times New Roman" w:hAnsi="Times New Roman" w:eastAsia="宋体" w:cs="Times New Roman"/>
                <w:color w:val="auto"/>
                <w:kern w:val="0"/>
                <w:sz w:val="15"/>
                <w:szCs w:val="15"/>
                <w:lang w:val="en-US" w:eastAsia="zh-CN" w:bidi="ar"/>
              </w:rPr>
              <w:t xml:space="preserve"> </w:t>
            </w:r>
            <w:r>
              <w:rPr>
                <w:rFonts w:hint="default" w:ascii="Times New Roman" w:hAnsi="Times New Roman" w:eastAsia="宋体" w:cs="Times New Roman"/>
                <w:color w:val="auto"/>
                <w:kern w:val="0"/>
                <w:sz w:val="15"/>
                <w:szCs w:val="15"/>
                <w:lang w:bidi="ar"/>
              </w:rPr>
              <w:t>Intelligence</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0.63</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auto"/>
                <w:kern w:val="0"/>
                <w:sz w:val="15"/>
                <w:szCs w:val="15"/>
                <w:lang w:bidi="ar"/>
              </w:rPr>
            </w:pPr>
            <w:r>
              <w:rPr>
                <w:rFonts w:hint="default" w:ascii="Times New Roman" w:hAnsi="Times New Roman" w:eastAsia="宋体" w:cs="Times New Roman"/>
                <w:color w:val="auto"/>
                <w:kern w:val="0"/>
                <w:sz w:val="15"/>
                <w:szCs w:val="15"/>
                <w:lang w:bidi="ar"/>
              </w:rPr>
              <w:t>Banji Rildwan Olaleye,</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2024</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512</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42.8</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bidi="ar"/>
              </w:rPr>
            </w:pPr>
            <w:r>
              <w:rPr>
                <w:rFonts w:hint="default" w:ascii="Times New Roman" w:hAnsi="Times New Roman" w:eastAsia="宋体" w:cs="Times New Roman"/>
                <w:color w:val="auto"/>
                <w:kern w:val="0"/>
                <w:sz w:val="15"/>
                <w:szCs w:val="15"/>
                <w:lang w:bidi="ar"/>
              </w:rPr>
              <w:t>Employee</w:t>
            </w:r>
            <w:r>
              <w:rPr>
                <w:rFonts w:hint="eastAsia" w:ascii="Times New Roman" w:hAnsi="Times New Roman" w:eastAsia="宋体" w:cs="Times New Roman"/>
                <w:color w:val="auto"/>
                <w:kern w:val="0"/>
                <w:sz w:val="15"/>
                <w:szCs w:val="15"/>
                <w:lang w:val="en-US" w:eastAsia="zh-CN" w:bidi="ar"/>
              </w:rPr>
              <w:t xml:space="preserve"> </w:t>
            </w:r>
            <w:r>
              <w:rPr>
                <w:rFonts w:hint="default" w:ascii="Times New Roman" w:hAnsi="Times New Roman" w:eastAsia="宋体" w:cs="Times New Roman"/>
                <w:color w:val="auto"/>
                <w:kern w:val="0"/>
                <w:sz w:val="15"/>
                <w:szCs w:val="15"/>
                <w:lang w:bidi="ar"/>
              </w:rPr>
              <w:t>Performance</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0.73</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auto"/>
                <w:kern w:val="0"/>
                <w:sz w:val="15"/>
                <w:szCs w:val="15"/>
                <w:lang w:bidi="ar"/>
              </w:rPr>
            </w:pPr>
            <w:r>
              <w:rPr>
                <w:rFonts w:hint="default" w:ascii="Times New Roman" w:hAnsi="Times New Roman" w:eastAsia="宋体" w:cs="Times New Roman"/>
                <w:color w:val="auto"/>
                <w:kern w:val="0"/>
                <w:sz w:val="15"/>
                <w:szCs w:val="15"/>
                <w:lang w:bidi="ar"/>
              </w:rPr>
              <w:t>Ahsan Ali</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2024</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363</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60.6</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bidi="ar"/>
              </w:rPr>
            </w:pPr>
            <w:r>
              <w:rPr>
                <w:rFonts w:hint="default" w:ascii="Times New Roman" w:hAnsi="Times New Roman" w:eastAsia="宋体" w:cs="Times New Roman"/>
                <w:color w:val="auto"/>
                <w:kern w:val="0"/>
                <w:sz w:val="15"/>
                <w:szCs w:val="15"/>
                <w:lang w:bidi="ar"/>
              </w:rPr>
              <w:t>Social media</w:t>
            </w:r>
            <w:r>
              <w:rPr>
                <w:rFonts w:hint="eastAsia" w:ascii="Times New Roman" w:hAnsi="Times New Roman" w:eastAsia="宋体" w:cs="Times New Roman"/>
                <w:color w:val="auto"/>
                <w:kern w:val="0"/>
                <w:sz w:val="15"/>
                <w:szCs w:val="15"/>
                <w:lang w:val="en-US" w:eastAsia="zh-CN" w:bidi="ar"/>
              </w:rPr>
              <w:t xml:space="preserve"> </w:t>
            </w:r>
            <w:r>
              <w:rPr>
                <w:rFonts w:hint="default" w:ascii="Times New Roman" w:hAnsi="Times New Roman" w:eastAsia="宋体" w:cs="Times New Roman"/>
                <w:color w:val="auto"/>
                <w:kern w:val="0"/>
                <w:sz w:val="15"/>
                <w:szCs w:val="15"/>
                <w:lang w:bidi="ar"/>
              </w:rPr>
              <w:t>ostracism</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-0.037</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auto"/>
                <w:kern w:val="0"/>
                <w:sz w:val="15"/>
                <w:szCs w:val="15"/>
                <w:lang w:bidi="ar"/>
              </w:rPr>
            </w:pPr>
            <w:r>
              <w:rPr>
                <w:rFonts w:hint="default" w:ascii="Times New Roman" w:hAnsi="Times New Roman" w:eastAsia="宋体" w:cs="Times New Roman"/>
                <w:color w:val="auto"/>
                <w:kern w:val="0"/>
                <w:sz w:val="15"/>
                <w:szCs w:val="15"/>
                <w:lang w:bidi="ar"/>
              </w:rPr>
              <w:t>Ahsan Ali</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2024</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363</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60.6</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bidi="ar"/>
              </w:rPr>
            </w:pPr>
            <w:r>
              <w:rPr>
                <w:rFonts w:hint="default" w:ascii="Times New Roman" w:hAnsi="Times New Roman" w:eastAsia="宋体" w:cs="Times New Roman"/>
                <w:color w:val="auto"/>
                <w:kern w:val="0"/>
                <w:sz w:val="15"/>
                <w:szCs w:val="15"/>
                <w:lang w:bidi="ar"/>
              </w:rPr>
              <w:t>Emotional</w:t>
            </w:r>
            <w:r>
              <w:rPr>
                <w:rFonts w:hint="eastAsia" w:ascii="Times New Roman" w:hAnsi="Times New Roman" w:eastAsia="宋体" w:cs="Times New Roman"/>
                <w:color w:val="auto"/>
                <w:kern w:val="0"/>
                <w:sz w:val="15"/>
                <w:szCs w:val="15"/>
                <w:lang w:val="en-US" w:eastAsia="zh-CN" w:bidi="ar"/>
              </w:rPr>
              <w:t xml:space="preserve"> </w:t>
            </w:r>
            <w:r>
              <w:rPr>
                <w:rFonts w:hint="default" w:ascii="Times New Roman" w:hAnsi="Times New Roman" w:eastAsia="宋体" w:cs="Times New Roman"/>
                <w:color w:val="auto"/>
                <w:kern w:val="0"/>
                <w:sz w:val="15"/>
                <w:szCs w:val="15"/>
                <w:lang w:bidi="ar"/>
              </w:rPr>
              <w:t>exhaustion</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-0.20</w:t>
            </w:r>
          </w:p>
        </w:tc>
      </w:tr>
      <w:tr>
        <w:tblPrEx>
          <w:tblCellMar>
            <w:top w:w="0" w:type="dxa"/>
            <w:left w:w="108" w:type="dxa"/>
            <w:bottom w:w="0" w:type="dxa"/>
            <w:right w:w="108" w:type="dxa"/>
          </w:tblCellMar>
        </w:tblPrEx>
        <w:trPr>
          <w:trHeight w:val="23" w:hRule="atLeast"/>
        </w:trPr>
        <w:tc>
          <w:tcPr>
            <w:tcW w:w="2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auto"/>
                <w:kern w:val="0"/>
                <w:sz w:val="15"/>
                <w:szCs w:val="15"/>
                <w:lang w:bidi="ar"/>
              </w:rPr>
            </w:pPr>
            <w:r>
              <w:rPr>
                <w:rFonts w:hint="default" w:ascii="Times New Roman" w:hAnsi="Times New Roman" w:eastAsia="宋体" w:cs="Times New Roman"/>
                <w:color w:val="auto"/>
                <w:kern w:val="0"/>
                <w:sz w:val="15"/>
                <w:szCs w:val="15"/>
                <w:lang w:bidi="ar"/>
              </w:rPr>
              <w:t>Ahsan Ali</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2024</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363</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O</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60.6</w:t>
            </w:r>
          </w:p>
        </w:tc>
        <w:tc>
          <w:tcPr>
            <w:tcW w:w="26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bidi="ar"/>
              </w:rPr>
            </w:pPr>
            <w:r>
              <w:rPr>
                <w:rFonts w:hint="default" w:ascii="Times New Roman" w:hAnsi="Times New Roman" w:eastAsia="宋体" w:cs="Times New Roman"/>
                <w:color w:val="auto"/>
                <w:kern w:val="0"/>
                <w:sz w:val="15"/>
                <w:szCs w:val="15"/>
                <w:lang w:bidi="ar"/>
              </w:rPr>
              <w:t>Lurking intentions</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-0.03</w:t>
            </w:r>
          </w:p>
        </w:tc>
      </w:tr>
      <w:tr>
        <w:tblPrEx>
          <w:tblCellMar>
            <w:top w:w="0" w:type="dxa"/>
            <w:left w:w="108" w:type="dxa"/>
            <w:bottom w:w="0" w:type="dxa"/>
            <w:right w:w="108" w:type="dxa"/>
          </w:tblCellMar>
        </w:tblPrEx>
        <w:trPr>
          <w:trHeight w:val="23" w:hRule="atLeast"/>
        </w:trPr>
        <w:tc>
          <w:tcPr>
            <w:tcW w:w="8617" w:type="dxa"/>
            <w:gridSpan w:val="7"/>
            <w:tcBorders>
              <w:top w:val="single" w:color="000000" w:sz="4" w:space="0"/>
              <w:left w:val="nil"/>
              <w:bottom w:val="nil"/>
              <w:right w:val="nil"/>
            </w:tcBorders>
            <w:shd w:val="clear" w:color="auto" w:fill="auto"/>
            <w:noWrap/>
            <w:vAlign w:val="center"/>
          </w:tcPr>
          <w:p>
            <w:pPr>
              <w:widowControl/>
              <w:jc w:val="both"/>
              <w:textAlignment w:val="center"/>
              <w:rPr>
                <w:rFonts w:hint="default" w:ascii="Times New Roman" w:hAnsi="Times New Roman" w:eastAsia="宋体" w:cs="Times New Roman"/>
                <w:color w:val="auto"/>
                <w:kern w:val="0"/>
                <w:sz w:val="15"/>
                <w:szCs w:val="15"/>
                <w:lang w:val="en-US" w:eastAsia="zh-CN" w:bidi="ar"/>
              </w:rPr>
            </w:pPr>
            <w:r>
              <w:rPr>
                <w:rFonts w:hint="eastAsia" w:ascii="Times New Roman" w:hAnsi="Times New Roman" w:eastAsia="宋体" w:cs="Times New Roman"/>
                <w:color w:val="auto"/>
                <w:kern w:val="0"/>
                <w:sz w:val="15"/>
                <w:szCs w:val="15"/>
                <w:lang w:val="en-US" w:eastAsia="zh-CN" w:bidi="ar"/>
              </w:rPr>
              <w:t>NOTE: O= Other, P= Public</w:t>
            </w:r>
          </w:p>
        </w:tc>
      </w:tr>
    </w:tbl>
    <w:p/>
    <w:sectPr>
      <w:endnotePr>
        <w:numFmt w:val="decimal"/>
      </w:endnote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TimesNewRomanPS-ItalicMT">
    <w:altName w:val="Times New Roman"/>
    <w:panose1 w:val="00000000000000000000"/>
    <w:charset w:val="00"/>
    <w:family w:val="auto"/>
    <w:pitch w:val="default"/>
    <w:sig w:usb0="00000000" w:usb1="00000000" w:usb2="00000000" w:usb3="00000000" w:csb0="00000000" w:csb1="00000000"/>
  </w:font>
  <w:font w:name="DY1">
    <w:altName w:val="Anonymous"/>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Anonymous">
    <w:panose1 w:val="02000409000000000000"/>
    <w:charset w:val="00"/>
    <w:family w:val="auto"/>
    <w:pitch w:val="default"/>
    <w:sig w:usb0="80000007" w:usb1="00000000" w:usb2="00000000" w:usb3="00000000" w:csb0="20000111" w:csb1="4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endnotePr>
    <w:numFmt w:val="decimal"/>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UyZWQ0Y2M0Mzc0MjA4MzE0MDM0ZDdlNmFmN2ZjNGQifQ=="/>
  </w:docVars>
  <w:rsids>
    <w:rsidRoot w:val="142A5D68"/>
    <w:rsid w:val="02DF76FA"/>
    <w:rsid w:val="142A5D68"/>
    <w:rsid w:val="1977636F"/>
    <w:rsid w:val="3A0308B3"/>
    <w:rsid w:val="3A713D5B"/>
    <w:rsid w:val="52AC7C89"/>
    <w:rsid w:val="5AA10BBF"/>
    <w:rsid w:val="5E532F85"/>
    <w:rsid w:val="6C0266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2324</Words>
  <Characters>11560</Characters>
  <Lines>0</Lines>
  <Paragraphs>0</Paragraphs>
  <TotalTime>90</TotalTime>
  <ScaleCrop>false</ScaleCrop>
  <LinksUpToDate>false</LinksUpToDate>
  <CharactersWithSpaces>12155</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2023-04-04T06:58:00Z</dcterms:created>
  <dc:creator>学亦有道</dc:creator>
  <cp:lastModifiedBy>学亦有道</cp:lastModifiedBy>
  <dcterms:modified xsi:type="dcterms:W3CDTF">2024-03-07T13:29:19Z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E97E63A3A5804FF4933243BB3F740889_13</vt:lpwstr>
  </property>
</Properties>
</file>